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B8A4A9">
      <w:pPr>
        <w:jc w:val="center"/>
        <w:rPr>
          <w:rFonts w:eastAsia="仿宋_GB2312"/>
          <w:color w:val="000000"/>
          <w:sz w:val="36"/>
          <w:szCs w:val="36"/>
        </w:rPr>
      </w:pPr>
    </w:p>
    <w:p w14:paraId="5572FEA2">
      <w:pPr>
        <w:jc w:val="center"/>
        <w:rPr>
          <w:rFonts w:eastAsia="仿宋_GB2312"/>
          <w:color w:val="000000"/>
          <w:sz w:val="36"/>
          <w:szCs w:val="36"/>
        </w:rPr>
      </w:pPr>
    </w:p>
    <w:p w14:paraId="120A6330">
      <w:pPr>
        <w:jc w:val="center"/>
        <w:rPr>
          <w:rFonts w:eastAsia="仿宋_GB2312"/>
          <w:color w:val="000000"/>
          <w:sz w:val="36"/>
          <w:szCs w:val="36"/>
        </w:rPr>
      </w:pPr>
    </w:p>
    <w:p w14:paraId="1705B384">
      <w:pPr>
        <w:jc w:val="center"/>
        <w:rPr>
          <w:rFonts w:eastAsia="仿宋_GB2312"/>
          <w:color w:val="000000"/>
          <w:sz w:val="36"/>
          <w:szCs w:val="36"/>
        </w:rPr>
      </w:pPr>
    </w:p>
    <w:p w14:paraId="69B4E6FB">
      <w:pPr>
        <w:jc w:val="center"/>
        <w:rPr>
          <w:rFonts w:eastAsia="仿宋_GB2312"/>
          <w:color w:val="000000"/>
          <w:sz w:val="36"/>
          <w:szCs w:val="36"/>
        </w:rPr>
      </w:pPr>
    </w:p>
    <w:p w14:paraId="5277B1D6">
      <w:pPr>
        <w:adjustRightInd w:val="0"/>
        <w:snapToGrid w:val="0"/>
        <w:jc w:val="center"/>
        <w:outlineLvl w:val="0"/>
        <w:rPr>
          <w:rFonts w:ascii="华文中宋" w:hAnsi="华文中宋" w:eastAsia="华文中宋" w:cs="华文中宋"/>
          <w:bCs/>
          <w:color w:val="000000"/>
          <w:sz w:val="72"/>
          <w:szCs w:val="72"/>
        </w:rPr>
      </w:pPr>
      <w:r>
        <w:rPr>
          <w:rFonts w:hint="eastAsia" w:ascii="华文中宋" w:hAnsi="华文中宋" w:eastAsia="华文中宋" w:cs="华文中宋"/>
          <w:bCs/>
          <w:color w:val="000000"/>
          <w:sz w:val="72"/>
          <w:szCs w:val="72"/>
        </w:rPr>
        <w:t>建设项目环境影响报告表</w:t>
      </w:r>
    </w:p>
    <w:p w14:paraId="2D332C8E">
      <w:pPr>
        <w:adjustRightInd w:val="0"/>
        <w:snapToGrid w:val="0"/>
        <w:spacing w:beforeLines="80"/>
        <w:jc w:val="center"/>
        <w:rPr>
          <w:rFonts w:ascii="楷体" w:hAnsi="楷体" w:eastAsia="楷体" w:cs="楷体"/>
          <w:bCs/>
          <w:color w:val="000000"/>
          <w:sz w:val="48"/>
          <w:szCs w:val="48"/>
        </w:rPr>
      </w:pPr>
      <w:r>
        <w:rPr>
          <w:rFonts w:hint="eastAsia" w:ascii="楷体" w:hAnsi="楷体" w:eastAsia="楷体" w:cs="楷体"/>
          <w:bCs/>
          <w:color w:val="000000"/>
          <w:sz w:val="48"/>
          <w:szCs w:val="48"/>
        </w:rPr>
        <w:t>（污染影响类）</w:t>
      </w:r>
    </w:p>
    <w:p w14:paraId="4C51C236">
      <w:pPr>
        <w:adjustRightInd w:val="0"/>
        <w:snapToGrid w:val="0"/>
        <w:spacing w:line="288" w:lineRule="auto"/>
        <w:jc w:val="center"/>
        <w:outlineLvl w:val="0"/>
        <w:rPr>
          <w:rFonts w:eastAsia="华文仿宋"/>
          <w:color w:val="000000"/>
          <w:kern w:val="44"/>
          <w:sz w:val="44"/>
          <w:szCs w:val="44"/>
        </w:rPr>
      </w:pPr>
    </w:p>
    <w:p w14:paraId="0EADCB1B">
      <w:pPr>
        <w:jc w:val="center"/>
        <w:rPr>
          <w:rFonts w:eastAsia="仿宋"/>
          <w:color w:val="000000"/>
          <w:sz w:val="52"/>
          <w:szCs w:val="52"/>
        </w:rPr>
      </w:pPr>
    </w:p>
    <w:tbl>
      <w:tblPr>
        <w:tblStyle w:val="22"/>
        <w:tblpPr w:leftFromText="180" w:rightFromText="180" w:vertAnchor="text" w:horzAnchor="page" w:tblpX="1776" w:tblpY="1263"/>
        <w:tblOverlap w:val="never"/>
        <w:tblW w:w="8505" w:type="dxa"/>
        <w:tblInd w:w="0" w:type="dxa"/>
        <w:tblLayout w:type="autofit"/>
        <w:tblCellMar>
          <w:top w:w="0" w:type="dxa"/>
          <w:left w:w="108" w:type="dxa"/>
          <w:bottom w:w="0" w:type="dxa"/>
          <w:right w:w="108" w:type="dxa"/>
        </w:tblCellMar>
      </w:tblPr>
      <w:tblGrid>
        <w:gridCol w:w="3171"/>
        <w:gridCol w:w="5334"/>
      </w:tblGrid>
      <w:tr w14:paraId="107A5115">
        <w:tblPrEx>
          <w:tblCellMar>
            <w:top w:w="0" w:type="dxa"/>
            <w:left w:w="108" w:type="dxa"/>
            <w:bottom w:w="0" w:type="dxa"/>
            <w:right w:w="108" w:type="dxa"/>
          </w:tblCellMar>
        </w:tblPrEx>
        <w:trPr>
          <w:trHeight w:val="397" w:hRule="atLeast"/>
        </w:trPr>
        <w:tc>
          <w:tcPr>
            <w:tcW w:w="1864" w:type="pct"/>
            <w:vAlign w:val="center"/>
          </w:tcPr>
          <w:p w14:paraId="509C6435">
            <w:pPr>
              <w:adjustRightInd w:val="0"/>
              <w:snapToGrid w:val="0"/>
              <w:spacing w:line="480" w:lineRule="exact"/>
              <w:jc w:val="distribute"/>
              <w:rPr>
                <w:rFonts w:ascii="黑体" w:hAnsi="黑体" w:eastAsia="黑体" w:cs="黑体"/>
                <w:bCs/>
                <w:color w:val="000000"/>
                <w:sz w:val="32"/>
                <w:szCs w:val="32"/>
              </w:rPr>
            </w:pPr>
            <w:r>
              <w:rPr>
                <w:rFonts w:hint="eastAsia" w:ascii="黑体" w:hAnsi="黑体" w:eastAsia="黑体" w:cs="黑体"/>
                <w:bCs/>
                <w:color w:val="000000"/>
                <w:sz w:val="32"/>
                <w:szCs w:val="32"/>
              </w:rPr>
              <w:t>项目名称：</w:t>
            </w:r>
          </w:p>
        </w:tc>
        <w:tc>
          <w:tcPr>
            <w:tcW w:w="3135" w:type="pct"/>
            <w:tcBorders>
              <w:bottom w:val="single" w:color="auto" w:sz="4" w:space="0"/>
            </w:tcBorders>
            <w:vAlign w:val="center"/>
          </w:tcPr>
          <w:p w14:paraId="35AC573C">
            <w:pPr>
              <w:adjustRightInd w:val="0"/>
              <w:snapToGrid w:val="0"/>
              <w:spacing w:line="480" w:lineRule="exact"/>
              <w:jc w:val="center"/>
              <w:rPr>
                <w:rFonts w:hint="eastAsia" w:ascii="黑体" w:hAnsi="黑体" w:eastAsia="黑体" w:cs="黑体"/>
                <w:bCs/>
                <w:color w:val="auto"/>
                <w:sz w:val="32"/>
                <w:szCs w:val="32"/>
                <w:lang w:eastAsia="zh-CN"/>
              </w:rPr>
            </w:pPr>
            <w:r>
              <w:rPr>
                <w:rFonts w:hint="eastAsia" w:ascii="黑体" w:hAnsi="黑体" w:eastAsia="黑体" w:cs="黑体"/>
                <w:bCs/>
                <w:color w:val="auto"/>
                <w:sz w:val="32"/>
                <w:szCs w:val="32"/>
                <w:lang w:eastAsia="zh-CN"/>
              </w:rPr>
              <w:t>新建塑料零部件及制品生产项目</w:t>
            </w:r>
          </w:p>
        </w:tc>
      </w:tr>
      <w:tr w14:paraId="4BFC6998">
        <w:tblPrEx>
          <w:tblCellMar>
            <w:top w:w="0" w:type="dxa"/>
            <w:left w:w="108" w:type="dxa"/>
            <w:bottom w:w="0" w:type="dxa"/>
            <w:right w:w="108" w:type="dxa"/>
          </w:tblCellMar>
        </w:tblPrEx>
        <w:trPr>
          <w:trHeight w:val="397" w:hRule="atLeast"/>
        </w:trPr>
        <w:tc>
          <w:tcPr>
            <w:tcW w:w="1864" w:type="pct"/>
            <w:vAlign w:val="center"/>
          </w:tcPr>
          <w:p w14:paraId="504B3E6B">
            <w:pPr>
              <w:adjustRightInd w:val="0"/>
              <w:snapToGrid w:val="0"/>
              <w:spacing w:line="480" w:lineRule="exact"/>
              <w:jc w:val="distribute"/>
              <w:rPr>
                <w:rFonts w:ascii="黑体" w:hAnsi="黑体" w:eastAsia="黑体" w:cs="黑体"/>
                <w:bCs/>
                <w:color w:val="000000"/>
                <w:sz w:val="32"/>
                <w:szCs w:val="32"/>
              </w:rPr>
            </w:pPr>
            <w:r>
              <w:rPr>
                <w:rFonts w:hint="eastAsia" w:ascii="黑体" w:hAnsi="黑体" w:eastAsia="黑体" w:cs="黑体"/>
                <w:bCs/>
                <w:color w:val="000000"/>
                <w:sz w:val="32"/>
                <w:szCs w:val="32"/>
              </w:rPr>
              <w:t>建设单位（盖章）：</w:t>
            </w:r>
          </w:p>
        </w:tc>
        <w:tc>
          <w:tcPr>
            <w:tcW w:w="3135" w:type="pct"/>
            <w:tcBorders>
              <w:top w:val="single" w:color="auto" w:sz="4" w:space="0"/>
              <w:bottom w:val="single" w:color="auto" w:sz="4" w:space="0"/>
            </w:tcBorders>
            <w:vAlign w:val="center"/>
          </w:tcPr>
          <w:p w14:paraId="70F24380">
            <w:pPr>
              <w:adjustRightInd w:val="0"/>
              <w:snapToGrid w:val="0"/>
              <w:spacing w:line="480" w:lineRule="exact"/>
              <w:jc w:val="center"/>
              <w:rPr>
                <w:rFonts w:hint="eastAsia" w:ascii="黑体" w:hAnsi="黑体" w:eastAsia="黑体" w:cs="黑体"/>
                <w:bCs/>
                <w:color w:val="auto"/>
                <w:sz w:val="32"/>
                <w:szCs w:val="32"/>
                <w:lang w:eastAsia="zh-CN"/>
              </w:rPr>
            </w:pPr>
            <w:r>
              <w:rPr>
                <w:rFonts w:hint="eastAsia" w:ascii="黑体" w:hAnsi="黑体" w:eastAsia="黑体" w:cs="黑体"/>
                <w:bCs/>
                <w:color w:val="auto"/>
                <w:sz w:val="32"/>
                <w:szCs w:val="32"/>
                <w:lang w:eastAsia="zh-CN"/>
              </w:rPr>
              <w:t>苏州金海威光塑胶有限公司</w:t>
            </w:r>
          </w:p>
        </w:tc>
      </w:tr>
      <w:tr w14:paraId="30BF9E09">
        <w:tblPrEx>
          <w:tblCellMar>
            <w:top w:w="0" w:type="dxa"/>
            <w:left w:w="108" w:type="dxa"/>
            <w:bottom w:w="0" w:type="dxa"/>
            <w:right w:w="108" w:type="dxa"/>
          </w:tblCellMar>
        </w:tblPrEx>
        <w:trPr>
          <w:trHeight w:val="397" w:hRule="atLeast"/>
        </w:trPr>
        <w:tc>
          <w:tcPr>
            <w:tcW w:w="1864" w:type="pct"/>
            <w:vAlign w:val="center"/>
          </w:tcPr>
          <w:p w14:paraId="25587BFF">
            <w:pPr>
              <w:adjustRightInd w:val="0"/>
              <w:snapToGrid w:val="0"/>
              <w:spacing w:line="480" w:lineRule="exact"/>
              <w:jc w:val="distribute"/>
              <w:rPr>
                <w:rFonts w:ascii="黑体" w:hAnsi="黑体" w:eastAsia="黑体" w:cs="黑体"/>
                <w:bCs/>
                <w:color w:val="000000"/>
                <w:sz w:val="32"/>
                <w:szCs w:val="32"/>
              </w:rPr>
            </w:pPr>
            <w:r>
              <w:rPr>
                <w:rFonts w:hint="eastAsia" w:ascii="黑体" w:hAnsi="黑体" w:eastAsia="黑体" w:cs="黑体"/>
                <w:bCs/>
                <w:color w:val="000000"/>
                <w:sz w:val="32"/>
                <w:szCs w:val="32"/>
              </w:rPr>
              <w:t>编制日期：</w:t>
            </w:r>
          </w:p>
        </w:tc>
        <w:tc>
          <w:tcPr>
            <w:tcW w:w="3135" w:type="pct"/>
            <w:tcBorders>
              <w:top w:val="single" w:color="auto" w:sz="4" w:space="0"/>
              <w:bottom w:val="single" w:color="auto" w:sz="4" w:space="0"/>
            </w:tcBorders>
            <w:vAlign w:val="center"/>
          </w:tcPr>
          <w:p w14:paraId="7B354421">
            <w:pPr>
              <w:adjustRightInd w:val="0"/>
              <w:snapToGrid w:val="0"/>
              <w:spacing w:line="480" w:lineRule="exact"/>
              <w:jc w:val="center"/>
              <w:rPr>
                <w:rFonts w:ascii="黑体" w:hAnsi="黑体" w:eastAsia="黑体" w:cs="黑体"/>
                <w:bCs/>
                <w:color w:val="auto"/>
                <w:sz w:val="32"/>
                <w:szCs w:val="32"/>
              </w:rPr>
            </w:pPr>
            <w:r>
              <w:rPr>
                <w:rFonts w:hint="eastAsia" w:ascii="黑体" w:hAnsi="黑体" w:eastAsia="黑体" w:cs="黑体"/>
                <w:bCs/>
                <w:color w:val="auto"/>
                <w:sz w:val="32"/>
                <w:szCs w:val="32"/>
              </w:rPr>
              <w:t>202</w:t>
            </w:r>
            <w:r>
              <w:rPr>
                <w:rFonts w:hint="eastAsia" w:ascii="黑体" w:hAnsi="黑体" w:eastAsia="黑体" w:cs="黑体"/>
                <w:bCs/>
                <w:color w:val="auto"/>
                <w:sz w:val="32"/>
                <w:szCs w:val="32"/>
                <w:lang w:val="en-US" w:eastAsia="zh-CN"/>
              </w:rPr>
              <w:t>5</w:t>
            </w:r>
            <w:r>
              <w:rPr>
                <w:rFonts w:hint="eastAsia" w:ascii="黑体" w:hAnsi="黑体" w:eastAsia="黑体" w:cs="黑体"/>
                <w:bCs/>
                <w:color w:val="auto"/>
                <w:sz w:val="32"/>
                <w:szCs w:val="32"/>
              </w:rPr>
              <w:t>年</w:t>
            </w:r>
            <w:r>
              <w:rPr>
                <w:rFonts w:hint="eastAsia" w:ascii="黑体" w:hAnsi="黑体" w:eastAsia="黑体" w:cs="黑体"/>
                <w:bCs/>
                <w:color w:val="auto"/>
                <w:sz w:val="32"/>
                <w:szCs w:val="32"/>
                <w:lang w:val="en-US" w:eastAsia="zh-CN"/>
              </w:rPr>
              <w:t>4</w:t>
            </w:r>
            <w:r>
              <w:rPr>
                <w:rFonts w:hint="eastAsia" w:ascii="黑体" w:hAnsi="黑体" w:eastAsia="黑体" w:cs="黑体"/>
                <w:bCs/>
                <w:color w:val="auto"/>
                <w:sz w:val="32"/>
                <w:szCs w:val="32"/>
              </w:rPr>
              <w:t>月</w:t>
            </w:r>
          </w:p>
        </w:tc>
      </w:tr>
    </w:tbl>
    <w:p w14:paraId="6E157630">
      <w:pPr>
        <w:jc w:val="center"/>
        <w:rPr>
          <w:rFonts w:eastAsia="仿宋"/>
          <w:color w:val="000000"/>
          <w:sz w:val="44"/>
          <w:szCs w:val="44"/>
        </w:rPr>
      </w:pPr>
    </w:p>
    <w:p w14:paraId="19F6A568">
      <w:pPr>
        <w:jc w:val="center"/>
        <w:rPr>
          <w:rFonts w:eastAsia="仿宋"/>
          <w:color w:val="000000"/>
          <w:sz w:val="44"/>
          <w:szCs w:val="44"/>
        </w:rPr>
      </w:pPr>
    </w:p>
    <w:p w14:paraId="16739152">
      <w:pPr>
        <w:jc w:val="center"/>
        <w:rPr>
          <w:rFonts w:eastAsia="仿宋"/>
          <w:color w:val="000000"/>
          <w:sz w:val="44"/>
          <w:szCs w:val="44"/>
        </w:rPr>
      </w:pPr>
    </w:p>
    <w:p w14:paraId="1C14304D">
      <w:pPr>
        <w:jc w:val="center"/>
        <w:rPr>
          <w:rFonts w:eastAsia="仿宋"/>
          <w:color w:val="000000"/>
          <w:sz w:val="44"/>
          <w:szCs w:val="44"/>
        </w:rPr>
      </w:pPr>
    </w:p>
    <w:p w14:paraId="71DB2E26">
      <w:pPr>
        <w:adjustRightInd w:val="0"/>
        <w:snapToGrid w:val="0"/>
        <w:spacing w:line="288" w:lineRule="auto"/>
        <w:jc w:val="center"/>
        <w:rPr>
          <w:rFonts w:eastAsia="仿宋"/>
          <w:color w:val="000000"/>
          <w:sz w:val="36"/>
          <w:szCs w:val="36"/>
        </w:rPr>
      </w:pPr>
    </w:p>
    <w:p w14:paraId="2565EDA3">
      <w:pPr>
        <w:adjustRightInd w:val="0"/>
        <w:snapToGrid w:val="0"/>
        <w:spacing w:line="288" w:lineRule="auto"/>
        <w:jc w:val="center"/>
        <w:rPr>
          <w:rFonts w:eastAsia="仿宋_GB2312"/>
          <w:color w:val="000000"/>
          <w:sz w:val="36"/>
          <w:szCs w:val="36"/>
          <w:u w:val="single"/>
        </w:rPr>
      </w:pPr>
      <w:bookmarkStart w:id="0" w:name="_Hlk57884087"/>
    </w:p>
    <w:p w14:paraId="7E78F4E5">
      <w:pPr>
        <w:adjustRightInd w:val="0"/>
        <w:snapToGrid w:val="0"/>
        <w:spacing w:line="288" w:lineRule="auto"/>
        <w:jc w:val="center"/>
        <w:rPr>
          <w:rFonts w:eastAsia="仿宋_GB2312"/>
          <w:color w:val="000000"/>
          <w:sz w:val="36"/>
          <w:szCs w:val="36"/>
        </w:rPr>
      </w:pPr>
    </w:p>
    <w:p w14:paraId="42C7208F">
      <w:pPr>
        <w:adjustRightInd w:val="0"/>
        <w:snapToGrid w:val="0"/>
        <w:spacing w:line="288" w:lineRule="auto"/>
        <w:jc w:val="center"/>
        <w:rPr>
          <w:rFonts w:eastAsia="仿宋_GB2312"/>
          <w:color w:val="000000"/>
          <w:sz w:val="36"/>
          <w:szCs w:val="36"/>
        </w:rPr>
      </w:pPr>
    </w:p>
    <w:p w14:paraId="7B7A6A91">
      <w:pPr>
        <w:adjustRightInd w:val="0"/>
        <w:snapToGrid w:val="0"/>
        <w:spacing w:line="288" w:lineRule="auto"/>
        <w:jc w:val="center"/>
        <w:rPr>
          <w:rFonts w:eastAsia="仿宋_GB2312"/>
          <w:color w:val="000000"/>
          <w:sz w:val="36"/>
          <w:szCs w:val="36"/>
        </w:rPr>
      </w:pPr>
    </w:p>
    <w:p w14:paraId="2DA43A35">
      <w:pPr>
        <w:adjustRightInd w:val="0"/>
        <w:snapToGrid w:val="0"/>
        <w:spacing w:line="288" w:lineRule="auto"/>
        <w:jc w:val="center"/>
        <w:rPr>
          <w:rFonts w:eastAsia="仿宋_GB2312"/>
          <w:color w:val="000000"/>
          <w:sz w:val="36"/>
          <w:szCs w:val="36"/>
        </w:rPr>
      </w:pPr>
    </w:p>
    <w:bookmarkEnd w:id="0"/>
    <w:p w14:paraId="35F3BB16">
      <w:pPr>
        <w:adjustRightInd w:val="0"/>
        <w:snapToGrid w:val="0"/>
        <w:spacing w:line="288" w:lineRule="auto"/>
        <w:jc w:val="center"/>
        <w:rPr>
          <w:rFonts w:ascii="楷体" w:hAnsi="楷体" w:eastAsia="楷体" w:cs="楷体"/>
          <w:color w:val="000000"/>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楷体" w:hAnsi="楷体" w:eastAsia="楷体" w:cs="楷体"/>
          <w:color w:val="000000"/>
          <w:sz w:val="36"/>
          <w:szCs w:val="36"/>
        </w:rPr>
        <w:t>中华人民共和国生态环境部制</w:t>
      </w:r>
    </w:p>
    <w:p w14:paraId="456C5A8D">
      <w:pPr>
        <w:pStyle w:val="18"/>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一、建设项目基本情况</w:t>
      </w:r>
    </w:p>
    <w:tbl>
      <w:tblPr>
        <w:tblStyle w:val="22"/>
        <w:tblW w:w="486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41"/>
        <w:gridCol w:w="1473"/>
        <w:gridCol w:w="2087"/>
        <w:gridCol w:w="1803"/>
        <w:gridCol w:w="2819"/>
      </w:tblGrid>
      <w:tr w14:paraId="5F7BDE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10" w:type="pct"/>
            <w:gridSpan w:val="2"/>
            <w:noWrap/>
            <w:tcMar>
              <w:top w:w="16" w:type="dxa"/>
              <w:left w:w="16" w:type="dxa"/>
              <w:right w:w="16" w:type="dxa"/>
            </w:tcMar>
            <w:vAlign w:val="center"/>
          </w:tcPr>
          <w:p w14:paraId="0F04B30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建设项目名称</w:t>
            </w:r>
          </w:p>
        </w:tc>
        <w:tc>
          <w:tcPr>
            <w:tcW w:w="3889" w:type="pct"/>
            <w:gridSpan w:val="3"/>
            <w:noWrap/>
            <w:vAlign w:val="center"/>
          </w:tcPr>
          <w:p w14:paraId="21871D37">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新建塑料零部件及制品生产项目</w:t>
            </w:r>
          </w:p>
        </w:tc>
      </w:tr>
      <w:tr w14:paraId="7FC68E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10" w:type="pct"/>
            <w:gridSpan w:val="2"/>
            <w:noWrap/>
            <w:tcMar>
              <w:top w:w="16" w:type="dxa"/>
              <w:left w:w="16" w:type="dxa"/>
              <w:right w:w="16" w:type="dxa"/>
            </w:tcMar>
            <w:vAlign w:val="center"/>
          </w:tcPr>
          <w:p w14:paraId="782B5BC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项目代码</w:t>
            </w:r>
          </w:p>
        </w:tc>
        <w:tc>
          <w:tcPr>
            <w:tcW w:w="3889" w:type="pct"/>
            <w:gridSpan w:val="3"/>
            <w:noWrap/>
            <w:vAlign w:val="center"/>
          </w:tcPr>
          <w:p w14:paraId="44F73138">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2</w:t>
            </w:r>
            <w:r>
              <w:rPr>
                <w:rFonts w:hint="eastAsia"/>
                <w:color w:val="000000" w:themeColor="text1"/>
                <w:szCs w:val="21"/>
                <w:lang w:val="en-US" w:eastAsia="zh-CN"/>
                <w14:textFill>
                  <w14:solidFill>
                    <w14:schemeClr w14:val="tx1"/>
                  </w14:solidFill>
                </w14:textFill>
              </w:rPr>
              <w:t>410</w:t>
            </w:r>
            <w:r>
              <w:rPr>
                <w:rFonts w:hint="eastAsia"/>
                <w:color w:val="000000" w:themeColor="text1"/>
                <w:szCs w:val="21"/>
                <w14:textFill>
                  <w14:solidFill>
                    <w14:schemeClr w14:val="tx1"/>
                  </w14:solidFill>
                </w14:textFill>
              </w:rPr>
              <w:t>-3205</w:t>
            </w:r>
            <w:r>
              <w:rPr>
                <w:rFonts w:hint="eastAsia"/>
                <w:color w:val="000000" w:themeColor="text1"/>
                <w:szCs w:val="21"/>
                <w:lang w:val="en-US" w:eastAsia="zh-CN"/>
                <w14:textFill>
                  <w14:solidFill>
                    <w14:schemeClr w14:val="tx1"/>
                  </w14:solidFill>
                </w14:textFill>
              </w:rPr>
              <w:t>72</w:t>
            </w:r>
            <w:r>
              <w:rPr>
                <w:rFonts w:hint="eastAsia"/>
                <w:color w:val="000000" w:themeColor="text1"/>
                <w:szCs w:val="21"/>
                <w14:textFill>
                  <w14:solidFill>
                    <w14:schemeClr w14:val="tx1"/>
                  </w14:solidFill>
                </w14:textFill>
              </w:rPr>
              <w:t>-89-01-</w:t>
            </w:r>
            <w:r>
              <w:rPr>
                <w:rFonts w:hint="eastAsia"/>
                <w:color w:val="000000" w:themeColor="text1"/>
                <w:szCs w:val="21"/>
                <w:lang w:val="en-US" w:eastAsia="zh-CN"/>
                <w14:textFill>
                  <w14:solidFill>
                    <w14:schemeClr w14:val="tx1"/>
                  </w14:solidFill>
                </w14:textFill>
              </w:rPr>
              <w:t>645507</w:t>
            </w:r>
          </w:p>
        </w:tc>
      </w:tr>
      <w:tr w14:paraId="6086B7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10" w:type="pct"/>
            <w:gridSpan w:val="2"/>
            <w:noWrap/>
            <w:tcMar>
              <w:top w:w="16" w:type="dxa"/>
              <w:left w:w="16" w:type="dxa"/>
              <w:right w:w="16" w:type="dxa"/>
            </w:tcMar>
            <w:vAlign w:val="center"/>
          </w:tcPr>
          <w:p w14:paraId="2A14727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建设单位联系人</w:t>
            </w:r>
          </w:p>
        </w:tc>
        <w:tc>
          <w:tcPr>
            <w:tcW w:w="1210" w:type="pct"/>
            <w:noWrap/>
            <w:vAlign w:val="center"/>
          </w:tcPr>
          <w:p w14:paraId="01CC086F">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045" w:type="pct"/>
            <w:noWrap/>
            <w:vAlign w:val="center"/>
          </w:tcPr>
          <w:p w14:paraId="3819588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联系方式</w:t>
            </w:r>
          </w:p>
        </w:tc>
        <w:tc>
          <w:tcPr>
            <w:tcW w:w="1633" w:type="pct"/>
            <w:noWrap/>
            <w:vAlign w:val="center"/>
          </w:tcPr>
          <w:p w14:paraId="2691ED6B">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bookmarkStart w:id="13" w:name="_GoBack"/>
            <w:bookmarkEnd w:id="13"/>
          </w:p>
        </w:tc>
      </w:tr>
      <w:tr w14:paraId="1B0C37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10" w:type="pct"/>
            <w:gridSpan w:val="2"/>
            <w:noWrap/>
            <w:tcMar>
              <w:top w:w="16" w:type="dxa"/>
              <w:left w:w="16" w:type="dxa"/>
              <w:right w:w="16" w:type="dxa"/>
            </w:tcMar>
            <w:vAlign w:val="center"/>
          </w:tcPr>
          <w:p w14:paraId="4A00DED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建设地点</w:t>
            </w:r>
          </w:p>
        </w:tc>
        <w:tc>
          <w:tcPr>
            <w:tcW w:w="3889" w:type="pct"/>
            <w:gridSpan w:val="3"/>
            <w:noWrap/>
            <w:vAlign w:val="center"/>
          </w:tcPr>
          <w:p w14:paraId="4238DD11">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江苏省苏州市常熟市东南街道</w:t>
            </w:r>
            <w:r>
              <w:rPr>
                <w:rFonts w:hint="eastAsia"/>
                <w:color w:val="000000" w:themeColor="text1"/>
                <w:szCs w:val="21"/>
                <w:lang w:val="en-US" w:eastAsia="zh-CN"/>
                <w14:textFill>
                  <w14:solidFill>
                    <w14:schemeClr w14:val="tx1"/>
                  </w14:solidFill>
                </w14:textFill>
              </w:rPr>
              <w:t>银环路28-1号10幢102</w:t>
            </w:r>
          </w:p>
        </w:tc>
      </w:tr>
      <w:tr w14:paraId="153236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10" w:type="pct"/>
            <w:gridSpan w:val="2"/>
            <w:noWrap/>
            <w:tcMar>
              <w:top w:w="16" w:type="dxa"/>
              <w:left w:w="16" w:type="dxa"/>
              <w:right w:w="16" w:type="dxa"/>
            </w:tcMar>
            <w:vAlign w:val="center"/>
          </w:tcPr>
          <w:p w14:paraId="094D471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地理坐标</w:t>
            </w:r>
          </w:p>
        </w:tc>
        <w:tc>
          <w:tcPr>
            <w:tcW w:w="3889" w:type="pct"/>
            <w:gridSpan w:val="3"/>
            <w:noWrap/>
            <w:vAlign w:val="center"/>
          </w:tcPr>
          <w:p w14:paraId="6F7545D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20</w:t>
            </w:r>
            <w:r>
              <w:rPr>
                <w:color w:val="000000" w:themeColor="text1"/>
                <w:szCs w:val="21"/>
                <w14:textFill>
                  <w14:solidFill>
                    <w14:schemeClr w14:val="tx1"/>
                  </w14:solidFill>
                </w14:textFill>
              </w:rPr>
              <w:t>度</w:t>
            </w:r>
            <w:r>
              <w:rPr>
                <w:rFonts w:hint="eastAsia"/>
                <w:color w:val="000000" w:themeColor="text1"/>
                <w:szCs w:val="21"/>
                <w14:textFill>
                  <w14:solidFill>
                    <w14:schemeClr w14:val="tx1"/>
                  </w14:solidFill>
                </w14:textFill>
              </w:rPr>
              <w:t>4</w:t>
            </w:r>
            <w:r>
              <w:rPr>
                <w:rFonts w:hint="eastAsia"/>
                <w:color w:val="000000" w:themeColor="text1"/>
                <w:szCs w:val="21"/>
                <w:lang w:val="en-US" w:eastAsia="zh-CN"/>
                <w14:textFill>
                  <w14:solidFill>
                    <w14:schemeClr w14:val="tx1"/>
                  </w14:solidFill>
                </w14:textFill>
              </w:rPr>
              <w:t>7</w:t>
            </w:r>
            <w:r>
              <w:rPr>
                <w:color w:val="000000" w:themeColor="text1"/>
                <w:szCs w:val="21"/>
                <w14:textFill>
                  <w14:solidFill>
                    <w14:schemeClr w14:val="tx1"/>
                  </w14:solidFill>
                </w14:textFill>
              </w:rPr>
              <w:t>分</w:t>
            </w:r>
            <w:r>
              <w:rPr>
                <w:rFonts w:hint="eastAsia"/>
                <w:color w:val="000000" w:themeColor="text1"/>
                <w:szCs w:val="21"/>
                <w:lang w:val="en-US" w:eastAsia="zh-CN"/>
                <w14:textFill>
                  <w14:solidFill>
                    <w14:schemeClr w14:val="tx1"/>
                  </w14:solidFill>
                </w14:textFill>
              </w:rPr>
              <w:t>1.636</w:t>
            </w:r>
            <w:r>
              <w:rPr>
                <w:color w:val="000000" w:themeColor="text1"/>
                <w:szCs w:val="21"/>
                <w14:textFill>
                  <w14:solidFill>
                    <w14:schemeClr w14:val="tx1"/>
                  </w14:solidFill>
                </w14:textFill>
              </w:rPr>
              <w:t>秒，31度</w:t>
            </w:r>
            <w:r>
              <w:rPr>
                <w:rFonts w:hint="eastAsia"/>
                <w:color w:val="000000" w:themeColor="text1"/>
                <w:szCs w:val="21"/>
                <w14:textFill>
                  <w14:solidFill>
                    <w14:schemeClr w14:val="tx1"/>
                  </w14:solidFill>
                </w14:textFill>
              </w:rPr>
              <w:t>3</w:t>
            </w:r>
            <w:r>
              <w:rPr>
                <w:rFonts w:hint="eastAsia"/>
                <w:color w:val="000000" w:themeColor="text1"/>
                <w:szCs w:val="21"/>
                <w:lang w:val="en-US" w:eastAsia="zh-CN"/>
                <w14:textFill>
                  <w14:solidFill>
                    <w14:schemeClr w14:val="tx1"/>
                  </w14:solidFill>
                </w14:textFill>
              </w:rPr>
              <w:t>6</w:t>
            </w:r>
            <w:r>
              <w:rPr>
                <w:color w:val="000000" w:themeColor="text1"/>
                <w:szCs w:val="21"/>
                <w14:textFill>
                  <w14:solidFill>
                    <w14:schemeClr w14:val="tx1"/>
                  </w14:solidFill>
                </w14:textFill>
              </w:rPr>
              <w:t>分</w:t>
            </w:r>
            <w:r>
              <w:rPr>
                <w:rFonts w:hint="eastAsia"/>
                <w:color w:val="000000" w:themeColor="text1"/>
                <w:szCs w:val="21"/>
                <w:lang w:val="en-US" w:eastAsia="zh-CN"/>
                <w14:textFill>
                  <w14:solidFill>
                    <w14:schemeClr w14:val="tx1"/>
                  </w14:solidFill>
                </w14:textFill>
              </w:rPr>
              <w:t>39.532</w:t>
            </w:r>
            <w:r>
              <w:rPr>
                <w:color w:val="000000" w:themeColor="text1"/>
                <w:szCs w:val="21"/>
                <w14:textFill>
                  <w14:solidFill>
                    <w14:schemeClr w14:val="tx1"/>
                  </w14:solidFill>
                </w14:textFill>
              </w:rPr>
              <w:t>秒</w:t>
            </w:r>
          </w:p>
        </w:tc>
      </w:tr>
      <w:tr w14:paraId="1CBBD0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1110" w:type="pct"/>
            <w:gridSpan w:val="2"/>
            <w:vMerge w:val="restart"/>
            <w:noWrap/>
            <w:tcMar>
              <w:top w:w="16" w:type="dxa"/>
              <w:left w:w="16" w:type="dxa"/>
              <w:right w:w="16" w:type="dxa"/>
            </w:tcMar>
            <w:vAlign w:val="center"/>
          </w:tcPr>
          <w:p w14:paraId="5E4445A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国民经济</w:t>
            </w:r>
          </w:p>
          <w:p w14:paraId="1FC3D4B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行业类别</w:t>
            </w:r>
          </w:p>
        </w:tc>
        <w:tc>
          <w:tcPr>
            <w:tcW w:w="1210" w:type="pct"/>
            <w:noWrap/>
            <w:vAlign w:val="center"/>
          </w:tcPr>
          <w:p w14:paraId="734C2A2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w:t>
            </w:r>
            <w:r>
              <w:rPr>
                <w:rFonts w:hint="eastAsia"/>
                <w:color w:val="000000" w:themeColor="text1"/>
                <w:szCs w:val="21"/>
                <w:lang w:val="en-US" w:eastAsia="zh-CN"/>
                <w14:textFill>
                  <w14:solidFill>
                    <w14:schemeClr w14:val="tx1"/>
                  </w14:solidFill>
                </w14:textFill>
              </w:rPr>
              <w:t>2929塑料零件及塑料制品制造</w:t>
            </w:r>
            <w:r>
              <w:rPr>
                <w:rFonts w:hint="eastAsia"/>
                <w:color w:val="000000" w:themeColor="text1"/>
                <w:szCs w:val="21"/>
                <w14:textFill>
                  <w14:solidFill>
                    <w14:schemeClr w14:val="tx1"/>
                  </w14:solidFill>
                </w14:textFill>
              </w:rPr>
              <w:t xml:space="preserve"> </w:t>
            </w:r>
          </w:p>
        </w:tc>
        <w:tc>
          <w:tcPr>
            <w:tcW w:w="1045" w:type="pct"/>
            <w:vMerge w:val="restart"/>
            <w:noWrap/>
            <w:vAlign w:val="center"/>
          </w:tcPr>
          <w:p w14:paraId="1F673C02">
            <w:pPr>
              <w:jc w:val="center"/>
              <w:rPr>
                <w:color w:val="000000" w:themeColor="text1"/>
                <w:szCs w:val="21"/>
                <w14:textFill>
                  <w14:solidFill>
                    <w14:schemeClr w14:val="tx1"/>
                  </w14:solidFill>
                </w14:textFill>
              </w:rPr>
            </w:pPr>
            <w:bookmarkStart w:id="1" w:name="_Hlk49843745"/>
            <w:r>
              <w:rPr>
                <w:rFonts w:hint="eastAsia"/>
                <w:color w:val="000000" w:themeColor="text1"/>
                <w:szCs w:val="21"/>
                <w14:textFill>
                  <w14:solidFill>
                    <w14:schemeClr w14:val="tx1"/>
                  </w14:solidFill>
                </w14:textFill>
              </w:rPr>
              <w:t>建设项目</w:t>
            </w:r>
          </w:p>
          <w:p w14:paraId="4E6F666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行业类别</w:t>
            </w:r>
            <w:bookmarkEnd w:id="1"/>
          </w:p>
        </w:tc>
        <w:tc>
          <w:tcPr>
            <w:tcW w:w="1633" w:type="pct"/>
            <w:noWrap/>
            <w:vAlign w:val="center"/>
          </w:tcPr>
          <w:p w14:paraId="73A93543">
            <w:pPr>
              <w:jc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二十六</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橡胶和塑料制品业29</w:t>
            </w:r>
          </w:p>
          <w:p w14:paraId="561531C8">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53塑料制品业292</w:t>
            </w:r>
            <w:r>
              <w:rPr>
                <w:rFonts w:hint="eastAsia"/>
                <w:color w:val="000000" w:themeColor="text1"/>
                <w:szCs w:val="21"/>
                <w14:textFill>
                  <w14:solidFill>
                    <w14:schemeClr w14:val="tx1"/>
                  </w14:solidFill>
                </w14:textFill>
              </w:rPr>
              <w:t xml:space="preserve"> 其他（年用非溶剂型低VOCS含量涂料10吨以下的除外）</w:t>
            </w:r>
          </w:p>
        </w:tc>
      </w:tr>
      <w:tr w14:paraId="10B207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10" w:type="pct"/>
            <w:gridSpan w:val="2"/>
            <w:noWrap/>
            <w:tcMar>
              <w:top w:w="16" w:type="dxa"/>
              <w:left w:w="16" w:type="dxa"/>
              <w:right w:w="16" w:type="dxa"/>
            </w:tcMar>
            <w:vAlign w:val="center"/>
          </w:tcPr>
          <w:p w14:paraId="5DF89EA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建设性质</w:t>
            </w:r>
          </w:p>
        </w:tc>
        <w:tc>
          <w:tcPr>
            <w:tcW w:w="1210" w:type="pct"/>
            <w:noWrap/>
            <w:vAlign w:val="center"/>
          </w:tcPr>
          <w:p w14:paraId="78426CC3">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52"/>
            </w:r>
            <w:r>
              <w:rPr>
                <w:color w:val="000000" w:themeColor="text1"/>
                <w:szCs w:val="21"/>
                <w14:textFill>
                  <w14:solidFill>
                    <w14:schemeClr w14:val="tx1"/>
                  </w14:solidFill>
                </w14:textFill>
              </w:rPr>
              <w:t>新建（迁建）</w:t>
            </w:r>
          </w:p>
          <w:p w14:paraId="01C93458">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A3"/>
            </w:r>
            <w:r>
              <w:rPr>
                <w:color w:val="000000" w:themeColor="text1"/>
                <w:szCs w:val="21"/>
                <w14:textFill>
                  <w14:solidFill>
                    <w14:schemeClr w14:val="tx1"/>
                  </w14:solidFill>
                </w14:textFill>
              </w:rPr>
              <w:t>改建</w:t>
            </w:r>
          </w:p>
          <w:p w14:paraId="3793AB39">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A3"/>
            </w:r>
            <w:r>
              <w:rPr>
                <w:color w:val="000000" w:themeColor="text1"/>
                <w:szCs w:val="21"/>
                <w14:textFill>
                  <w14:solidFill>
                    <w14:schemeClr w14:val="tx1"/>
                  </w14:solidFill>
                </w14:textFill>
              </w:rPr>
              <w:t>扩建</w:t>
            </w:r>
          </w:p>
          <w:p w14:paraId="2BA3B217">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A3"/>
            </w:r>
            <w:r>
              <w:rPr>
                <w:color w:val="000000" w:themeColor="text1"/>
                <w:szCs w:val="21"/>
                <w14:textFill>
                  <w14:solidFill>
                    <w14:schemeClr w14:val="tx1"/>
                  </w14:solidFill>
                </w14:textFill>
              </w:rPr>
              <w:t>技术改造</w:t>
            </w:r>
          </w:p>
        </w:tc>
        <w:tc>
          <w:tcPr>
            <w:tcW w:w="1045" w:type="pct"/>
            <w:noWrap/>
            <w:vAlign w:val="center"/>
          </w:tcPr>
          <w:p w14:paraId="01422AE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w:t>
            </w:r>
          </w:p>
          <w:p w14:paraId="2E68F29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申报情形</w:t>
            </w:r>
          </w:p>
        </w:tc>
        <w:tc>
          <w:tcPr>
            <w:tcW w:w="1633" w:type="pct"/>
            <w:noWrap/>
            <w:vAlign w:val="center"/>
          </w:tcPr>
          <w:p w14:paraId="68354018">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52"/>
            </w:r>
            <w:r>
              <w:rPr>
                <w:color w:val="000000" w:themeColor="text1"/>
                <w:szCs w:val="21"/>
                <w14:textFill>
                  <w14:solidFill>
                    <w14:schemeClr w14:val="tx1"/>
                  </w14:solidFill>
                </w14:textFill>
              </w:rPr>
              <w:t>首次申报项目</w:t>
            </w:r>
          </w:p>
          <w:p w14:paraId="72E26182">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A3"/>
            </w:r>
            <w:r>
              <w:rPr>
                <w:color w:val="000000" w:themeColor="text1"/>
                <w:szCs w:val="21"/>
                <w14:textFill>
                  <w14:solidFill>
                    <w14:schemeClr w14:val="tx1"/>
                  </w14:solidFill>
                </w14:textFill>
              </w:rPr>
              <w:t>不予批准后再次申报项目</w:t>
            </w:r>
          </w:p>
          <w:p w14:paraId="4F96D941">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A3"/>
            </w:r>
            <w:r>
              <w:rPr>
                <w:color w:val="000000" w:themeColor="text1"/>
                <w:szCs w:val="21"/>
                <w14:textFill>
                  <w14:solidFill>
                    <w14:schemeClr w14:val="tx1"/>
                  </w14:solidFill>
                </w14:textFill>
              </w:rPr>
              <w:t>超五年重新审核项目</w:t>
            </w:r>
          </w:p>
          <w:p w14:paraId="16F6B4F0">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A3"/>
            </w:r>
            <w:r>
              <w:rPr>
                <w:color w:val="000000" w:themeColor="text1"/>
                <w:szCs w:val="21"/>
                <w14:textFill>
                  <w14:solidFill>
                    <w14:schemeClr w14:val="tx1"/>
                  </w14:solidFill>
                </w14:textFill>
              </w:rPr>
              <w:t>重大变动重新报批项目</w:t>
            </w:r>
          </w:p>
        </w:tc>
      </w:tr>
      <w:tr w14:paraId="6AE86E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10" w:type="pct"/>
            <w:gridSpan w:val="2"/>
            <w:noWrap/>
            <w:tcMar>
              <w:top w:w="16" w:type="dxa"/>
              <w:left w:w="16" w:type="dxa"/>
              <w:right w:w="16" w:type="dxa"/>
            </w:tcMar>
            <w:vAlign w:val="center"/>
          </w:tcPr>
          <w:p w14:paraId="5BE3941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项目审批（核准/</w:t>
            </w:r>
          </w:p>
          <w:p w14:paraId="1223B0F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备案）部门</w:t>
            </w:r>
          </w:p>
        </w:tc>
        <w:tc>
          <w:tcPr>
            <w:tcW w:w="1210" w:type="pct"/>
            <w:noWrap/>
            <w:vAlign w:val="center"/>
          </w:tcPr>
          <w:p w14:paraId="445C49AB">
            <w:pPr>
              <w:adjustRightInd w:val="0"/>
              <w:snapToGrid w:val="0"/>
              <w:jc w:val="center"/>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常熟</w:t>
            </w:r>
            <w:r>
              <w:rPr>
                <w:rFonts w:hint="eastAsia"/>
                <w:color w:val="000000" w:themeColor="text1"/>
                <w:szCs w:val="21"/>
                <w:lang w:val="en-US" w:eastAsia="zh-CN"/>
                <w14:textFill>
                  <w14:solidFill>
                    <w14:schemeClr w14:val="tx1"/>
                  </w14:solidFill>
                </w14:textFill>
              </w:rPr>
              <w:t>高新技术产业开发区管理委员会</w:t>
            </w:r>
          </w:p>
        </w:tc>
        <w:tc>
          <w:tcPr>
            <w:tcW w:w="1045" w:type="pct"/>
            <w:noWrap/>
            <w:vAlign w:val="center"/>
          </w:tcPr>
          <w:p w14:paraId="6368BCF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项目审批（核准/</w:t>
            </w:r>
          </w:p>
          <w:p w14:paraId="4E86A4C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备案）文号</w:t>
            </w:r>
          </w:p>
        </w:tc>
        <w:tc>
          <w:tcPr>
            <w:tcW w:w="1633" w:type="pct"/>
            <w:noWrap/>
            <w:vAlign w:val="center"/>
          </w:tcPr>
          <w:p w14:paraId="4CA42A6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常</w:t>
            </w:r>
            <w:r>
              <w:rPr>
                <w:rFonts w:hint="eastAsia"/>
                <w:color w:val="000000" w:themeColor="text1"/>
                <w:szCs w:val="21"/>
                <w:lang w:val="en-US" w:eastAsia="zh-CN"/>
                <w14:textFill>
                  <w14:solidFill>
                    <w14:schemeClr w14:val="tx1"/>
                  </w14:solidFill>
                </w14:textFill>
              </w:rPr>
              <w:t>高管</w:t>
            </w:r>
            <w:r>
              <w:rPr>
                <w:rFonts w:hint="eastAsia"/>
                <w:color w:val="000000" w:themeColor="text1"/>
                <w:szCs w:val="21"/>
                <w14:textFill>
                  <w14:solidFill>
                    <w14:schemeClr w14:val="tx1"/>
                  </w14:solidFill>
                </w14:textFill>
              </w:rPr>
              <w:t>投备[202</w:t>
            </w:r>
            <w:r>
              <w:rPr>
                <w:rFonts w:hint="eastAsia"/>
                <w:color w:val="000000" w:themeColor="text1"/>
                <w:szCs w:val="21"/>
                <w:lang w:val="en-US" w:eastAsia="zh-CN"/>
                <w14:textFill>
                  <w14:solidFill>
                    <w14:schemeClr w14:val="tx1"/>
                  </w14:solidFill>
                </w14:textFill>
              </w:rPr>
              <w:t>4</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360</w:t>
            </w:r>
            <w:r>
              <w:rPr>
                <w:rFonts w:hint="eastAsia"/>
                <w:color w:val="000000" w:themeColor="text1"/>
                <w:szCs w:val="21"/>
                <w14:textFill>
                  <w14:solidFill>
                    <w14:schemeClr w14:val="tx1"/>
                  </w14:solidFill>
                </w14:textFill>
              </w:rPr>
              <w:t>号</w:t>
            </w:r>
          </w:p>
        </w:tc>
      </w:tr>
      <w:tr w14:paraId="549BDB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10" w:type="pct"/>
            <w:gridSpan w:val="2"/>
            <w:noWrap/>
            <w:tcMar>
              <w:top w:w="16" w:type="dxa"/>
              <w:left w:w="16" w:type="dxa"/>
              <w:right w:w="16" w:type="dxa"/>
            </w:tcMar>
            <w:vAlign w:val="center"/>
          </w:tcPr>
          <w:p w14:paraId="52B0B16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总投资（万元）</w:t>
            </w:r>
          </w:p>
        </w:tc>
        <w:tc>
          <w:tcPr>
            <w:tcW w:w="1210" w:type="pct"/>
            <w:noWrap/>
            <w:vAlign w:val="center"/>
          </w:tcPr>
          <w:p w14:paraId="181299F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w:t>
            </w:r>
          </w:p>
        </w:tc>
        <w:tc>
          <w:tcPr>
            <w:tcW w:w="1045" w:type="pct"/>
            <w:noWrap/>
            <w:tcMar>
              <w:top w:w="16" w:type="dxa"/>
              <w:left w:w="16" w:type="dxa"/>
              <w:right w:w="16" w:type="dxa"/>
            </w:tcMar>
            <w:vAlign w:val="center"/>
          </w:tcPr>
          <w:p w14:paraId="2C6C224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环保投资（万元）</w:t>
            </w:r>
          </w:p>
        </w:tc>
        <w:tc>
          <w:tcPr>
            <w:tcW w:w="1633" w:type="pct"/>
            <w:noWrap/>
            <w:vAlign w:val="center"/>
          </w:tcPr>
          <w:p w14:paraId="6BDD68B1">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150</w:t>
            </w:r>
          </w:p>
        </w:tc>
      </w:tr>
      <w:tr w14:paraId="0F4AE5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10" w:type="pct"/>
            <w:gridSpan w:val="2"/>
            <w:noWrap/>
            <w:tcMar>
              <w:top w:w="16" w:type="dxa"/>
              <w:left w:w="16" w:type="dxa"/>
              <w:right w:w="16" w:type="dxa"/>
            </w:tcMar>
            <w:vAlign w:val="center"/>
          </w:tcPr>
          <w:p w14:paraId="2B0E02B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环保投资占比（%）</w:t>
            </w:r>
          </w:p>
        </w:tc>
        <w:tc>
          <w:tcPr>
            <w:tcW w:w="1210" w:type="pct"/>
            <w:noWrap/>
            <w:vAlign w:val="center"/>
          </w:tcPr>
          <w:p w14:paraId="666B7C15">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7.5</w:t>
            </w:r>
          </w:p>
        </w:tc>
        <w:tc>
          <w:tcPr>
            <w:tcW w:w="1045" w:type="pct"/>
            <w:noWrap/>
            <w:tcMar>
              <w:top w:w="16" w:type="dxa"/>
              <w:left w:w="16" w:type="dxa"/>
              <w:right w:w="16" w:type="dxa"/>
            </w:tcMar>
            <w:vAlign w:val="center"/>
          </w:tcPr>
          <w:p w14:paraId="54248E1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施工工期</w:t>
            </w:r>
          </w:p>
        </w:tc>
        <w:tc>
          <w:tcPr>
            <w:tcW w:w="1633" w:type="pct"/>
            <w:noWrap/>
            <w:vAlign w:val="center"/>
          </w:tcPr>
          <w:p w14:paraId="4332E4E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2个月</w:t>
            </w:r>
          </w:p>
        </w:tc>
      </w:tr>
      <w:tr w14:paraId="5A7B37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10" w:type="pct"/>
            <w:gridSpan w:val="2"/>
            <w:noWrap/>
            <w:tcMar>
              <w:top w:w="16" w:type="dxa"/>
              <w:left w:w="16" w:type="dxa"/>
              <w:right w:w="16" w:type="dxa"/>
            </w:tcMar>
            <w:vAlign w:val="center"/>
          </w:tcPr>
          <w:p w14:paraId="36607AB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是否开工建设</w:t>
            </w:r>
          </w:p>
        </w:tc>
        <w:tc>
          <w:tcPr>
            <w:tcW w:w="1210" w:type="pct"/>
            <w:noWrap/>
            <w:vAlign w:val="center"/>
          </w:tcPr>
          <w:p w14:paraId="50BC988F">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52"/>
            </w:r>
            <w:r>
              <w:rPr>
                <w:color w:val="000000" w:themeColor="text1"/>
                <w:szCs w:val="21"/>
                <w14:textFill>
                  <w14:solidFill>
                    <w14:schemeClr w14:val="tx1"/>
                  </w14:solidFill>
                </w14:textFill>
              </w:rPr>
              <w:t>否</w:t>
            </w:r>
          </w:p>
          <w:p w14:paraId="5B5AA7E3">
            <w:pPr>
              <w:widowControl/>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A3"/>
            </w:r>
            <w:r>
              <w:rPr>
                <w:color w:val="000000" w:themeColor="text1"/>
                <w:szCs w:val="21"/>
                <w14:textFill>
                  <w14:solidFill>
                    <w14:schemeClr w14:val="tx1"/>
                  </w14:solidFill>
                </w14:textFill>
              </w:rPr>
              <w:t>是</w:t>
            </w:r>
          </w:p>
        </w:tc>
        <w:tc>
          <w:tcPr>
            <w:tcW w:w="1045" w:type="pct"/>
            <w:noWrap/>
            <w:tcMar>
              <w:top w:w="16" w:type="dxa"/>
              <w:left w:w="16" w:type="dxa"/>
              <w:right w:w="16" w:type="dxa"/>
            </w:tcMar>
            <w:vAlign w:val="center"/>
          </w:tcPr>
          <w:p w14:paraId="5C830062">
            <w:pPr>
              <w:adjustRightInd w:val="0"/>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用地面积（m</w:t>
            </w:r>
            <w:r>
              <w:rPr>
                <w:color w:val="000000" w:themeColor="text1"/>
                <w:spacing w:val="-6"/>
                <w:szCs w:val="21"/>
                <w:vertAlign w:val="superscript"/>
                <w14:textFill>
                  <w14:solidFill>
                    <w14:schemeClr w14:val="tx1"/>
                  </w14:solidFill>
                </w14:textFill>
              </w:rPr>
              <w:t>2</w:t>
            </w:r>
            <w:r>
              <w:rPr>
                <w:color w:val="000000" w:themeColor="text1"/>
                <w:spacing w:val="-6"/>
                <w:szCs w:val="21"/>
                <w14:textFill>
                  <w14:solidFill>
                    <w14:schemeClr w14:val="tx1"/>
                  </w14:solidFill>
                </w14:textFill>
              </w:rPr>
              <w:t>）</w:t>
            </w:r>
          </w:p>
        </w:tc>
        <w:tc>
          <w:tcPr>
            <w:tcW w:w="1633" w:type="pct"/>
            <w:noWrap/>
            <w:vAlign w:val="center"/>
          </w:tcPr>
          <w:p w14:paraId="72C02362">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973.64</w:t>
            </w:r>
          </w:p>
        </w:tc>
      </w:tr>
      <w:tr w14:paraId="04A757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0" w:type="pct"/>
            <w:gridSpan w:val="2"/>
            <w:noWrap/>
            <w:vAlign w:val="center"/>
          </w:tcPr>
          <w:p w14:paraId="5FDEE373">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专项评价设置情况</w:t>
            </w:r>
          </w:p>
        </w:tc>
        <w:tc>
          <w:tcPr>
            <w:tcW w:w="3889" w:type="pct"/>
            <w:gridSpan w:val="3"/>
            <w:noWrap/>
            <w:vAlign w:val="center"/>
          </w:tcPr>
          <w:p w14:paraId="2548FED0">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无</w:t>
            </w:r>
          </w:p>
        </w:tc>
      </w:tr>
      <w:tr w14:paraId="0AA4F1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1" w:hRule="atLeast"/>
          <w:jc w:val="center"/>
        </w:trPr>
        <w:tc>
          <w:tcPr>
            <w:tcW w:w="1110" w:type="pct"/>
            <w:gridSpan w:val="2"/>
            <w:noWrap/>
            <w:vAlign w:val="center"/>
          </w:tcPr>
          <w:p w14:paraId="593F685C">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规划情况</w:t>
            </w:r>
          </w:p>
        </w:tc>
        <w:tc>
          <w:tcPr>
            <w:tcW w:w="3889" w:type="pct"/>
            <w:gridSpan w:val="3"/>
            <w:noWrap/>
            <w:vAlign w:val="center"/>
          </w:tcPr>
          <w:p w14:paraId="4BDD984E">
            <w:pPr>
              <w:adjustRightInd w:val="0"/>
              <w:snapToGrid w:val="0"/>
              <w:spacing w:line="420" w:lineRule="exac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规划名称：《常熟南部新城局部片区控制性详细规划（2022年12月调整）》</w:t>
            </w:r>
          </w:p>
          <w:p w14:paraId="26B912E7">
            <w:pPr>
              <w:adjustRightInd w:val="0"/>
              <w:snapToGrid w:val="0"/>
              <w:spacing w:line="420" w:lineRule="exac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审批机关：常熟市人民政府</w:t>
            </w:r>
          </w:p>
          <w:p w14:paraId="7A61CF64">
            <w:pPr>
              <w:adjustRightInd w:val="0"/>
              <w:snapToGrid w:val="0"/>
              <w:spacing w:line="420" w:lineRule="exac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审批文件名称及文号：关于《常熟南部新城局部片区控制性详细规划（2022年12月调整）》的批复（常政复[2023]5号）</w:t>
            </w:r>
          </w:p>
        </w:tc>
      </w:tr>
      <w:tr w14:paraId="56B8E4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1" w:hRule="atLeast"/>
          <w:jc w:val="center"/>
        </w:trPr>
        <w:tc>
          <w:tcPr>
            <w:tcW w:w="1110" w:type="pct"/>
            <w:gridSpan w:val="2"/>
            <w:noWrap/>
            <w:vAlign w:val="center"/>
          </w:tcPr>
          <w:p w14:paraId="6BDA0F77">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规划环境影响</w:t>
            </w:r>
          </w:p>
          <w:p w14:paraId="7F9680FB">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评价情况</w:t>
            </w:r>
          </w:p>
        </w:tc>
        <w:tc>
          <w:tcPr>
            <w:tcW w:w="3889" w:type="pct"/>
            <w:gridSpan w:val="3"/>
            <w:noWrap/>
            <w:vAlign w:val="center"/>
          </w:tcPr>
          <w:p w14:paraId="41DE19A8">
            <w:pPr>
              <w:adjustRightInd w:val="0"/>
              <w:snapToGrid w:val="0"/>
              <w:spacing w:line="420" w:lineRule="exac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规划环境影响评价文件</w:t>
            </w:r>
            <w:r>
              <w:rPr>
                <w:color w:val="000000" w:themeColor="text1"/>
                <w:kern w:val="0"/>
                <w:szCs w:val="21"/>
                <w14:textFill>
                  <w14:solidFill>
                    <w14:schemeClr w14:val="tx1"/>
                  </w14:solidFill>
                </w14:textFill>
              </w:rPr>
              <w:t>名称：</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常熟高新技术产业开发区发展总体规划（2016</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2030）</w:t>
            </w:r>
            <w:r>
              <w:rPr>
                <w:rFonts w:hint="eastAsia"/>
                <w:color w:val="000000" w:themeColor="text1"/>
                <w:kern w:val="0"/>
                <w:szCs w:val="21"/>
                <w14:textFill>
                  <w14:solidFill>
                    <w14:schemeClr w14:val="tx1"/>
                  </w14:solidFill>
                </w14:textFill>
              </w:rPr>
              <w:t>环境影响报告书》</w:t>
            </w:r>
          </w:p>
          <w:p w14:paraId="6D3E590D">
            <w:pPr>
              <w:adjustRightInd w:val="0"/>
              <w:snapToGrid w:val="0"/>
              <w:spacing w:line="420" w:lineRule="exac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召集审查机关：中华人民共和国生态环境部</w:t>
            </w:r>
          </w:p>
          <w:p w14:paraId="23D90753">
            <w:pPr>
              <w:adjustRightInd w:val="0"/>
              <w:snapToGrid w:val="0"/>
              <w:spacing w:line="420" w:lineRule="exac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审查文件名称及文号：关于《</w:t>
            </w:r>
            <w:r>
              <w:rPr>
                <w:color w:val="000000" w:themeColor="text1"/>
                <w:kern w:val="0"/>
                <w:szCs w:val="21"/>
                <w14:textFill>
                  <w14:solidFill>
                    <w14:schemeClr w14:val="tx1"/>
                  </w14:solidFill>
                </w14:textFill>
              </w:rPr>
              <w:t>常熟高新技术产业开发区发展总体规划（2016</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2030）</w:t>
            </w:r>
            <w:r>
              <w:rPr>
                <w:rFonts w:hint="eastAsia"/>
                <w:color w:val="000000" w:themeColor="text1"/>
                <w:kern w:val="0"/>
                <w:szCs w:val="21"/>
                <w14:textFill>
                  <w14:solidFill>
                    <w14:schemeClr w14:val="tx1"/>
                  </w14:solidFill>
                </w14:textFill>
              </w:rPr>
              <w:t>环境影响报告书》的审查意见（</w:t>
            </w:r>
            <w:r>
              <w:rPr>
                <w:color w:val="000000" w:themeColor="text1"/>
                <w:kern w:val="0"/>
                <w:szCs w:val="21"/>
                <w14:textFill>
                  <w14:solidFill>
                    <w14:schemeClr w14:val="tx1"/>
                  </w14:solidFill>
                </w14:textFill>
              </w:rPr>
              <w:t>环审[2021]6号</w:t>
            </w:r>
            <w:r>
              <w:rPr>
                <w:rFonts w:hint="eastAsia"/>
                <w:color w:val="000000" w:themeColor="text1"/>
                <w:kern w:val="0"/>
                <w:szCs w:val="21"/>
                <w14:textFill>
                  <w14:solidFill>
                    <w14:schemeClr w14:val="tx1"/>
                  </w14:solidFill>
                </w14:textFill>
              </w:rPr>
              <w:t>）</w:t>
            </w:r>
          </w:p>
        </w:tc>
      </w:tr>
      <w:tr w14:paraId="3CBC57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45" w:hRule="atLeast"/>
          <w:jc w:val="center"/>
        </w:trPr>
        <w:tc>
          <w:tcPr>
            <w:tcW w:w="256" w:type="pct"/>
            <w:noWrap/>
            <w:vAlign w:val="center"/>
          </w:tcPr>
          <w:p w14:paraId="64E63A2A">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规划及规划环境</w:t>
            </w:r>
          </w:p>
          <w:p w14:paraId="5DB1B6E5">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影响评价符合性分析</w:t>
            </w:r>
          </w:p>
        </w:tc>
        <w:tc>
          <w:tcPr>
            <w:tcW w:w="4743" w:type="pct"/>
            <w:gridSpan w:val="4"/>
            <w:noWrap/>
          </w:tcPr>
          <w:p w14:paraId="63CF3920">
            <w:pPr>
              <w:adjustRightInd w:val="0"/>
              <w:snapToGrid w:val="0"/>
              <w:spacing w:line="420" w:lineRule="exact"/>
              <w:ind w:firstLine="422" w:firstLineChars="200"/>
              <w:rPr>
                <w:rFonts w:hint="default"/>
                <w:b/>
                <w:bCs/>
                <w:color w:val="000000" w:themeColor="text1"/>
                <w:kern w:val="0"/>
                <w:szCs w:val="21"/>
                <w:lang w:val="en-US" w:eastAsia="zh-CN"/>
                <w14:textFill>
                  <w14:solidFill>
                    <w14:schemeClr w14:val="tx1"/>
                  </w14:solidFill>
                </w14:textFill>
              </w:rPr>
            </w:pPr>
            <w:r>
              <w:rPr>
                <w:rFonts w:hint="eastAsia"/>
                <w:b/>
                <w:bCs/>
                <w:color w:val="000000" w:themeColor="text1"/>
                <w:kern w:val="0"/>
                <w:szCs w:val="21"/>
                <w:lang w:val="en-US" w:eastAsia="zh-CN"/>
                <w14:textFill>
                  <w14:solidFill>
                    <w14:schemeClr w14:val="tx1"/>
                  </w14:solidFill>
                </w14:textFill>
              </w:rPr>
              <w:t>1、与《常熟高新技术产业开发区发展总体规划（2016-2030）》的相符性分析</w:t>
            </w:r>
          </w:p>
          <w:p w14:paraId="1F0F4C9D">
            <w:pPr>
              <w:adjustRightInd w:val="0"/>
              <w:snapToGrid w:val="0"/>
              <w:spacing w:line="420" w:lineRule="exact"/>
              <w:ind w:firstLine="420" w:firstLineChars="200"/>
              <w:rPr>
                <w:rFonts w:hint="default"/>
                <w:b w:val="0"/>
                <w:bCs w:val="0"/>
                <w:color w:val="000000" w:themeColor="text1"/>
                <w:kern w:val="0"/>
                <w:szCs w:val="21"/>
                <w:lang w:val="en-US" w:eastAsia="zh-CN"/>
                <w14:textFill>
                  <w14:solidFill>
                    <w14:schemeClr w14:val="tx1"/>
                  </w14:solidFill>
                </w14:textFill>
              </w:rPr>
            </w:pPr>
            <w:r>
              <w:rPr>
                <w:rFonts w:hint="eastAsia"/>
                <w:b w:val="0"/>
                <w:bCs w:val="0"/>
                <w:color w:val="000000" w:themeColor="text1"/>
                <w:kern w:val="0"/>
                <w:szCs w:val="21"/>
                <w:lang w:val="en-US" w:eastAsia="zh-CN"/>
                <w14:textFill>
                  <w14:solidFill>
                    <w14:schemeClr w14:val="tx1"/>
                  </w14:solidFill>
                </w14:textFill>
              </w:rPr>
              <w:t>（1）规划范围</w:t>
            </w:r>
          </w:p>
          <w:p w14:paraId="6520B933">
            <w:pPr>
              <w:adjustRightInd w:val="0"/>
              <w:snapToGrid w:val="0"/>
              <w:spacing w:line="420" w:lineRule="exact"/>
              <w:ind w:firstLine="420" w:firstLineChars="200"/>
              <w:rPr>
                <w:rFonts w:hint="default"/>
                <w:b w:val="0"/>
                <w:bCs w:val="0"/>
                <w:color w:val="000000" w:themeColor="text1"/>
                <w:kern w:val="0"/>
                <w:szCs w:val="21"/>
                <w:lang w:val="en-US" w:eastAsia="zh-CN"/>
                <w14:textFill>
                  <w14:solidFill>
                    <w14:schemeClr w14:val="tx1"/>
                  </w14:solidFill>
                </w14:textFill>
              </w:rPr>
            </w:pPr>
            <w:r>
              <w:rPr>
                <w:rFonts w:hint="eastAsia"/>
                <w:b w:val="0"/>
                <w:bCs w:val="0"/>
                <w:color w:val="000000" w:themeColor="text1"/>
                <w:kern w:val="0"/>
                <w:szCs w:val="21"/>
                <w:lang w:val="en-US" w:eastAsia="zh-CN"/>
                <w14:textFill>
                  <w14:solidFill>
                    <w14:schemeClr w14:val="tx1"/>
                  </w14:solidFill>
                </w14:textFill>
              </w:rPr>
              <w:t>常熟高新技术产业开发区规划范围：北至三环路、富春江路、白茆塘，东至四环路，南至锡太一级公路、昆承湖东南岸、金象路、久隆路，西至苏常公路，面积为77.48km</w:t>
            </w:r>
            <w:r>
              <w:rPr>
                <w:rFonts w:hint="eastAsia"/>
                <w:b w:val="0"/>
                <w:bCs w:val="0"/>
                <w:color w:val="000000" w:themeColor="text1"/>
                <w:kern w:val="0"/>
                <w:szCs w:val="21"/>
                <w:vertAlign w:val="superscript"/>
                <w:lang w:val="en-US" w:eastAsia="zh-CN"/>
                <w14:textFill>
                  <w14:solidFill>
                    <w14:schemeClr w14:val="tx1"/>
                  </w14:solidFill>
                </w14:textFill>
              </w:rPr>
              <w:t>2</w:t>
            </w:r>
            <w:r>
              <w:rPr>
                <w:rFonts w:hint="eastAsia"/>
                <w:b w:val="0"/>
                <w:bCs w:val="0"/>
                <w:color w:val="000000" w:themeColor="text1"/>
                <w:kern w:val="0"/>
                <w:szCs w:val="21"/>
                <w:lang w:val="en-US" w:eastAsia="zh-CN"/>
                <w14:textFill>
                  <w14:solidFill>
                    <w14:schemeClr w14:val="tx1"/>
                  </w14:solidFill>
                </w14:textFill>
              </w:rPr>
              <w:t>。</w:t>
            </w:r>
          </w:p>
          <w:p w14:paraId="532DE2E7">
            <w:pPr>
              <w:adjustRightInd w:val="0"/>
              <w:snapToGrid w:val="0"/>
              <w:spacing w:line="420" w:lineRule="exact"/>
              <w:ind w:firstLine="420" w:firstLineChars="200"/>
              <w:rPr>
                <w:rFonts w:hint="default"/>
                <w:b w:val="0"/>
                <w:bCs w:val="0"/>
                <w:color w:val="000000" w:themeColor="text1"/>
                <w:kern w:val="0"/>
                <w:szCs w:val="21"/>
                <w:lang w:val="en-US" w:eastAsia="zh-CN"/>
                <w14:textFill>
                  <w14:solidFill>
                    <w14:schemeClr w14:val="tx1"/>
                  </w14:solidFill>
                </w14:textFill>
              </w:rPr>
            </w:pPr>
            <w:r>
              <w:rPr>
                <w:rFonts w:hint="eastAsia"/>
                <w:b w:val="0"/>
                <w:bCs w:val="0"/>
                <w:color w:val="000000" w:themeColor="text1"/>
                <w:kern w:val="0"/>
                <w:szCs w:val="21"/>
                <w:lang w:val="en-US" w:eastAsia="zh-CN"/>
                <w14:textFill>
                  <w14:solidFill>
                    <w14:schemeClr w14:val="tx1"/>
                  </w14:solidFill>
                </w14:textFill>
              </w:rPr>
              <w:t>（2）功能定位</w:t>
            </w:r>
          </w:p>
          <w:p w14:paraId="40671A1E">
            <w:pPr>
              <w:adjustRightInd w:val="0"/>
              <w:snapToGrid w:val="0"/>
              <w:spacing w:line="420" w:lineRule="exact"/>
              <w:ind w:firstLine="420" w:firstLineChars="200"/>
              <w:rPr>
                <w:rFonts w:hint="default"/>
                <w:b w:val="0"/>
                <w:bCs w:val="0"/>
                <w:color w:val="000000" w:themeColor="text1"/>
                <w:kern w:val="0"/>
                <w:szCs w:val="21"/>
                <w:lang w:val="en-US" w:eastAsia="zh-CN"/>
                <w14:textFill>
                  <w14:solidFill>
                    <w14:schemeClr w14:val="tx1"/>
                  </w14:solidFill>
                </w14:textFill>
              </w:rPr>
            </w:pPr>
            <w:r>
              <w:rPr>
                <w:rFonts w:hint="eastAsia"/>
                <w:b w:val="0"/>
                <w:bCs w:val="0"/>
                <w:color w:val="000000" w:themeColor="text1"/>
                <w:kern w:val="0"/>
                <w:szCs w:val="21"/>
                <w:lang w:val="en-US" w:eastAsia="zh-CN"/>
                <w14:textFill>
                  <w14:solidFill>
                    <w14:schemeClr w14:val="tx1"/>
                  </w14:solidFill>
                </w14:textFill>
              </w:rPr>
              <w:t>以汽车零部件、装备制造、电子信息为主导的南部新城重要产业功能区，兼有生产服务、生活配套功能。</w:t>
            </w:r>
          </w:p>
          <w:p w14:paraId="3EBB3D83">
            <w:pPr>
              <w:adjustRightInd w:val="0"/>
              <w:snapToGrid w:val="0"/>
              <w:spacing w:line="420" w:lineRule="exact"/>
              <w:ind w:firstLine="420" w:firstLineChars="200"/>
              <w:rPr>
                <w:rFonts w:hint="default"/>
                <w:b w:val="0"/>
                <w:bCs w:val="0"/>
                <w:color w:val="000000" w:themeColor="text1"/>
                <w:kern w:val="0"/>
                <w:szCs w:val="21"/>
                <w:lang w:val="en-US" w:eastAsia="zh-CN"/>
                <w14:textFill>
                  <w14:solidFill>
                    <w14:schemeClr w14:val="tx1"/>
                  </w14:solidFill>
                </w14:textFill>
              </w:rPr>
            </w:pPr>
            <w:r>
              <w:rPr>
                <w:rFonts w:hint="eastAsia"/>
                <w:b w:val="0"/>
                <w:bCs w:val="0"/>
                <w:color w:val="000000" w:themeColor="text1"/>
                <w:kern w:val="0"/>
                <w:szCs w:val="21"/>
                <w:lang w:val="en-US" w:eastAsia="zh-CN"/>
                <w14:textFill>
                  <w14:solidFill>
                    <w14:schemeClr w14:val="tx1"/>
                  </w14:solidFill>
                </w14:textFill>
              </w:rPr>
              <w:t>（3）规划结构</w:t>
            </w:r>
          </w:p>
          <w:p w14:paraId="47ECB0D2">
            <w:pPr>
              <w:adjustRightInd w:val="0"/>
              <w:snapToGrid w:val="0"/>
              <w:spacing w:line="420" w:lineRule="exact"/>
              <w:ind w:firstLine="420" w:firstLineChars="200"/>
              <w:rPr>
                <w:rFonts w:hint="eastAsia"/>
                <w:b w:val="0"/>
                <w:bCs w:val="0"/>
                <w:color w:val="000000" w:themeColor="text1"/>
                <w:kern w:val="0"/>
                <w:szCs w:val="21"/>
                <w:lang w:val="en-US" w:eastAsia="zh-CN"/>
                <w14:textFill>
                  <w14:solidFill>
                    <w14:schemeClr w14:val="tx1"/>
                  </w14:solidFill>
                </w14:textFill>
              </w:rPr>
            </w:pPr>
            <w:r>
              <w:rPr>
                <w:rFonts w:hint="eastAsia"/>
                <w:b w:val="0"/>
                <w:bCs w:val="0"/>
                <w:color w:val="000000" w:themeColor="text1"/>
                <w:kern w:val="0"/>
                <w:szCs w:val="21"/>
                <w:lang w:val="en-US" w:eastAsia="zh-CN"/>
                <w14:textFill>
                  <w14:solidFill>
                    <w14:schemeClr w14:val="tx1"/>
                  </w14:solidFill>
                </w14:textFill>
              </w:rPr>
              <w:t>规划区在功能布局、服务体系等方面形成如下布局结构：</w:t>
            </w:r>
          </w:p>
          <w:p w14:paraId="63E7C89B">
            <w:pPr>
              <w:adjustRightInd w:val="0"/>
              <w:snapToGrid w:val="0"/>
              <w:spacing w:line="420" w:lineRule="exact"/>
              <w:ind w:firstLine="420" w:firstLineChars="200"/>
              <w:rPr>
                <w:rFonts w:hint="default"/>
                <w:b w:val="0"/>
                <w:bCs w:val="0"/>
                <w:color w:val="000000" w:themeColor="text1"/>
                <w:kern w:val="0"/>
                <w:szCs w:val="21"/>
                <w:lang w:val="en-US" w:eastAsia="zh-CN"/>
                <w14:textFill>
                  <w14:solidFill>
                    <w14:schemeClr w14:val="tx1"/>
                  </w14:solidFill>
                </w14:textFill>
              </w:rPr>
            </w:pPr>
            <w:r>
              <w:rPr>
                <w:rFonts w:hint="eastAsia"/>
                <w:b w:val="0"/>
                <w:bCs w:val="0"/>
                <w:color w:val="000000" w:themeColor="text1"/>
                <w:kern w:val="0"/>
                <w:szCs w:val="21"/>
                <w:lang w:val="en-US" w:eastAsia="zh-CN"/>
                <w14:textFill>
                  <w14:solidFill>
                    <w14:schemeClr w14:val="tx1"/>
                  </w14:solidFill>
                </w14:textFill>
              </w:rPr>
              <w:t>①功能布局：一区两片</w:t>
            </w:r>
          </w:p>
          <w:p w14:paraId="3839D99B">
            <w:pPr>
              <w:adjustRightInd w:val="0"/>
              <w:snapToGrid w:val="0"/>
              <w:spacing w:line="420" w:lineRule="exact"/>
              <w:ind w:firstLine="420" w:firstLineChars="200"/>
              <w:rPr>
                <w:rFonts w:hint="default"/>
                <w:b w:val="0"/>
                <w:bCs w:val="0"/>
                <w:color w:val="000000" w:themeColor="text1"/>
                <w:kern w:val="0"/>
                <w:szCs w:val="21"/>
                <w:lang w:val="en-US" w:eastAsia="zh-CN"/>
                <w14:textFill>
                  <w14:solidFill>
                    <w14:schemeClr w14:val="tx1"/>
                  </w14:solidFill>
                </w14:textFill>
              </w:rPr>
            </w:pPr>
            <w:r>
              <w:rPr>
                <w:rFonts w:hint="eastAsia"/>
                <w:b w:val="0"/>
                <w:bCs w:val="0"/>
                <w:color w:val="000000" w:themeColor="text1"/>
                <w:kern w:val="0"/>
                <w:szCs w:val="21"/>
                <w:lang w:val="en-US" w:eastAsia="zh-CN"/>
                <w14:textFill>
                  <w14:solidFill>
                    <w14:schemeClr w14:val="tx1"/>
                  </w14:solidFill>
                </w14:textFill>
              </w:rPr>
              <w:t>一区：区内工业用地与东侧的工业区整体形成高新区以汽车零部件、装备制造、电子信息为主导的产业功能区。</w:t>
            </w:r>
          </w:p>
          <w:p w14:paraId="320AF426">
            <w:pPr>
              <w:adjustRightInd w:val="0"/>
              <w:snapToGrid w:val="0"/>
              <w:spacing w:line="420" w:lineRule="exact"/>
              <w:ind w:firstLine="420" w:firstLineChars="200"/>
              <w:rPr>
                <w:rFonts w:hint="default"/>
                <w:b w:val="0"/>
                <w:bCs w:val="0"/>
                <w:color w:val="000000" w:themeColor="text1"/>
                <w:kern w:val="0"/>
                <w:szCs w:val="21"/>
                <w:lang w:val="en-US" w:eastAsia="zh-CN"/>
                <w14:textFill>
                  <w14:solidFill>
                    <w14:schemeClr w14:val="tx1"/>
                  </w14:solidFill>
                </w14:textFill>
              </w:rPr>
            </w:pPr>
            <w:r>
              <w:rPr>
                <w:rFonts w:hint="eastAsia"/>
                <w:b w:val="0"/>
                <w:bCs w:val="0"/>
                <w:color w:val="000000" w:themeColor="text1"/>
                <w:kern w:val="0"/>
                <w:szCs w:val="21"/>
                <w:lang w:val="en-US" w:eastAsia="zh-CN"/>
                <w14:textFill>
                  <w14:solidFill>
                    <w14:schemeClr w14:val="tx1"/>
                  </w14:solidFill>
                </w14:textFill>
              </w:rPr>
              <w:t>两片：规划区内白茆塘沿线和苏家滃沿线形成两片生活居住区，与黄山路以西的生活居住紧密相连。</w:t>
            </w:r>
          </w:p>
          <w:p w14:paraId="2DBF9455">
            <w:pPr>
              <w:adjustRightInd w:val="0"/>
              <w:snapToGrid w:val="0"/>
              <w:spacing w:line="420" w:lineRule="exact"/>
              <w:ind w:firstLine="420" w:firstLineChars="200"/>
              <w:rPr>
                <w:rFonts w:hint="default"/>
                <w:b w:val="0"/>
                <w:bCs w:val="0"/>
                <w:color w:val="000000" w:themeColor="text1"/>
                <w:kern w:val="0"/>
                <w:szCs w:val="21"/>
                <w:lang w:val="en-US" w:eastAsia="zh-CN"/>
                <w14:textFill>
                  <w14:solidFill>
                    <w14:schemeClr w14:val="tx1"/>
                  </w14:solidFill>
                </w14:textFill>
              </w:rPr>
            </w:pPr>
            <w:r>
              <w:rPr>
                <w:rFonts w:hint="eastAsia"/>
                <w:b w:val="0"/>
                <w:bCs w:val="0"/>
                <w:color w:val="000000" w:themeColor="text1"/>
                <w:kern w:val="0"/>
                <w:szCs w:val="21"/>
                <w:lang w:val="en-US" w:eastAsia="zh-CN"/>
                <w14:textFill>
                  <w14:solidFill>
                    <w14:schemeClr w14:val="tx1"/>
                  </w14:solidFill>
                </w14:textFill>
              </w:rPr>
              <w:t>②服务体系：一心七点</w:t>
            </w:r>
          </w:p>
          <w:p w14:paraId="5CC07CAE">
            <w:pPr>
              <w:adjustRightInd w:val="0"/>
              <w:snapToGrid w:val="0"/>
              <w:spacing w:line="420" w:lineRule="exact"/>
              <w:ind w:firstLine="420" w:firstLineChars="200"/>
              <w:rPr>
                <w:rFonts w:hint="default"/>
                <w:b w:val="0"/>
                <w:bCs w:val="0"/>
                <w:color w:val="000000" w:themeColor="text1"/>
                <w:kern w:val="0"/>
                <w:szCs w:val="21"/>
                <w:lang w:val="en-US" w:eastAsia="zh-CN"/>
                <w14:textFill>
                  <w14:solidFill>
                    <w14:schemeClr w14:val="tx1"/>
                  </w14:solidFill>
                </w14:textFill>
              </w:rPr>
            </w:pPr>
            <w:r>
              <w:rPr>
                <w:rFonts w:hint="eastAsia"/>
                <w:b w:val="0"/>
                <w:bCs w:val="0"/>
                <w:color w:val="000000" w:themeColor="text1"/>
                <w:kern w:val="0"/>
                <w:szCs w:val="21"/>
                <w:lang w:val="en-US" w:eastAsia="zh-CN"/>
                <w14:textFill>
                  <w14:solidFill>
                    <w14:schemeClr w14:val="tx1"/>
                  </w14:solidFill>
                </w14:textFill>
              </w:rPr>
              <w:t>一心：在白茆塘南、庐山路东形成片区级公共服务中心，重点服务白茆塘沿线的生活居住片区以及周边产业区块，满足居民和产业工人的生活服务需求。</w:t>
            </w:r>
          </w:p>
          <w:p w14:paraId="6758581C">
            <w:pPr>
              <w:adjustRightInd w:val="0"/>
              <w:snapToGrid w:val="0"/>
              <w:spacing w:line="420" w:lineRule="exact"/>
              <w:ind w:firstLine="420" w:firstLineChars="200"/>
              <w:rPr>
                <w:rFonts w:hint="eastAsia"/>
                <w:b w:val="0"/>
                <w:bCs w:val="0"/>
                <w:color w:val="000000" w:themeColor="text1"/>
                <w:kern w:val="0"/>
                <w:szCs w:val="21"/>
                <w:lang w:val="en-US" w:eastAsia="zh-CN"/>
                <w14:textFill>
                  <w14:solidFill>
                    <w14:schemeClr w14:val="tx1"/>
                  </w14:solidFill>
                </w14:textFill>
              </w:rPr>
            </w:pPr>
            <w:r>
              <w:rPr>
                <w:rFonts w:hint="eastAsia"/>
                <w:b w:val="0"/>
                <w:bCs w:val="0"/>
                <w:color w:val="000000" w:themeColor="text1"/>
                <w:kern w:val="0"/>
                <w:szCs w:val="21"/>
                <w:lang w:val="en-US" w:eastAsia="zh-CN"/>
                <w14:textFill>
                  <w14:solidFill>
                    <w14:schemeClr w14:val="tx1"/>
                  </w14:solidFill>
                </w14:textFill>
              </w:rPr>
              <w:t>七点：包括一个商贸物流节点，三个社区服务节点，两个产业区服务节点，一个研发节点；商贸物流节点布置于富春江路与黄山路交汇区域，结合现状市场基础重点发展商业性商务、商贸流通等功能。社区服务节点分别在小康、新安、金狮三个居住社区进行配置；两个产业区服务节点分别位于金龙湖周边、银河路中间区段，以产业工人集宿、生活服务配套等功能为主；一个研发节点位于东南大道北、庐山路东，为现状保留的产业创新中心。</w:t>
            </w:r>
          </w:p>
          <w:p w14:paraId="52BBC6B8">
            <w:pPr>
              <w:adjustRightInd w:val="0"/>
              <w:snapToGrid w:val="0"/>
              <w:spacing w:line="420" w:lineRule="exact"/>
              <w:ind w:firstLine="420" w:firstLineChars="200"/>
              <w:rPr>
                <w:rFonts w:hint="eastAsia"/>
                <w:b w:val="0"/>
                <w:bCs w:val="0"/>
                <w:color w:val="000000" w:themeColor="text1"/>
                <w:kern w:val="0"/>
                <w:szCs w:val="21"/>
                <w:lang w:val="en-US" w:eastAsia="zh-CN"/>
                <w14:textFill>
                  <w14:solidFill>
                    <w14:schemeClr w14:val="tx1"/>
                  </w14:solidFill>
                </w14:textFill>
              </w:rPr>
            </w:pPr>
            <w:r>
              <w:rPr>
                <w:rFonts w:hint="eastAsia"/>
                <w:b w:val="0"/>
                <w:bCs w:val="0"/>
                <w:color w:val="000000" w:themeColor="text1"/>
                <w:kern w:val="0"/>
                <w:szCs w:val="21"/>
                <w:lang w:val="en-US" w:eastAsia="zh-CN"/>
                <w14:textFill>
                  <w14:solidFill>
                    <w14:schemeClr w14:val="tx1"/>
                  </w14:solidFill>
                </w14:textFill>
              </w:rPr>
              <w:t>（4）基础设施规划</w:t>
            </w:r>
          </w:p>
          <w:p w14:paraId="4CEEF6A1">
            <w:pPr>
              <w:adjustRightInd w:val="0"/>
              <w:snapToGrid w:val="0"/>
              <w:spacing w:line="420" w:lineRule="exact"/>
              <w:ind w:firstLine="420" w:firstLineChars="200"/>
              <w:rPr>
                <w:rFonts w:hint="default"/>
                <w:b w:val="0"/>
                <w:bCs w:val="0"/>
                <w:color w:val="000000" w:themeColor="text1"/>
                <w:kern w:val="0"/>
                <w:szCs w:val="21"/>
                <w:lang w:val="en-US" w:eastAsia="zh-CN"/>
                <w14:textFill>
                  <w14:solidFill>
                    <w14:schemeClr w14:val="tx1"/>
                  </w14:solidFill>
                </w14:textFill>
              </w:rPr>
            </w:pPr>
            <w:r>
              <w:rPr>
                <w:rFonts w:hint="eastAsia"/>
                <w:b w:val="0"/>
                <w:bCs w:val="0"/>
                <w:color w:val="000000" w:themeColor="text1"/>
                <w:kern w:val="0"/>
                <w:szCs w:val="21"/>
                <w:lang w:val="en-US" w:eastAsia="zh-CN"/>
                <w14:textFill>
                  <w14:solidFill>
                    <w14:schemeClr w14:val="tx1"/>
                  </w14:solidFill>
                </w14:textFill>
              </w:rPr>
              <w:t>现开发区实行集中供热、供水、供电和统一污水处理。</w:t>
            </w:r>
          </w:p>
          <w:p w14:paraId="716C033C">
            <w:pPr>
              <w:adjustRightInd w:val="0"/>
              <w:snapToGrid w:val="0"/>
              <w:spacing w:line="420" w:lineRule="exact"/>
              <w:ind w:firstLine="420" w:firstLineChars="200"/>
              <w:rPr>
                <w:rFonts w:hint="eastAsia"/>
                <w:b w:val="0"/>
                <w:bCs w:val="0"/>
                <w:color w:val="000000" w:themeColor="text1"/>
                <w:kern w:val="0"/>
                <w:szCs w:val="21"/>
                <w:lang w:val="en-US" w:eastAsia="zh-CN"/>
                <w14:textFill>
                  <w14:solidFill>
                    <w14:schemeClr w14:val="tx1"/>
                  </w14:solidFill>
                </w14:textFill>
              </w:rPr>
            </w:pPr>
            <w:r>
              <w:rPr>
                <w:rFonts w:hint="eastAsia"/>
                <w:b w:val="0"/>
                <w:bCs w:val="0"/>
                <w:color w:val="000000" w:themeColor="text1"/>
                <w:kern w:val="0"/>
                <w:szCs w:val="21"/>
                <w:lang w:val="en-US" w:eastAsia="zh-CN"/>
                <w14:textFill>
                  <w14:solidFill>
                    <w14:schemeClr w14:val="tx1"/>
                  </w14:solidFill>
                </w14:textFill>
              </w:rPr>
              <w:t>①集中供热：常熟高新技术产业开发区以中电常熟热电厂作为热源点。目前中电常熟热电厂已经建成。《中电常熟热电项目天然气管道专项规划》（2021年修订版）按照近、远期两个阶段，近期（2021~2025年）向中电常熟热电有限公司供气2.8*10</w:t>
            </w:r>
            <w:r>
              <w:rPr>
                <w:rFonts w:hint="eastAsia"/>
                <w:b w:val="0"/>
                <w:bCs w:val="0"/>
                <w:color w:val="000000" w:themeColor="text1"/>
                <w:kern w:val="0"/>
                <w:szCs w:val="21"/>
                <w:vertAlign w:val="superscript"/>
                <w:lang w:val="en-US" w:eastAsia="zh-CN"/>
                <w14:textFill>
                  <w14:solidFill>
                    <w14:schemeClr w14:val="tx1"/>
                  </w14:solidFill>
                </w14:textFill>
              </w:rPr>
              <w:t>8</w:t>
            </w:r>
            <w:r>
              <w:rPr>
                <w:rFonts w:hint="eastAsia"/>
                <w:b w:val="0"/>
                <w:bCs w:val="0"/>
                <w:color w:val="000000" w:themeColor="text1"/>
                <w:kern w:val="0"/>
                <w:szCs w:val="21"/>
                <w:lang w:val="en-US" w:eastAsia="zh-CN"/>
                <w14:textFill>
                  <w14:solidFill>
                    <w14:schemeClr w14:val="tx1"/>
                  </w14:solidFill>
                </w14:textFill>
              </w:rPr>
              <w:t>Nm</w:t>
            </w:r>
            <w:r>
              <w:rPr>
                <w:rFonts w:hint="eastAsia"/>
                <w:b w:val="0"/>
                <w:bCs w:val="0"/>
                <w:color w:val="000000" w:themeColor="text1"/>
                <w:kern w:val="0"/>
                <w:szCs w:val="21"/>
                <w:vertAlign w:val="superscript"/>
                <w:lang w:val="en-US" w:eastAsia="zh-CN"/>
                <w14:textFill>
                  <w14:solidFill>
                    <w14:schemeClr w14:val="tx1"/>
                  </w14:solidFill>
                </w14:textFill>
              </w:rPr>
              <w:t>3</w:t>
            </w:r>
            <w:r>
              <w:rPr>
                <w:rFonts w:hint="eastAsia"/>
                <w:b w:val="0"/>
                <w:bCs w:val="0"/>
                <w:color w:val="000000" w:themeColor="text1"/>
                <w:kern w:val="0"/>
                <w:szCs w:val="21"/>
                <w:lang w:val="en-US" w:eastAsia="zh-CN"/>
                <w14:textFill>
                  <w14:solidFill>
                    <w14:schemeClr w14:val="tx1"/>
                  </w14:solidFill>
                </w14:textFill>
              </w:rPr>
              <w:t>/a，远期（2026~2030年）向中电常熟热电有限公司供气5.0*10</w:t>
            </w:r>
            <w:r>
              <w:rPr>
                <w:rFonts w:hint="eastAsia"/>
                <w:b w:val="0"/>
                <w:bCs w:val="0"/>
                <w:color w:val="000000" w:themeColor="text1"/>
                <w:kern w:val="0"/>
                <w:szCs w:val="21"/>
                <w:vertAlign w:val="superscript"/>
                <w:lang w:val="en-US" w:eastAsia="zh-CN"/>
                <w14:textFill>
                  <w14:solidFill>
                    <w14:schemeClr w14:val="tx1"/>
                  </w14:solidFill>
                </w14:textFill>
              </w:rPr>
              <w:t>8</w:t>
            </w:r>
            <w:r>
              <w:rPr>
                <w:rFonts w:hint="eastAsia"/>
                <w:b w:val="0"/>
                <w:bCs w:val="0"/>
                <w:color w:val="000000" w:themeColor="text1"/>
                <w:kern w:val="0"/>
                <w:szCs w:val="21"/>
                <w:lang w:val="en-US" w:eastAsia="zh-CN"/>
                <w14:textFill>
                  <w14:solidFill>
                    <w14:schemeClr w14:val="tx1"/>
                  </w14:solidFill>
                </w14:textFill>
              </w:rPr>
              <w:t>Nm</w:t>
            </w:r>
            <w:r>
              <w:rPr>
                <w:rFonts w:hint="eastAsia"/>
                <w:b w:val="0"/>
                <w:bCs w:val="0"/>
                <w:color w:val="000000" w:themeColor="text1"/>
                <w:kern w:val="0"/>
                <w:szCs w:val="21"/>
                <w:vertAlign w:val="superscript"/>
                <w:lang w:val="en-US" w:eastAsia="zh-CN"/>
                <w14:textFill>
                  <w14:solidFill>
                    <w14:schemeClr w14:val="tx1"/>
                  </w14:solidFill>
                </w14:textFill>
              </w:rPr>
              <w:t>3</w:t>
            </w:r>
            <w:r>
              <w:rPr>
                <w:rFonts w:hint="eastAsia"/>
                <w:b w:val="0"/>
                <w:bCs w:val="0"/>
                <w:color w:val="000000" w:themeColor="text1"/>
                <w:kern w:val="0"/>
                <w:szCs w:val="21"/>
                <w:lang w:val="en-US" w:eastAsia="zh-CN"/>
                <w14:textFill>
                  <w14:solidFill>
                    <w14:schemeClr w14:val="tx1"/>
                  </w14:solidFill>
                </w14:textFill>
              </w:rPr>
              <w:t>/a。目前中电常熟2台100兆瓦级燃气—蒸汽联合循环机组已建成，已对开发区集中供热。</w:t>
            </w:r>
          </w:p>
          <w:p w14:paraId="1253C1F4">
            <w:pPr>
              <w:adjustRightInd w:val="0"/>
              <w:snapToGrid w:val="0"/>
              <w:spacing w:line="420" w:lineRule="exact"/>
              <w:ind w:firstLine="420" w:firstLineChars="200"/>
              <w:rPr>
                <w:rFonts w:hint="eastAsia"/>
                <w:b w:val="0"/>
                <w:bCs w:val="0"/>
                <w:color w:val="000000" w:themeColor="text1"/>
                <w:kern w:val="0"/>
                <w:szCs w:val="21"/>
                <w:lang w:val="en-US" w:eastAsia="zh-CN"/>
                <w14:textFill>
                  <w14:solidFill>
                    <w14:schemeClr w14:val="tx1"/>
                  </w14:solidFill>
                </w14:textFill>
              </w:rPr>
            </w:pPr>
            <w:r>
              <w:rPr>
                <w:rFonts w:hint="eastAsia"/>
                <w:b w:val="0"/>
                <w:bCs w:val="0"/>
                <w:color w:val="000000" w:themeColor="text1"/>
                <w:kern w:val="0"/>
                <w:szCs w:val="21"/>
                <w:lang w:val="en-US" w:eastAsia="zh-CN"/>
                <w14:textFill>
                  <w14:solidFill>
                    <w14:schemeClr w14:val="tx1"/>
                  </w14:solidFill>
                </w14:textFill>
              </w:rPr>
              <w:t>②供水：常熟高新区供水采用常熟市区域供水的方式，由区域水厂统一供应。高新区主要由新建的古里增压泵站和藕渠增压泵站供水。</w:t>
            </w:r>
          </w:p>
          <w:p w14:paraId="5A9B5AD1">
            <w:pPr>
              <w:adjustRightInd w:val="0"/>
              <w:snapToGrid w:val="0"/>
              <w:spacing w:line="420" w:lineRule="exact"/>
              <w:ind w:firstLine="420" w:firstLineChars="200"/>
              <w:rPr>
                <w:rFonts w:hint="eastAsia"/>
                <w:b w:val="0"/>
                <w:bCs w:val="0"/>
                <w:color w:val="000000" w:themeColor="text1"/>
                <w:kern w:val="0"/>
                <w:szCs w:val="21"/>
                <w:lang w:val="en-US" w:eastAsia="zh-CN"/>
                <w14:textFill>
                  <w14:solidFill>
                    <w14:schemeClr w14:val="tx1"/>
                  </w14:solidFill>
                </w14:textFill>
              </w:rPr>
            </w:pPr>
            <w:r>
              <w:rPr>
                <w:rFonts w:hint="eastAsia"/>
                <w:b w:val="0"/>
                <w:bCs w:val="0"/>
                <w:color w:val="000000" w:themeColor="text1"/>
                <w:kern w:val="0"/>
                <w:szCs w:val="21"/>
                <w:lang w:val="en-US" w:eastAsia="zh-CN"/>
                <w14:textFill>
                  <w14:solidFill>
                    <w14:schemeClr w14:val="tx1"/>
                  </w14:solidFill>
                </w14:textFill>
              </w:rPr>
              <w:t>③排水工程：开发区内采用雨污分流的排水体制。雨水收集采用分组团，分片收集，就近以重力流排入水体。分区按地形特点及主要河流水系来划分，开发区内可分为多个相对独立的雨水收集系统、排放分区。高新区污水排放按流域划片，其中张家港河以西区域，纳入常熟市东南污水处理厂服务范围；张家港河以东区域，纳入凯发新泉污水处理厂处理。开发区新建城东净水厂，规模12万t/d。凯发新泉水务（常熟）有限公司采用厌氧水解酸化+活性污泥法工艺处理，可接纳工业废水和生活污水，尾水达标后排入白茆塘。凯发新泉水务（常熟）有限公司设计规模为6万m</w:t>
            </w:r>
            <w:r>
              <w:rPr>
                <w:rFonts w:hint="eastAsia"/>
                <w:b w:val="0"/>
                <w:bCs w:val="0"/>
                <w:color w:val="000000" w:themeColor="text1"/>
                <w:kern w:val="0"/>
                <w:szCs w:val="21"/>
                <w:vertAlign w:val="superscript"/>
                <w:lang w:val="en-US" w:eastAsia="zh-CN"/>
                <w14:textFill>
                  <w14:solidFill>
                    <w14:schemeClr w14:val="tx1"/>
                  </w14:solidFill>
                </w14:textFill>
              </w:rPr>
              <w:t>3</w:t>
            </w:r>
            <w:r>
              <w:rPr>
                <w:rFonts w:hint="eastAsia"/>
                <w:b w:val="0"/>
                <w:bCs w:val="0"/>
                <w:color w:val="000000" w:themeColor="text1"/>
                <w:kern w:val="0"/>
                <w:szCs w:val="21"/>
                <w:lang w:val="en-US" w:eastAsia="zh-CN"/>
                <w14:textFill>
                  <w14:solidFill>
                    <w14:schemeClr w14:val="tx1"/>
                  </w14:solidFill>
                </w14:textFill>
              </w:rPr>
              <w:t>/d，目前一期3万m</w:t>
            </w:r>
            <w:r>
              <w:rPr>
                <w:rFonts w:hint="eastAsia"/>
                <w:b w:val="0"/>
                <w:bCs w:val="0"/>
                <w:color w:val="000000" w:themeColor="text1"/>
                <w:kern w:val="0"/>
                <w:szCs w:val="21"/>
                <w:vertAlign w:val="superscript"/>
                <w:lang w:val="en-US" w:eastAsia="zh-CN"/>
                <w14:textFill>
                  <w14:solidFill>
                    <w14:schemeClr w14:val="tx1"/>
                  </w14:solidFill>
                </w14:textFill>
              </w:rPr>
              <w:t>3</w:t>
            </w:r>
            <w:r>
              <w:rPr>
                <w:rFonts w:hint="eastAsia"/>
                <w:b w:val="0"/>
                <w:bCs w:val="0"/>
                <w:color w:val="000000" w:themeColor="text1"/>
                <w:kern w:val="0"/>
                <w:szCs w:val="21"/>
                <w:lang w:val="en-US" w:eastAsia="zh-CN"/>
                <w14:textFill>
                  <w14:solidFill>
                    <w14:schemeClr w14:val="tx1"/>
                  </w14:solidFill>
                </w14:textFill>
              </w:rPr>
              <w:t>/d及二期1万m</w:t>
            </w:r>
            <w:r>
              <w:rPr>
                <w:rFonts w:hint="eastAsia"/>
                <w:b w:val="0"/>
                <w:bCs w:val="0"/>
                <w:color w:val="000000" w:themeColor="text1"/>
                <w:kern w:val="0"/>
                <w:szCs w:val="21"/>
                <w:vertAlign w:val="superscript"/>
                <w:lang w:val="en-US" w:eastAsia="zh-CN"/>
                <w14:textFill>
                  <w14:solidFill>
                    <w14:schemeClr w14:val="tx1"/>
                  </w14:solidFill>
                </w14:textFill>
              </w:rPr>
              <w:t>3</w:t>
            </w:r>
            <w:r>
              <w:rPr>
                <w:rFonts w:hint="eastAsia"/>
                <w:b w:val="0"/>
                <w:bCs w:val="0"/>
                <w:color w:val="000000" w:themeColor="text1"/>
                <w:kern w:val="0"/>
                <w:szCs w:val="21"/>
                <w:lang w:val="en-US" w:eastAsia="zh-CN"/>
                <w14:textFill>
                  <w14:solidFill>
                    <w14:schemeClr w14:val="tx1"/>
                  </w14:solidFill>
                </w14:textFill>
              </w:rPr>
              <w:t>/d均已投入运行。城东净水厂尾水达标后排入大滃河。城东净水厂设计规模为12万m</w:t>
            </w:r>
            <w:r>
              <w:rPr>
                <w:rFonts w:hint="eastAsia"/>
                <w:b w:val="0"/>
                <w:bCs w:val="0"/>
                <w:color w:val="000000" w:themeColor="text1"/>
                <w:kern w:val="0"/>
                <w:szCs w:val="21"/>
                <w:vertAlign w:val="superscript"/>
                <w:lang w:val="en-US" w:eastAsia="zh-CN"/>
                <w14:textFill>
                  <w14:solidFill>
                    <w14:schemeClr w14:val="tx1"/>
                  </w14:solidFill>
                </w14:textFill>
              </w:rPr>
              <w:t>3</w:t>
            </w:r>
            <w:r>
              <w:rPr>
                <w:rFonts w:hint="eastAsia"/>
                <w:b w:val="0"/>
                <w:bCs w:val="0"/>
                <w:color w:val="000000" w:themeColor="text1"/>
                <w:kern w:val="0"/>
                <w:szCs w:val="21"/>
                <w:lang w:val="en-US" w:eastAsia="zh-CN"/>
                <w14:textFill>
                  <w14:solidFill>
                    <w14:schemeClr w14:val="tx1"/>
                  </w14:solidFill>
                </w14:textFill>
              </w:rPr>
              <w:t>/d，目前已投入运行。</w:t>
            </w:r>
          </w:p>
          <w:p w14:paraId="6AF68AAB">
            <w:pPr>
              <w:adjustRightInd w:val="0"/>
              <w:snapToGrid w:val="0"/>
              <w:spacing w:line="420" w:lineRule="exact"/>
              <w:ind w:firstLine="420" w:firstLineChars="200"/>
              <w:rPr>
                <w:rFonts w:hint="default"/>
                <w:b w:val="0"/>
                <w:bCs w:val="0"/>
                <w:color w:val="000000" w:themeColor="text1"/>
                <w:kern w:val="0"/>
                <w:szCs w:val="21"/>
                <w:lang w:val="en-US" w:eastAsia="zh-CN"/>
                <w14:textFill>
                  <w14:solidFill>
                    <w14:schemeClr w14:val="tx1"/>
                  </w14:solidFill>
                </w14:textFill>
              </w:rPr>
            </w:pPr>
            <w:r>
              <w:rPr>
                <w:rFonts w:hint="eastAsia"/>
                <w:b w:val="0"/>
                <w:bCs w:val="0"/>
                <w:color w:val="000000" w:themeColor="text1"/>
                <w:kern w:val="0"/>
                <w:szCs w:val="21"/>
                <w:lang w:val="en-US" w:eastAsia="zh-CN"/>
                <w14:textFill>
                  <w14:solidFill>
                    <w14:schemeClr w14:val="tx1"/>
                  </w14:solidFill>
                </w14:textFill>
              </w:rPr>
              <w:t>④管网工程：目前开发区内污水管网已经全部建设完成，已经覆盖整个开发区内，因此开发区内所有企业的废水在达到接管标准的前提下均可排入凯发新泉水务（常熟）有限公司或城东净水厂进行接管处理。</w:t>
            </w:r>
          </w:p>
          <w:p w14:paraId="6A1553EC">
            <w:pPr>
              <w:adjustRightInd w:val="0"/>
              <w:snapToGrid w:val="0"/>
              <w:spacing w:line="420" w:lineRule="exact"/>
              <w:ind w:firstLine="420" w:firstLineChars="200"/>
              <w:rPr>
                <w:rFonts w:hint="eastAsia"/>
                <w:b w:val="0"/>
                <w:bCs w:val="0"/>
                <w:color w:val="000000" w:themeColor="text1"/>
                <w:kern w:val="0"/>
                <w:szCs w:val="21"/>
                <w:lang w:val="en-US" w:eastAsia="zh-CN"/>
                <w14:textFill>
                  <w14:solidFill>
                    <w14:schemeClr w14:val="tx1"/>
                  </w14:solidFill>
                </w14:textFill>
              </w:rPr>
            </w:pPr>
            <w:r>
              <w:rPr>
                <w:rFonts w:hint="eastAsia"/>
                <w:b w:val="0"/>
                <w:bCs w:val="0"/>
                <w:color w:val="000000" w:themeColor="text1"/>
                <w:kern w:val="0"/>
                <w:szCs w:val="21"/>
                <w:lang w:val="en-US" w:eastAsia="zh-CN"/>
                <w14:textFill>
                  <w14:solidFill>
                    <w14:schemeClr w14:val="tx1"/>
                  </w14:solidFill>
                </w14:textFill>
              </w:rPr>
              <w:t>⑤供电工程：根据常熟市市域电网规划，在开发区以西新建220KV熟南变电所，主变容为2*180MVA，在开发区新建220KV承湖变电所，主变容为2*180MVA。规划近期在虞东、熟南和承湖3个220KV变电站间形成环路，形成园区安全、稳定的供电网络，并在规划中新建昆承110KV变电所。</w:t>
            </w:r>
          </w:p>
          <w:p w14:paraId="471D0689">
            <w:pPr>
              <w:adjustRightInd w:val="0"/>
              <w:snapToGrid w:val="0"/>
              <w:spacing w:line="420" w:lineRule="exact"/>
              <w:ind w:firstLine="420" w:firstLineChars="200"/>
              <w:rPr>
                <w:rFonts w:hint="eastAsia"/>
                <w:b w:val="0"/>
                <w:bCs w:val="0"/>
                <w:color w:val="000000" w:themeColor="text1"/>
                <w:kern w:val="0"/>
                <w:szCs w:val="21"/>
                <w:lang w:val="en-US" w:eastAsia="zh-CN"/>
                <w14:textFill>
                  <w14:solidFill>
                    <w14:schemeClr w14:val="tx1"/>
                  </w14:solidFill>
                </w14:textFill>
              </w:rPr>
            </w:pPr>
            <w:r>
              <w:rPr>
                <w:rFonts w:hint="eastAsia"/>
                <w:b w:val="0"/>
                <w:bCs w:val="0"/>
                <w:color w:val="000000" w:themeColor="text1"/>
                <w:kern w:val="0"/>
                <w:szCs w:val="21"/>
                <w:lang w:val="en-US" w:eastAsia="zh-CN"/>
                <w14:textFill>
                  <w14:solidFill>
                    <w14:schemeClr w14:val="tx1"/>
                  </w14:solidFill>
                </w14:textFill>
              </w:rPr>
              <w:t>⑥燃气规划本区块规划气源为“西气东输”天然气，天然气主要来自沙家浜门站，天然气低热值按36.33兆焦/标准立方米计。高新区燃气管网采用中压一级和中低压二级相结合方式。新建天然气中压管道以燃气用聚乙烯管（PE管）为主，燃气管道布置在人行道或绿化带内，现状已敷设管道的路段，新建管道利用现有的管道接口沿道路同侧自然延伸；未敷设管道的路段，新建燃气管道一般位于东西向道路的北侧、南北向道路的西侧。</w:t>
            </w:r>
          </w:p>
          <w:p w14:paraId="443D9BCB">
            <w:pPr>
              <w:spacing w:line="240" w:lineRule="auto"/>
              <w:jc w:val="center"/>
              <w:rPr>
                <w:rFonts w:hint="default" w:ascii="Times New Roman" w:hAnsi="Times New Roman" w:eastAsia="仿宋_GB2312" w:cs="Times New Roman"/>
                <w:b/>
                <w:bCs/>
                <w:color w:val="000000" w:themeColor="text1"/>
                <w:sz w:val="22"/>
                <w:highlight w:val="none"/>
                <w14:textFill>
                  <w14:solidFill>
                    <w14:schemeClr w14:val="tx1"/>
                  </w14:solidFill>
                </w14:textFill>
              </w:rPr>
            </w:pPr>
            <w:r>
              <w:rPr>
                <w:rFonts w:hint="default" w:ascii="Times New Roman" w:hAnsi="Times New Roman" w:eastAsia="仿宋_GB2312" w:cs="Times New Roman"/>
                <w:b/>
                <w:bCs/>
                <w:color w:val="000000" w:themeColor="text1"/>
                <w:sz w:val="22"/>
                <w:highlight w:val="none"/>
                <w14:textFill>
                  <w14:solidFill>
                    <w14:schemeClr w14:val="tx1"/>
                  </w14:solidFill>
                </w14:textFill>
              </w:rPr>
              <w:t>表</w:t>
            </w:r>
            <w:r>
              <w:rPr>
                <w:rFonts w:hint="eastAsia" w:eastAsia="仿宋_GB2312" w:cs="Times New Roman"/>
                <w:b/>
                <w:bCs/>
                <w:color w:val="000000" w:themeColor="text1"/>
                <w:sz w:val="22"/>
                <w:highlight w:val="none"/>
                <w:lang w:val="en-US" w:eastAsia="zh-CN"/>
                <w14:textFill>
                  <w14:solidFill>
                    <w14:schemeClr w14:val="tx1"/>
                  </w14:solidFill>
                </w14:textFill>
              </w:rPr>
              <w:t>1-1</w:t>
            </w:r>
            <w:r>
              <w:rPr>
                <w:rFonts w:hint="default" w:ascii="Times New Roman" w:hAnsi="Times New Roman" w:eastAsia="仿宋_GB2312" w:cs="Times New Roman"/>
                <w:b/>
                <w:bCs/>
                <w:color w:val="000000" w:themeColor="text1"/>
                <w:sz w:val="22"/>
                <w:highlight w:val="none"/>
                <w14:textFill>
                  <w14:solidFill>
                    <w14:schemeClr w14:val="tx1"/>
                  </w14:solidFill>
                </w14:textFill>
              </w:rPr>
              <w:t xml:space="preserve"> 产业空间布局表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2164"/>
              <w:gridCol w:w="699"/>
              <w:gridCol w:w="4090"/>
            </w:tblGrid>
            <w:tr w14:paraId="6510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tcBorders>
                    <w:top w:val="single" w:color="auto" w:sz="12" w:space="0"/>
                  </w:tcBorders>
                  <w:shd w:val="clear" w:color="auto" w:fill="auto"/>
                  <w:vAlign w:val="center"/>
                </w:tcPr>
                <w:p w14:paraId="4167EC7C">
                  <w:pPr>
                    <w:widowControl/>
                    <w:topLinePunct/>
                    <w:snapToGrid w:val="0"/>
                    <w:jc w:val="center"/>
                    <w:rPr>
                      <w:rFonts w:hint="default" w:ascii="Times New Roman" w:hAnsi="Times New Roman" w:eastAsia="仿宋_GB2312" w:cs="Times New Roman"/>
                      <w:b/>
                      <w:bCs/>
                      <w:color w:val="000000" w:themeColor="text1"/>
                      <w:szCs w:val="21"/>
                      <w:highlight w:val="none"/>
                      <w14:textFill>
                        <w14:solidFill>
                          <w14:schemeClr w14:val="tx1"/>
                        </w14:solidFill>
                      </w14:textFill>
                    </w:rPr>
                  </w:pPr>
                  <w:r>
                    <w:rPr>
                      <w:rFonts w:hint="default" w:ascii="Times New Roman" w:hAnsi="Times New Roman" w:eastAsia="仿宋_GB2312" w:cs="Times New Roman"/>
                      <w:b/>
                      <w:bCs/>
                      <w:color w:val="000000" w:themeColor="text1"/>
                      <w:szCs w:val="21"/>
                      <w:highlight w:val="none"/>
                      <w14:textFill>
                        <w14:solidFill>
                          <w14:schemeClr w14:val="tx1"/>
                        </w14:solidFill>
                      </w14:textFill>
                    </w:rPr>
                    <w:t>类别</w:t>
                  </w:r>
                </w:p>
              </w:tc>
              <w:tc>
                <w:tcPr>
                  <w:tcW w:w="1359" w:type="pct"/>
                  <w:tcBorders>
                    <w:top w:val="single" w:color="auto" w:sz="12" w:space="0"/>
                  </w:tcBorders>
                  <w:shd w:val="clear" w:color="auto" w:fill="auto"/>
                  <w:vAlign w:val="center"/>
                </w:tcPr>
                <w:p w14:paraId="59C5455C">
                  <w:pPr>
                    <w:widowControl/>
                    <w:topLinePunct/>
                    <w:snapToGrid w:val="0"/>
                    <w:jc w:val="center"/>
                    <w:rPr>
                      <w:rFonts w:hint="default" w:ascii="Times New Roman" w:hAnsi="Times New Roman" w:eastAsia="仿宋_GB2312" w:cs="Times New Roman"/>
                      <w:b/>
                      <w:bCs/>
                      <w:color w:val="000000" w:themeColor="text1"/>
                      <w:szCs w:val="21"/>
                      <w:highlight w:val="none"/>
                      <w14:textFill>
                        <w14:solidFill>
                          <w14:schemeClr w14:val="tx1"/>
                        </w14:solidFill>
                      </w14:textFill>
                    </w:rPr>
                  </w:pPr>
                  <w:r>
                    <w:rPr>
                      <w:rFonts w:hint="default" w:ascii="Times New Roman" w:hAnsi="Times New Roman" w:eastAsia="仿宋_GB2312" w:cs="Times New Roman"/>
                      <w:b/>
                      <w:bCs/>
                      <w:color w:val="000000" w:themeColor="text1"/>
                      <w:szCs w:val="21"/>
                      <w:highlight w:val="none"/>
                      <w14:textFill>
                        <w14:solidFill>
                          <w14:schemeClr w14:val="tx1"/>
                        </w14:solidFill>
                      </w14:textFill>
                    </w:rPr>
                    <w:t>布局</w:t>
                  </w:r>
                </w:p>
              </w:tc>
              <w:tc>
                <w:tcPr>
                  <w:tcW w:w="439" w:type="pct"/>
                  <w:tcBorders>
                    <w:top w:val="single" w:color="auto" w:sz="12" w:space="0"/>
                  </w:tcBorders>
                  <w:vAlign w:val="center"/>
                </w:tcPr>
                <w:p w14:paraId="09427F29">
                  <w:pPr>
                    <w:widowControl/>
                    <w:topLinePunct/>
                    <w:snapToGrid w:val="0"/>
                    <w:jc w:val="center"/>
                    <w:rPr>
                      <w:rFonts w:hint="default" w:ascii="Times New Roman" w:hAnsi="Times New Roman" w:eastAsia="仿宋_GB2312" w:cs="Times New Roman"/>
                      <w:b/>
                      <w:bCs/>
                      <w:color w:val="000000" w:themeColor="text1"/>
                      <w:szCs w:val="21"/>
                      <w:highlight w:val="none"/>
                      <w14:textFill>
                        <w14:solidFill>
                          <w14:schemeClr w14:val="tx1"/>
                        </w14:solidFill>
                      </w14:textFill>
                    </w:rPr>
                  </w:pPr>
                  <w:r>
                    <w:rPr>
                      <w:rFonts w:hint="default" w:ascii="Times New Roman" w:hAnsi="Times New Roman" w:eastAsia="仿宋_GB2312" w:cs="Times New Roman"/>
                      <w:b/>
                      <w:bCs/>
                      <w:color w:val="000000" w:themeColor="text1"/>
                      <w:szCs w:val="21"/>
                      <w:highlight w:val="none"/>
                      <w14:textFill>
                        <w14:solidFill>
                          <w14:schemeClr w14:val="tx1"/>
                        </w14:solidFill>
                      </w14:textFill>
                    </w:rPr>
                    <w:t>面积（km</w:t>
                  </w:r>
                  <w:r>
                    <w:rPr>
                      <w:rFonts w:hint="default" w:ascii="Times New Roman" w:hAnsi="Times New Roman" w:eastAsia="仿宋_GB2312" w:cs="Times New Roman"/>
                      <w:b/>
                      <w:bCs/>
                      <w:color w:val="000000" w:themeColor="text1"/>
                      <w:szCs w:val="21"/>
                      <w:highlight w:val="none"/>
                      <w:vertAlign w:val="superscript"/>
                      <w14:textFill>
                        <w14:solidFill>
                          <w14:schemeClr w14:val="tx1"/>
                        </w14:solidFill>
                      </w14:textFill>
                    </w:rPr>
                    <w:t>2</w:t>
                  </w:r>
                  <w:r>
                    <w:rPr>
                      <w:rFonts w:hint="default" w:ascii="Times New Roman" w:hAnsi="Times New Roman" w:eastAsia="仿宋_GB2312" w:cs="Times New Roman"/>
                      <w:b/>
                      <w:bCs/>
                      <w:color w:val="000000" w:themeColor="text1"/>
                      <w:szCs w:val="21"/>
                      <w:highlight w:val="none"/>
                      <w14:textFill>
                        <w14:solidFill>
                          <w14:schemeClr w14:val="tx1"/>
                        </w14:solidFill>
                      </w14:textFill>
                    </w:rPr>
                    <w:t>）</w:t>
                  </w:r>
                </w:p>
              </w:tc>
              <w:tc>
                <w:tcPr>
                  <w:tcW w:w="2569" w:type="pct"/>
                  <w:tcBorders>
                    <w:top w:val="single" w:color="auto" w:sz="12" w:space="0"/>
                    <w:right w:val="nil"/>
                  </w:tcBorders>
                  <w:shd w:val="clear" w:color="auto" w:fill="auto"/>
                  <w:vAlign w:val="center"/>
                </w:tcPr>
                <w:p w14:paraId="5E6CF6C4">
                  <w:pPr>
                    <w:widowControl/>
                    <w:topLinePunct/>
                    <w:snapToGrid w:val="0"/>
                    <w:jc w:val="center"/>
                    <w:rPr>
                      <w:rFonts w:hint="default" w:ascii="Times New Roman" w:hAnsi="Times New Roman" w:eastAsia="仿宋_GB2312" w:cs="Times New Roman"/>
                      <w:b/>
                      <w:bCs/>
                      <w:color w:val="000000" w:themeColor="text1"/>
                      <w:szCs w:val="21"/>
                      <w:highlight w:val="none"/>
                      <w14:textFill>
                        <w14:solidFill>
                          <w14:schemeClr w14:val="tx1"/>
                        </w14:solidFill>
                      </w14:textFill>
                    </w:rPr>
                  </w:pPr>
                  <w:r>
                    <w:rPr>
                      <w:rFonts w:hint="default" w:ascii="Times New Roman" w:hAnsi="Times New Roman" w:eastAsia="仿宋_GB2312" w:cs="Times New Roman"/>
                      <w:b/>
                      <w:bCs/>
                      <w:color w:val="000000" w:themeColor="text1"/>
                      <w:szCs w:val="21"/>
                      <w:highlight w:val="none"/>
                      <w14:textFill>
                        <w14:solidFill>
                          <w14:schemeClr w14:val="tx1"/>
                        </w14:solidFill>
                      </w14:textFill>
                    </w:rPr>
                    <w:t>产业功能定位</w:t>
                  </w:r>
                </w:p>
              </w:tc>
            </w:tr>
            <w:tr w14:paraId="12FF7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tcBorders>
                    <w:left w:val="nil"/>
                  </w:tcBorders>
                  <w:shd w:val="clear" w:color="auto" w:fill="auto"/>
                  <w:vAlign w:val="center"/>
                </w:tcPr>
                <w:p w14:paraId="5FCD865C">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第一产业</w:t>
                  </w:r>
                </w:p>
              </w:tc>
              <w:tc>
                <w:tcPr>
                  <w:tcW w:w="1359" w:type="pct"/>
                  <w:shd w:val="clear" w:color="auto" w:fill="auto"/>
                  <w:vAlign w:val="center"/>
                </w:tcPr>
                <w:p w14:paraId="0DB93F46">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以生产性服务业和高科技工业为主导位于昆承湖南岸、沙家浜镇区西侧</w:t>
                  </w:r>
                </w:p>
              </w:tc>
              <w:tc>
                <w:tcPr>
                  <w:tcW w:w="439" w:type="pct"/>
                  <w:vAlign w:val="center"/>
                </w:tcPr>
                <w:p w14:paraId="6DB112DD">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23.01</w:t>
                  </w:r>
                </w:p>
              </w:tc>
              <w:tc>
                <w:tcPr>
                  <w:tcW w:w="2569" w:type="pct"/>
                  <w:tcBorders>
                    <w:right w:val="nil"/>
                  </w:tcBorders>
                  <w:shd w:val="clear" w:color="auto" w:fill="auto"/>
                  <w:vAlign w:val="center"/>
                </w:tcPr>
                <w:p w14:paraId="4F453FBA">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发展植物工厂、花鸟园等现代休闲农业、科技农业。</w:t>
                  </w:r>
                </w:p>
              </w:tc>
            </w:tr>
            <w:tr w14:paraId="665ED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Merge w:val="restart"/>
                  <w:tcBorders>
                    <w:left w:val="nil"/>
                  </w:tcBorders>
                  <w:shd w:val="clear" w:color="auto" w:fill="auto"/>
                  <w:vAlign w:val="center"/>
                </w:tcPr>
                <w:p w14:paraId="584366D4">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第二产业</w:t>
                  </w:r>
                </w:p>
              </w:tc>
              <w:tc>
                <w:tcPr>
                  <w:tcW w:w="1359" w:type="pct"/>
                  <w:shd w:val="clear" w:color="auto" w:fill="auto"/>
                  <w:vAlign w:val="center"/>
                </w:tcPr>
                <w:p w14:paraId="4B232043">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在黄山路以东区域，形成四大产业集中区，汽车零部件产业集中区、高端电子信息产业集中区、纺织产业集中区、高端制造装备业集中区。</w:t>
                  </w:r>
                </w:p>
              </w:tc>
              <w:tc>
                <w:tcPr>
                  <w:tcW w:w="439" w:type="pct"/>
                  <w:vAlign w:val="center"/>
                </w:tcPr>
                <w:p w14:paraId="7DD1C080">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w:t>
                  </w:r>
                </w:p>
              </w:tc>
              <w:tc>
                <w:tcPr>
                  <w:tcW w:w="2569" w:type="pct"/>
                  <w:tcBorders>
                    <w:right w:val="nil"/>
                  </w:tcBorders>
                  <w:shd w:val="clear" w:color="auto" w:fill="auto"/>
                  <w:vAlign w:val="center"/>
                </w:tcPr>
                <w:p w14:paraId="7C7DB1E2">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高端装备制造业为主导产业，重点发展汽车及零部件、精密机械，其中汽车及零部件为核心。同时积极延伸发展新能源、新材料、节能环保、智慧物联等相关的战略性新兴产业。</w:t>
                  </w:r>
                </w:p>
              </w:tc>
            </w:tr>
            <w:tr w14:paraId="2C16D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Merge w:val="continue"/>
                  <w:tcBorders>
                    <w:left w:val="nil"/>
                  </w:tcBorders>
                  <w:shd w:val="clear" w:color="auto" w:fill="auto"/>
                  <w:vAlign w:val="center"/>
                </w:tcPr>
                <w:p w14:paraId="07669805">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p>
              </w:tc>
              <w:tc>
                <w:tcPr>
                  <w:tcW w:w="1359" w:type="pct"/>
                  <w:shd w:val="clear" w:color="auto" w:fill="auto"/>
                  <w:vAlign w:val="center"/>
                </w:tcPr>
                <w:p w14:paraId="0A9C40D8">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汽车及零部件产业集中区</w:t>
                  </w:r>
                </w:p>
              </w:tc>
              <w:tc>
                <w:tcPr>
                  <w:tcW w:w="439" w:type="pct"/>
                  <w:vAlign w:val="center"/>
                </w:tcPr>
                <w:p w14:paraId="6F6781D6">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9.187</w:t>
                  </w:r>
                </w:p>
              </w:tc>
              <w:tc>
                <w:tcPr>
                  <w:tcW w:w="2569" w:type="pct"/>
                  <w:tcBorders>
                    <w:right w:val="nil"/>
                  </w:tcBorders>
                  <w:shd w:val="clear" w:color="auto" w:fill="auto"/>
                  <w:vAlign w:val="center"/>
                </w:tcPr>
                <w:p w14:paraId="5F61118B">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重点发展汽车及零部件产业、高端装备制造业</w:t>
                  </w:r>
                </w:p>
              </w:tc>
            </w:tr>
            <w:tr w14:paraId="0DE8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Merge w:val="continue"/>
                  <w:tcBorders>
                    <w:left w:val="nil"/>
                  </w:tcBorders>
                  <w:shd w:val="clear" w:color="auto" w:fill="auto"/>
                  <w:vAlign w:val="center"/>
                </w:tcPr>
                <w:p w14:paraId="42AC2ADA">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p>
              </w:tc>
              <w:tc>
                <w:tcPr>
                  <w:tcW w:w="1359" w:type="pct"/>
                  <w:shd w:val="clear" w:color="auto" w:fill="auto"/>
                  <w:vAlign w:val="center"/>
                </w:tcPr>
                <w:p w14:paraId="0F5FA35B">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先进装备制造区</w:t>
                  </w:r>
                </w:p>
              </w:tc>
              <w:tc>
                <w:tcPr>
                  <w:tcW w:w="439" w:type="pct"/>
                  <w:vAlign w:val="center"/>
                </w:tcPr>
                <w:p w14:paraId="162E8562">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2.583</w:t>
                  </w:r>
                </w:p>
              </w:tc>
              <w:tc>
                <w:tcPr>
                  <w:tcW w:w="2569" w:type="pct"/>
                  <w:tcBorders>
                    <w:right w:val="nil"/>
                  </w:tcBorders>
                  <w:shd w:val="clear" w:color="auto" w:fill="auto"/>
                  <w:vAlign w:val="center"/>
                </w:tcPr>
                <w:p w14:paraId="114E586B">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先进装备制造业为主导产业，重点发展精密机械，延伸发展新能源、新材料、节能环保等战略新兴产业</w:t>
                  </w:r>
                </w:p>
              </w:tc>
            </w:tr>
            <w:tr w14:paraId="2604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Merge w:val="continue"/>
                  <w:tcBorders>
                    <w:left w:val="nil"/>
                  </w:tcBorders>
                  <w:shd w:val="clear" w:color="auto" w:fill="auto"/>
                  <w:vAlign w:val="center"/>
                </w:tcPr>
                <w:p w14:paraId="7351BC84">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p>
              </w:tc>
              <w:tc>
                <w:tcPr>
                  <w:tcW w:w="1359" w:type="pct"/>
                  <w:shd w:val="clear" w:color="auto" w:fill="auto"/>
                  <w:vAlign w:val="center"/>
                </w:tcPr>
                <w:p w14:paraId="3E531775">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高端电子信息产业集中区</w:t>
                  </w:r>
                </w:p>
              </w:tc>
              <w:tc>
                <w:tcPr>
                  <w:tcW w:w="439" w:type="pct"/>
                  <w:vAlign w:val="center"/>
                </w:tcPr>
                <w:p w14:paraId="58D41A50">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1.761</w:t>
                  </w:r>
                </w:p>
              </w:tc>
              <w:tc>
                <w:tcPr>
                  <w:tcW w:w="2569" w:type="pct"/>
                  <w:tcBorders>
                    <w:right w:val="nil"/>
                  </w:tcBorders>
                  <w:shd w:val="clear" w:color="auto" w:fill="auto"/>
                  <w:vAlign w:val="center"/>
                </w:tcPr>
                <w:p w14:paraId="47CF99F2">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重点电子信息产业提档升级，延伸新能源、新材料、智慧物联等战略新兴产业。</w:t>
                  </w:r>
                </w:p>
              </w:tc>
            </w:tr>
            <w:tr w14:paraId="492E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Merge w:val="continue"/>
                  <w:tcBorders>
                    <w:left w:val="nil"/>
                  </w:tcBorders>
                  <w:shd w:val="clear" w:color="auto" w:fill="auto"/>
                  <w:vAlign w:val="center"/>
                </w:tcPr>
                <w:p w14:paraId="24EDE4CD">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p>
              </w:tc>
              <w:tc>
                <w:tcPr>
                  <w:tcW w:w="1359" w:type="pct"/>
                  <w:shd w:val="clear" w:color="auto" w:fill="auto"/>
                  <w:vAlign w:val="center"/>
                </w:tcPr>
                <w:p w14:paraId="728571CD">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纺织产业集中区</w:t>
                  </w:r>
                </w:p>
              </w:tc>
              <w:tc>
                <w:tcPr>
                  <w:tcW w:w="439" w:type="pct"/>
                  <w:vAlign w:val="center"/>
                </w:tcPr>
                <w:p w14:paraId="783B6E7D">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1.119</w:t>
                  </w:r>
                </w:p>
              </w:tc>
              <w:tc>
                <w:tcPr>
                  <w:tcW w:w="2569" w:type="pct"/>
                  <w:tcBorders>
                    <w:right w:val="nil"/>
                  </w:tcBorders>
                  <w:shd w:val="clear" w:color="auto" w:fill="auto"/>
                  <w:vAlign w:val="center"/>
                </w:tcPr>
                <w:p w14:paraId="5D09C0C5">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重点纺织产业提档、转型升级</w:t>
                  </w:r>
                </w:p>
              </w:tc>
            </w:tr>
            <w:tr w14:paraId="207C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Merge w:val="restart"/>
                  <w:tcBorders>
                    <w:left w:val="nil"/>
                  </w:tcBorders>
                  <w:shd w:val="clear" w:color="auto" w:fill="auto"/>
                  <w:vAlign w:val="center"/>
                </w:tcPr>
                <w:p w14:paraId="6B2EE6F8">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第三产业</w:t>
                  </w:r>
                </w:p>
              </w:tc>
              <w:tc>
                <w:tcPr>
                  <w:tcW w:w="1359" w:type="pct"/>
                  <w:shd w:val="clear" w:color="auto" w:fill="auto"/>
                  <w:vAlign w:val="center"/>
                </w:tcPr>
                <w:p w14:paraId="5A838C64">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一核即现代服务业发展核，位于黄浦江路西端，新世纪大道两侧区域</w:t>
                  </w:r>
                </w:p>
              </w:tc>
              <w:tc>
                <w:tcPr>
                  <w:tcW w:w="439" w:type="pct"/>
                  <w:vAlign w:val="center"/>
                </w:tcPr>
                <w:p w14:paraId="15191EB9">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1.32</w:t>
                  </w:r>
                </w:p>
              </w:tc>
              <w:tc>
                <w:tcPr>
                  <w:tcW w:w="2569" w:type="pct"/>
                  <w:tcBorders>
                    <w:right w:val="nil"/>
                  </w:tcBorders>
                  <w:shd w:val="clear" w:color="auto" w:fill="auto"/>
                  <w:vAlign w:val="center"/>
                </w:tcPr>
                <w:p w14:paraId="0BEC3C68">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新世纪大道两侧区域，集中发展商务金融、会议会展、总部经济、服务外包等生产性服务业，并兼有商业服务、文化娱乐、康体健身等生活性服务业。</w:t>
                  </w:r>
                </w:p>
              </w:tc>
            </w:tr>
            <w:tr w14:paraId="6DFB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Merge w:val="continue"/>
                  <w:tcBorders>
                    <w:left w:val="nil"/>
                  </w:tcBorders>
                  <w:shd w:val="clear" w:color="auto" w:fill="auto"/>
                  <w:vAlign w:val="center"/>
                </w:tcPr>
                <w:p w14:paraId="0078DC60">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p>
              </w:tc>
              <w:tc>
                <w:tcPr>
                  <w:tcW w:w="1359" w:type="pct"/>
                  <w:shd w:val="clear" w:color="auto" w:fill="auto"/>
                  <w:vAlign w:val="center"/>
                </w:tcPr>
                <w:p w14:paraId="2A26A38B">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一带即沿东环河、横泾塘的科技创新带，重点布局科技研发、孵化等功能，形成常熟市的科技创新集中区，智能产业、智慧物联的先导区和研发中心</w:t>
                  </w:r>
                </w:p>
              </w:tc>
              <w:tc>
                <w:tcPr>
                  <w:tcW w:w="439" w:type="pct"/>
                  <w:vAlign w:val="center"/>
                </w:tcPr>
                <w:p w14:paraId="40348F0B">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6.13</w:t>
                  </w:r>
                </w:p>
              </w:tc>
              <w:tc>
                <w:tcPr>
                  <w:tcW w:w="2569" w:type="pct"/>
                  <w:tcBorders>
                    <w:right w:val="nil"/>
                  </w:tcBorders>
                  <w:shd w:val="clear" w:color="auto" w:fill="auto"/>
                  <w:vAlign w:val="center"/>
                </w:tcPr>
                <w:p w14:paraId="105ADE8C">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国家大学科技园内的横泾塘沿线则服务整个常熟市，乃至周边地区；建设模式上中心区域以研发大楼的形式建设，南部地区以低密度、高环境品质的独栋商务研发楼宇形式建设。</w:t>
                  </w:r>
                </w:p>
              </w:tc>
            </w:tr>
            <w:tr w14:paraId="1FC09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Merge w:val="continue"/>
                  <w:tcBorders>
                    <w:left w:val="nil"/>
                    <w:bottom w:val="single" w:color="auto" w:sz="12" w:space="0"/>
                  </w:tcBorders>
                  <w:shd w:val="clear" w:color="auto" w:fill="auto"/>
                  <w:vAlign w:val="center"/>
                </w:tcPr>
                <w:p w14:paraId="163AA4E2">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p>
              </w:tc>
              <w:tc>
                <w:tcPr>
                  <w:tcW w:w="1359" w:type="pct"/>
                  <w:tcBorders>
                    <w:bottom w:val="single" w:color="auto" w:sz="12" w:space="0"/>
                  </w:tcBorders>
                  <w:shd w:val="clear" w:color="auto" w:fill="auto"/>
                  <w:vAlign w:val="center"/>
                </w:tcPr>
                <w:p w14:paraId="10AF0631">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一环为昆承湖环湖区域的时尚休闲环</w:t>
                  </w:r>
                </w:p>
              </w:tc>
              <w:tc>
                <w:tcPr>
                  <w:tcW w:w="439" w:type="pct"/>
                  <w:tcBorders>
                    <w:bottom w:val="single" w:color="auto" w:sz="12" w:space="0"/>
                  </w:tcBorders>
                  <w:vAlign w:val="center"/>
                </w:tcPr>
                <w:p w14:paraId="1C7A0DF9">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6.50</w:t>
                  </w:r>
                </w:p>
              </w:tc>
              <w:tc>
                <w:tcPr>
                  <w:tcW w:w="2569" w:type="pct"/>
                  <w:tcBorders>
                    <w:bottom w:val="single" w:color="auto" w:sz="12" w:space="0"/>
                    <w:right w:val="nil"/>
                  </w:tcBorders>
                  <w:shd w:val="clear" w:color="auto" w:fill="auto"/>
                  <w:vAlign w:val="center"/>
                </w:tcPr>
                <w:p w14:paraId="6029DD18">
                  <w:pPr>
                    <w:widowControl/>
                    <w:topLinePunct/>
                    <w:snapToGrid w:val="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r>
                    <w:rPr>
                      <w:rFonts w:hint="default" w:ascii="Times New Roman" w:hAnsi="Times New Roman" w:eastAsia="仿宋_GB2312" w:cs="Times New Roman"/>
                      <w:color w:val="000000" w:themeColor="text1"/>
                      <w:szCs w:val="21"/>
                      <w:highlight w:val="none"/>
                      <w14:textFill>
                        <w14:solidFill>
                          <w14:schemeClr w14:val="tx1"/>
                        </w14:solidFill>
                      </w14:textFill>
                    </w:rPr>
                    <w:t>重点发展时尚创意设计、教育培训、休闲娱乐、商业休闲、文化休闲、休闲度假、养生度假等功能，布置滨水休闲商业、度假酒店、企业会所、餐饮娱乐、高端养老、国际医疗、国际教育、理疗、生态观光、农业观光。</w:t>
                  </w:r>
                </w:p>
              </w:tc>
            </w:tr>
          </w:tbl>
          <w:p w14:paraId="1A0D6E5B">
            <w:pPr>
              <w:adjustRightInd w:val="0"/>
              <w:snapToGrid w:val="0"/>
              <w:spacing w:line="240" w:lineRule="auto"/>
              <w:rPr>
                <w:rFonts w:hint="eastAsia"/>
                <w:b/>
                <w:bCs/>
                <w:color w:val="000000" w:themeColor="text1"/>
                <w:kern w:val="0"/>
                <w:szCs w:val="2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054600" cy="3455035"/>
                  <wp:effectExtent l="0" t="0" r="12700" b="1206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
                          <a:stretch>
                            <a:fillRect/>
                          </a:stretch>
                        </pic:blipFill>
                        <pic:spPr>
                          <a:xfrm>
                            <a:off x="0" y="0"/>
                            <a:ext cx="5054600" cy="3455035"/>
                          </a:xfrm>
                          <a:prstGeom prst="rect">
                            <a:avLst/>
                          </a:prstGeom>
                          <a:noFill/>
                          <a:ln>
                            <a:noFill/>
                          </a:ln>
                        </pic:spPr>
                      </pic:pic>
                    </a:graphicData>
                  </a:graphic>
                </wp:inline>
              </w:drawing>
            </w:r>
          </w:p>
          <w:p w14:paraId="27383A9A">
            <w:pPr>
              <w:adjustRightInd w:val="0"/>
              <w:snapToGrid w:val="0"/>
              <w:spacing w:line="420" w:lineRule="exact"/>
              <w:jc w:val="center"/>
              <w:rPr>
                <w:rFonts w:hint="eastAsia"/>
                <w:b/>
                <w:bCs/>
                <w:color w:val="000000" w:themeColor="text1"/>
                <w:kern w:val="0"/>
                <w:szCs w:val="21"/>
                <w:lang w:val="en-US" w:eastAsia="zh-CN"/>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图1-1 各功能片区及四至范围</w:t>
            </w:r>
          </w:p>
          <w:p w14:paraId="391BD6A7">
            <w:pPr>
              <w:adjustRightInd w:val="0"/>
              <w:snapToGrid w:val="0"/>
              <w:spacing w:line="420" w:lineRule="exact"/>
              <w:ind w:firstLine="420" w:firstLineChars="200"/>
              <w:rPr>
                <w:rFonts w:hint="default"/>
                <w:b w:val="0"/>
                <w:bCs w:val="0"/>
                <w:color w:val="000000" w:themeColor="text1"/>
                <w:kern w:val="0"/>
                <w:szCs w:val="21"/>
                <w:lang w:val="en-US" w:eastAsia="zh-CN"/>
                <w14:textFill>
                  <w14:solidFill>
                    <w14:schemeClr w14:val="tx1"/>
                  </w14:solidFill>
                </w14:textFill>
              </w:rPr>
            </w:pPr>
            <w:r>
              <w:rPr>
                <w:rFonts w:hint="eastAsia"/>
                <w:b w:val="0"/>
                <w:bCs w:val="0"/>
                <w:color w:val="000000" w:themeColor="text1"/>
                <w:kern w:val="0"/>
                <w:szCs w:val="21"/>
                <w:lang w:val="en-US" w:eastAsia="zh-CN"/>
                <w14:textFill>
                  <w14:solidFill>
                    <w14:schemeClr w14:val="tx1"/>
                  </w14:solidFill>
                </w14:textFill>
              </w:rPr>
              <w:t>本项目位于</w:t>
            </w:r>
            <w:r>
              <w:rPr>
                <w:rFonts w:hint="eastAsia"/>
                <w:color w:val="000000" w:themeColor="text1"/>
                <w:szCs w:val="21"/>
                <w14:textFill>
                  <w14:solidFill>
                    <w14:schemeClr w14:val="tx1"/>
                  </w14:solidFill>
                </w14:textFill>
              </w:rPr>
              <w:t>常熟市东南街道</w:t>
            </w:r>
            <w:r>
              <w:rPr>
                <w:rFonts w:hint="eastAsia"/>
                <w:color w:val="000000" w:themeColor="text1"/>
                <w:szCs w:val="21"/>
                <w:lang w:val="en-US" w:eastAsia="zh-CN"/>
                <w14:textFill>
                  <w14:solidFill>
                    <w14:schemeClr w14:val="tx1"/>
                  </w14:solidFill>
                </w14:textFill>
              </w:rPr>
              <w:t>银环路28-1号10幢102</w:t>
            </w:r>
            <w:r>
              <w:rPr>
                <w:rFonts w:hint="eastAsia"/>
                <w:b w:val="0"/>
                <w:bCs w:val="0"/>
                <w:color w:val="000000" w:themeColor="text1"/>
                <w:kern w:val="0"/>
                <w:szCs w:val="21"/>
                <w:lang w:val="en-US" w:eastAsia="zh-CN"/>
                <w14:textFill>
                  <w14:solidFill>
                    <w14:schemeClr w14:val="tx1"/>
                  </w14:solidFill>
                </w14:textFill>
              </w:rPr>
              <w:t>，位于常熟高新技术产业开发区规划范围内的生活配套区（第三产业），根据用地规划，本项目所在地为工业用地，符合用地规划。本项目属于</w:t>
            </w:r>
            <w:r>
              <w:rPr>
                <w:rFonts w:hint="eastAsia"/>
                <w:color w:val="000000" w:themeColor="text1"/>
                <w:szCs w:val="21"/>
                <w14:textFill>
                  <w14:solidFill>
                    <w14:schemeClr w14:val="tx1"/>
                  </w14:solidFill>
                </w14:textFill>
              </w:rPr>
              <w:t>C</w:t>
            </w:r>
            <w:r>
              <w:rPr>
                <w:rFonts w:hint="eastAsia"/>
                <w:color w:val="000000" w:themeColor="text1"/>
                <w:szCs w:val="21"/>
                <w:lang w:val="en-US" w:eastAsia="zh-CN"/>
                <w14:textFill>
                  <w14:solidFill>
                    <w14:schemeClr w14:val="tx1"/>
                  </w14:solidFill>
                </w14:textFill>
              </w:rPr>
              <w:t>2929塑料零件及塑料制品制造</w:t>
            </w:r>
            <w:r>
              <w:rPr>
                <w:rFonts w:hint="eastAsia"/>
                <w:color w:val="000000" w:themeColor="text1"/>
                <w:szCs w:val="21"/>
                <w14:textFill>
                  <w14:solidFill>
                    <w14:schemeClr w14:val="tx1"/>
                  </w14:solidFill>
                </w14:textFill>
              </w:rPr>
              <w:t xml:space="preserve"> </w:t>
            </w:r>
            <w:r>
              <w:rPr>
                <w:rFonts w:hint="eastAsia"/>
                <w:b w:val="0"/>
                <w:bCs w:val="0"/>
                <w:color w:val="000000" w:themeColor="text1"/>
                <w:kern w:val="0"/>
                <w:szCs w:val="21"/>
                <w:lang w:val="en-US" w:eastAsia="zh-CN"/>
                <w14:textFill>
                  <w14:solidFill>
                    <w14:schemeClr w14:val="tx1"/>
                  </w14:solidFill>
                </w14:textFill>
              </w:rPr>
              <w:t>，与功能定位不相悖。本项目不使用天然气；本项目用水取自当地市政管网，新增用水量为</w:t>
            </w:r>
            <w:r>
              <w:rPr>
                <w:rFonts w:hint="eastAsia" w:cs="Times New Roman"/>
                <w:color w:val="000000" w:themeColor="text1"/>
                <w:szCs w:val="21"/>
                <w:highlight w:val="none"/>
                <w:lang w:val="en-US" w:eastAsia="zh-CN"/>
                <w14:textFill>
                  <w14:solidFill>
                    <w14:schemeClr w14:val="tx1"/>
                  </w14:solidFill>
                </w14:textFill>
              </w:rPr>
              <w:t>891.0002</w:t>
            </w:r>
            <w:r>
              <w:rPr>
                <w:rFonts w:hint="eastAsia"/>
                <w:b w:val="0"/>
                <w:bCs w:val="0"/>
                <w:color w:val="000000" w:themeColor="text1"/>
                <w:kern w:val="0"/>
                <w:szCs w:val="21"/>
                <w:lang w:val="en-US" w:eastAsia="zh-CN"/>
                <w14:textFill>
                  <w14:solidFill>
                    <w14:schemeClr w14:val="tx1"/>
                  </w14:solidFill>
                </w14:textFill>
              </w:rPr>
              <w:t>t/a，不会对当地自来水供应状况产生明显影响；本项目用电来源于区域电网，新增用电量约200万度/年，不会超出当地用电负荷；无生产废水排放；厂区内雨污分流，生活污水接管至</w:t>
            </w:r>
            <w:r>
              <w:rPr>
                <w:rFonts w:hint="eastAsia" w:cs="Times New Roman"/>
                <w:color w:val="000000" w:themeColor="text1"/>
                <w:szCs w:val="21"/>
                <w:highlight w:val="none"/>
                <w:lang w:eastAsia="zh-CN"/>
                <w14:textFill>
                  <w14:solidFill>
                    <w14:schemeClr w14:val="tx1"/>
                  </w14:solidFill>
                </w14:textFill>
              </w:rPr>
              <w:t>江苏中法水务股份有限公司（城东水质净化厂）</w:t>
            </w:r>
            <w:r>
              <w:rPr>
                <w:rFonts w:hint="eastAsia"/>
                <w:b w:val="0"/>
                <w:bCs w:val="0"/>
                <w:color w:val="000000" w:themeColor="text1"/>
                <w:kern w:val="0"/>
                <w:szCs w:val="21"/>
                <w:lang w:val="en-US" w:eastAsia="zh-CN"/>
                <w14:textFill>
                  <w14:solidFill>
                    <w14:schemeClr w14:val="tx1"/>
                  </w14:solidFill>
                </w14:textFill>
              </w:rPr>
              <w:t>，雨水排入</w:t>
            </w:r>
            <w:r>
              <w:rPr>
                <w:rFonts w:hint="eastAsia"/>
                <w:color w:val="000000" w:themeColor="text1"/>
                <w:szCs w:val="21"/>
                <w:lang w:eastAsia="zh-CN"/>
                <w14:textFill>
                  <w14:solidFill>
                    <w14:schemeClr w14:val="tx1"/>
                  </w14:solidFill>
                </w14:textFill>
              </w:rPr>
              <w:t>附近水体</w:t>
            </w:r>
            <w:r>
              <w:rPr>
                <w:rFonts w:hint="eastAsia"/>
                <w:b w:val="0"/>
                <w:bCs w:val="0"/>
                <w:color w:val="000000" w:themeColor="text1"/>
                <w:kern w:val="0"/>
                <w:szCs w:val="21"/>
                <w:lang w:val="en-US" w:eastAsia="zh-CN"/>
                <w14:textFill>
                  <w14:solidFill>
                    <w14:schemeClr w14:val="tx1"/>
                  </w14:solidFill>
                </w14:textFill>
              </w:rPr>
              <w:t>。</w:t>
            </w:r>
          </w:p>
          <w:p w14:paraId="04D31DDD">
            <w:pPr>
              <w:adjustRightInd w:val="0"/>
              <w:snapToGrid w:val="0"/>
              <w:spacing w:line="420" w:lineRule="exact"/>
              <w:ind w:firstLine="422" w:firstLineChars="200"/>
              <w:rPr>
                <w:b/>
                <w:bCs/>
                <w:color w:val="000000" w:themeColor="text1"/>
                <w:kern w:val="0"/>
                <w:szCs w:val="21"/>
                <w14:textFill>
                  <w14:solidFill>
                    <w14:schemeClr w14:val="tx1"/>
                  </w14:solidFill>
                </w14:textFill>
              </w:rPr>
            </w:pPr>
            <w:r>
              <w:rPr>
                <w:rFonts w:hint="eastAsia"/>
                <w:b/>
                <w:bCs/>
                <w:color w:val="000000" w:themeColor="text1"/>
                <w:kern w:val="0"/>
                <w:szCs w:val="21"/>
                <w:lang w:val="en-US" w:eastAsia="zh-CN"/>
                <w14:textFill>
                  <w14:solidFill>
                    <w14:schemeClr w14:val="tx1"/>
                  </w14:solidFill>
                </w14:textFill>
              </w:rPr>
              <w:t>2</w:t>
            </w:r>
            <w:r>
              <w:rPr>
                <w:rFonts w:hint="eastAsia"/>
                <w:b/>
                <w:bCs/>
                <w:color w:val="000000" w:themeColor="text1"/>
                <w:kern w:val="0"/>
                <w:szCs w:val="21"/>
                <w14:textFill>
                  <w14:solidFill>
                    <w14:schemeClr w14:val="tx1"/>
                  </w14:solidFill>
                </w14:textFill>
              </w:rPr>
              <w:t>、与《常熟南部新城局部片区控制性详细规划（2022年12月调整）》的</w:t>
            </w:r>
            <w:r>
              <w:rPr>
                <w:b/>
                <w:bCs/>
                <w:color w:val="000000" w:themeColor="text1"/>
                <w:kern w:val="0"/>
                <w:szCs w:val="21"/>
                <w14:textFill>
                  <w14:solidFill>
                    <w14:schemeClr w14:val="tx1"/>
                  </w14:solidFill>
                </w14:textFill>
              </w:rPr>
              <w:t>相符性分析</w:t>
            </w:r>
          </w:p>
          <w:p w14:paraId="325C2771">
            <w:pPr>
              <w:adjustRightInd w:val="0"/>
              <w:snapToGrid w:val="0"/>
              <w:spacing w:line="420" w:lineRule="exact"/>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根据《常熟南部新城局部片区控制性详细规划（2022年12月调整）》，常熟高新技术产业开发区产业发展定位为：开发区以高端装备制造业为基础，以高端电子信息为战略支撑，以高技术服务业为产业发展引擎。主导产业选择的方向是环保型、高科技型、创新型产业，并鼓励发展循环经济、楼宇经济、休闲经济。其中开发区第二产业发展导向为：高端装备制造业为主导产业，重点发展汽车及零部件、精密机械，其中汽车及零部件为核心。高端电子信息为支撑，重点发展高性能集成电路、下一代通信网络物联网和云计算，其中高性能集成电路为核心，细分领域包括</w:t>
            </w:r>
            <w:r>
              <w:rPr>
                <w:color w:val="000000" w:themeColor="text1"/>
                <w:kern w:val="0"/>
                <w:szCs w:val="21"/>
                <w14:textFill>
                  <w14:solidFill>
                    <w14:schemeClr w14:val="tx1"/>
                  </w14:solidFill>
                </w14:textFill>
              </w:rPr>
              <w:t>IC</w:t>
            </w:r>
            <w:r>
              <w:rPr>
                <w:rFonts w:hint="eastAsia"/>
                <w:color w:val="000000" w:themeColor="text1"/>
                <w:kern w:val="0"/>
                <w:szCs w:val="21"/>
                <w14:textFill>
                  <w14:solidFill>
                    <w14:schemeClr w14:val="tx1"/>
                  </w14:solidFill>
                </w14:textFill>
              </w:rPr>
              <w:t>设计、终端产品外围设备、芯片封装测试设备等。同时积极延伸战略性新兴产业区，发展新能源、新材料、节能环保、智慧物联等产业。</w:t>
            </w:r>
          </w:p>
          <w:p w14:paraId="261644A1">
            <w:pPr>
              <w:adjustRightInd w:val="0"/>
              <w:snapToGrid w:val="0"/>
              <w:spacing w:line="420" w:lineRule="exact"/>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本项目位于</w:t>
            </w:r>
            <w:r>
              <w:rPr>
                <w:rFonts w:hint="eastAsia"/>
                <w:color w:val="000000" w:themeColor="text1"/>
                <w:szCs w:val="21"/>
                <w14:textFill>
                  <w14:solidFill>
                    <w14:schemeClr w14:val="tx1"/>
                  </w14:solidFill>
                </w14:textFill>
              </w:rPr>
              <w:t>常熟</w:t>
            </w:r>
            <w:r>
              <w:rPr>
                <w:rFonts w:hint="eastAsia"/>
                <w:color w:val="000000" w:themeColor="text1"/>
                <w:szCs w:val="21"/>
                <w:highlight w:val="none"/>
                <w14:textFill>
                  <w14:solidFill>
                    <w14:schemeClr w14:val="tx1"/>
                  </w14:solidFill>
                </w14:textFill>
              </w:rPr>
              <w:t>市东南街道</w:t>
            </w:r>
            <w:r>
              <w:rPr>
                <w:rFonts w:hint="eastAsia"/>
                <w:color w:val="000000" w:themeColor="text1"/>
                <w:szCs w:val="21"/>
                <w:highlight w:val="none"/>
                <w:lang w:val="en-US" w:eastAsia="zh-CN"/>
                <w14:textFill>
                  <w14:solidFill>
                    <w14:schemeClr w14:val="tx1"/>
                  </w14:solidFill>
                </w14:textFill>
              </w:rPr>
              <w:t>银环路28-1号10幢102</w:t>
            </w:r>
            <w:r>
              <w:rPr>
                <w:color w:val="000000" w:themeColor="text1"/>
                <w:kern w:val="0"/>
                <w:szCs w:val="21"/>
                <w:highlight w:val="none"/>
                <w14:textFill>
                  <w14:solidFill>
                    <w14:schemeClr w14:val="tx1"/>
                  </w14:solidFill>
                </w14:textFill>
              </w:rPr>
              <w:t>，</w:t>
            </w:r>
            <w:r>
              <w:rPr>
                <w:rFonts w:hint="eastAsia"/>
                <w:color w:val="000000" w:themeColor="text1"/>
                <w:kern w:val="0"/>
                <w:szCs w:val="21"/>
                <w:highlight w:val="none"/>
                <w14:textFill>
                  <w14:solidFill>
                    <w14:schemeClr w14:val="tx1"/>
                  </w14:solidFill>
                </w14:textFill>
              </w:rPr>
              <w:t>购置</w:t>
            </w:r>
            <w:r>
              <w:rPr>
                <w:rFonts w:hint="eastAsia"/>
                <w:color w:val="000000" w:themeColor="text1"/>
                <w:kern w:val="0"/>
                <w:szCs w:val="21"/>
                <w:highlight w:val="none"/>
                <w:lang w:val="en-US" w:eastAsia="zh-CN"/>
                <w14:textFill>
                  <w14:solidFill>
                    <w14:schemeClr w14:val="tx1"/>
                  </w14:solidFill>
                </w14:textFill>
              </w:rPr>
              <w:t>已建</w:t>
            </w:r>
            <w:r>
              <w:rPr>
                <w:rFonts w:hint="eastAsia"/>
                <w:color w:val="000000" w:themeColor="text1"/>
                <w:kern w:val="0"/>
                <w:szCs w:val="21"/>
                <w:highlight w:val="none"/>
                <w14:textFill>
                  <w14:solidFill>
                    <w14:schemeClr w14:val="tx1"/>
                  </w14:solidFill>
                </w14:textFill>
              </w:rPr>
              <w:t>厂房进行建设，</w:t>
            </w:r>
            <w:r>
              <w:rPr>
                <w:rFonts w:hint="eastAsia" w:ascii="宋体" w:hAnsi="宋体" w:cs="宋体"/>
                <w:color w:val="000000" w:themeColor="text1"/>
                <w:szCs w:val="21"/>
                <w:highlight w:val="none"/>
                <w14:textFill>
                  <w14:solidFill>
                    <w14:schemeClr w14:val="tx1"/>
                  </w14:solidFill>
                </w14:textFill>
              </w:rPr>
              <w:t>根据企业提供的</w:t>
            </w:r>
            <w:r>
              <w:rPr>
                <w:rFonts w:hint="eastAsia" w:ascii="宋体" w:hAnsi="宋体" w:cs="宋体"/>
                <w:color w:val="000000" w:themeColor="text1"/>
                <w:szCs w:val="21"/>
                <w:highlight w:val="none"/>
                <w:lang w:val="en-US" w:eastAsia="zh-CN"/>
                <w14:textFill>
                  <w14:solidFill>
                    <w14:schemeClr w14:val="tx1"/>
                  </w14:solidFill>
                </w14:textFill>
              </w:rPr>
              <w:t>不动产权证</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项目用地性质为工业用地，</w:t>
            </w:r>
            <w:r>
              <w:rPr>
                <w:color w:val="000000" w:themeColor="text1"/>
                <w:kern w:val="0"/>
                <w:szCs w:val="21"/>
                <w14:textFill>
                  <w14:solidFill>
                    <w14:schemeClr w14:val="tx1"/>
                  </w14:solidFill>
                </w14:textFill>
              </w:rPr>
              <w:t>根据</w:t>
            </w:r>
            <w:r>
              <w:rPr>
                <w:rFonts w:hint="eastAsia"/>
                <w:color w:val="000000" w:themeColor="text1"/>
                <w:kern w:val="0"/>
                <w:szCs w:val="21"/>
                <w14:textFill>
                  <w14:solidFill>
                    <w14:schemeClr w14:val="tx1"/>
                  </w14:solidFill>
                </w14:textFill>
              </w:rPr>
              <w:t>附图</w:t>
            </w:r>
            <w:r>
              <w:rPr>
                <w:color w:val="000000" w:themeColor="text1"/>
                <w:kern w:val="0"/>
                <w:szCs w:val="21"/>
                <w14:textFill>
                  <w14:solidFill>
                    <w14:schemeClr w14:val="tx1"/>
                  </w14:solidFill>
                </w14:textFill>
              </w:rPr>
              <w:t>《常熟</w:t>
            </w:r>
            <w:r>
              <w:rPr>
                <w:rFonts w:hint="eastAsia"/>
                <w:color w:val="000000" w:themeColor="text1"/>
                <w:kern w:val="0"/>
                <w:szCs w:val="21"/>
                <w14:textFill>
                  <w14:solidFill>
                    <w14:schemeClr w14:val="tx1"/>
                  </w14:solidFill>
                </w14:textFill>
              </w:rPr>
              <w:t>高新区局部片区控制性详细规划（2022年12月调整）-用地规划图</w:t>
            </w:r>
            <w:r>
              <w:rPr>
                <w:color w:val="000000" w:themeColor="text1"/>
                <w:kern w:val="0"/>
                <w:szCs w:val="21"/>
                <w14:textFill>
                  <w14:solidFill>
                    <w14:schemeClr w14:val="tx1"/>
                  </w14:solidFill>
                </w14:textFill>
              </w:rPr>
              <w:t>》，项目</w:t>
            </w:r>
            <w:r>
              <w:rPr>
                <w:rFonts w:hint="eastAsia"/>
                <w:color w:val="000000" w:themeColor="text1"/>
                <w:kern w:val="0"/>
                <w:szCs w:val="21"/>
                <w14:textFill>
                  <w14:solidFill>
                    <w14:schemeClr w14:val="tx1"/>
                  </w14:solidFill>
                </w14:textFill>
              </w:rPr>
              <w:t>所在地</w:t>
            </w:r>
            <w:r>
              <w:rPr>
                <w:color w:val="000000" w:themeColor="text1"/>
                <w:kern w:val="0"/>
                <w:szCs w:val="21"/>
                <w14:textFill>
                  <w14:solidFill>
                    <w14:schemeClr w14:val="tx1"/>
                  </w14:solidFill>
                </w14:textFill>
              </w:rPr>
              <w:t>为</w:t>
            </w:r>
            <w:r>
              <w:rPr>
                <w:rFonts w:hint="eastAsia"/>
                <w:color w:val="000000" w:themeColor="text1"/>
                <w:kern w:val="0"/>
                <w:szCs w:val="21"/>
                <w14:textFill>
                  <w14:solidFill>
                    <w14:schemeClr w14:val="tx1"/>
                  </w14:solidFill>
                </w14:textFill>
              </w:rPr>
              <w:t>工业用地，符合</w:t>
            </w:r>
            <w:r>
              <w:rPr>
                <w:color w:val="000000" w:themeColor="text1"/>
                <w:kern w:val="0"/>
                <w:szCs w:val="21"/>
                <w14:textFill>
                  <w14:solidFill>
                    <w14:schemeClr w14:val="tx1"/>
                  </w14:solidFill>
                </w14:textFill>
              </w:rPr>
              <w:t>《常熟南部新城局部片区控制性详细规划（2022年</w:t>
            </w:r>
            <w:r>
              <w:rPr>
                <w:rFonts w:hint="eastAsia"/>
                <w:color w:val="000000" w:themeColor="text1"/>
                <w:kern w:val="0"/>
                <w:szCs w:val="21"/>
                <w14:textFill>
                  <w14:solidFill>
                    <w14:schemeClr w14:val="tx1"/>
                  </w14:solidFill>
                </w14:textFill>
              </w:rPr>
              <w:t>12月调整</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中的用地规划。本项目为</w:t>
            </w:r>
            <w:r>
              <w:rPr>
                <w:rFonts w:hint="eastAsia"/>
                <w:color w:val="000000" w:themeColor="text1"/>
                <w:szCs w:val="21"/>
                <w:lang w:val="en-US" w:eastAsia="zh-CN"/>
                <w14:textFill>
                  <w14:solidFill>
                    <w14:schemeClr w14:val="tx1"/>
                  </w14:solidFill>
                </w14:textFill>
              </w:rPr>
              <w:t>新建塑料零部件及制品生产项目</w:t>
            </w:r>
            <w:r>
              <w:rPr>
                <w:rFonts w:hint="eastAsia"/>
                <w:color w:val="000000" w:themeColor="text1"/>
                <w:kern w:val="0"/>
                <w:szCs w:val="21"/>
                <w14:textFill>
                  <w14:solidFill>
                    <w14:schemeClr w14:val="tx1"/>
                  </w14:solidFill>
                </w14:textFill>
              </w:rPr>
              <w:t>，行业类别为</w:t>
            </w:r>
            <w:r>
              <w:rPr>
                <w:rFonts w:hint="eastAsia"/>
                <w:color w:val="000000" w:themeColor="text1"/>
                <w:szCs w:val="21"/>
                <w14:textFill>
                  <w14:solidFill>
                    <w14:schemeClr w14:val="tx1"/>
                  </w14:solidFill>
                </w14:textFill>
              </w:rPr>
              <w:t>C2929塑料零件及塑料制品制造</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产品为医药冷链盒、医用水箱、汽车风管、工具箱</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与</w:t>
            </w:r>
            <w:r>
              <w:rPr>
                <w:color w:val="000000" w:themeColor="text1"/>
                <w:kern w:val="0"/>
                <w:szCs w:val="21"/>
                <w14:textFill>
                  <w14:solidFill>
                    <w14:schemeClr w14:val="tx1"/>
                  </w14:solidFill>
                </w14:textFill>
              </w:rPr>
              <w:t>《常熟南部新城局部片区控制性详细规划（2022年修改）》</w:t>
            </w:r>
            <w:r>
              <w:rPr>
                <w:rFonts w:hint="eastAsia"/>
                <w:color w:val="000000" w:themeColor="text1"/>
                <w:kern w:val="0"/>
                <w:szCs w:val="21"/>
                <w14:textFill>
                  <w14:solidFill>
                    <w14:schemeClr w14:val="tx1"/>
                  </w14:solidFill>
                </w14:textFill>
              </w:rPr>
              <w:t>中的产业定位</w:t>
            </w:r>
            <w:r>
              <w:rPr>
                <w:rFonts w:hint="eastAsia"/>
                <w:color w:val="000000" w:themeColor="text1"/>
                <w:kern w:val="0"/>
                <w:szCs w:val="21"/>
                <w:lang w:val="en-US" w:eastAsia="zh-CN"/>
                <w14:textFill>
                  <w14:solidFill>
                    <w14:schemeClr w14:val="tx1"/>
                  </w14:solidFill>
                </w14:textFill>
              </w:rPr>
              <w:t>不相悖</w:t>
            </w:r>
            <w:r>
              <w:rPr>
                <w:color w:val="000000" w:themeColor="text1"/>
                <w:kern w:val="0"/>
                <w:szCs w:val="21"/>
                <w14:textFill>
                  <w14:solidFill>
                    <w14:schemeClr w14:val="tx1"/>
                  </w14:solidFill>
                </w14:textFill>
              </w:rPr>
              <w:t>。</w:t>
            </w:r>
          </w:p>
          <w:p w14:paraId="0CABE68D">
            <w:pPr>
              <w:adjustRightInd w:val="0"/>
              <w:snapToGrid w:val="0"/>
              <w:spacing w:line="420" w:lineRule="exact"/>
              <w:ind w:firstLine="422" w:firstLineChars="200"/>
              <w:rPr>
                <w:b/>
                <w:bCs/>
                <w:color w:val="000000" w:themeColor="text1"/>
                <w:kern w:val="0"/>
                <w:szCs w:val="21"/>
                <w14:textFill>
                  <w14:solidFill>
                    <w14:schemeClr w14:val="tx1"/>
                  </w14:solidFill>
                </w14:textFill>
              </w:rPr>
            </w:pPr>
            <w:r>
              <w:rPr>
                <w:rFonts w:hint="eastAsia"/>
                <w:b/>
                <w:bCs/>
                <w:color w:val="000000" w:themeColor="text1"/>
                <w:kern w:val="0"/>
                <w:szCs w:val="21"/>
                <w:lang w:val="en-US" w:eastAsia="zh-CN"/>
                <w14:textFill>
                  <w14:solidFill>
                    <w14:schemeClr w14:val="tx1"/>
                  </w14:solidFill>
                </w14:textFill>
              </w:rPr>
              <w:t>3</w:t>
            </w:r>
            <w:r>
              <w:rPr>
                <w:rFonts w:hint="eastAsia"/>
                <w:b/>
                <w:bCs/>
                <w:color w:val="000000" w:themeColor="text1"/>
                <w:kern w:val="0"/>
                <w:szCs w:val="21"/>
                <w14:textFill>
                  <w14:solidFill>
                    <w14:schemeClr w14:val="tx1"/>
                  </w14:solidFill>
                </w14:textFill>
              </w:rPr>
              <w:t>、与《</w:t>
            </w:r>
            <w:r>
              <w:rPr>
                <w:b/>
                <w:bCs/>
                <w:color w:val="000000" w:themeColor="text1"/>
                <w:kern w:val="0"/>
                <w:szCs w:val="21"/>
                <w14:textFill>
                  <w14:solidFill>
                    <w14:schemeClr w14:val="tx1"/>
                  </w14:solidFill>
                </w14:textFill>
              </w:rPr>
              <w:t>常熟高新技术产业开发区发展总体规划（2016</w:t>
            </w:r>
            <w:r>
              <w:rPr>
                <w:rFonts w:hint="eastAsia"/>
                <w:b/>
                <w:bCs/>
                <w:color w:val="000000" w:themeColor="text1"/>
                <w:kern w:val="0"/>
                <w:szCs w:val="21"/>
                <w14:textFill>
                  <w14:solidFill>
                    <w14:schemeClr w14:val="tx1"/>
                  </w14:solidFill>
                </w14:textFill>
              </w:rPr>
              <w:t>~</w:t>
            </w:r>
            <w:r>
              <w:rPr>
                <w:b/>
                <w:bCs/>
                <w:color w:val="000000" w:themeColor="text1"/>
                <w:kern w:val="0"/>
                <w:szCs w:val="21"/>
                <w14:textFill>
                  <w14:solidFill>
                    <w14:schemeClr w14:val="tx1"/>
                  </w14:solidFill>
                </w14:textFill>
              </w:rPr>
              <w:t>2030）</w:t>
            </w:r>
            <w:r>
              <w:rPr>
                <w:rFonts w:hint="eastAsia"/>
                <w:b/>
                <w:bCs/>
                <w:color w:val="000000" w:themeColor="text1"/>
                <w:kern w:val="0"/>
                <w:szCs w:val="21"/>
                <w14:textFill>
                  <w14:solidFill>
                    <w14:schemeClr w14:val="tx1"/>
                  </w14:solidFill>
                </w14:textFill>
              </w:rPr>
              <w:t>环境影响报告书》评价结论及审查意见的相符性分析</w:t>
            </w:r>
          </w:p>
          <w:p w14:paraId="1FA33CD2">
            <w:pPr>
              <w:adjustRightInd w:val="0"/>
              <w:snapToGrid w:val="0"/>
              <w:spacing w:line="420" w:lineRule="exact"/>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①评价结论</w:t>
            </w:r>
          </w:p>
          <w:p w14:paraId="26CA97FC">
            <w:pPr>
              <w:adjustRightInd w:val="0"/>
              <w:snapToGrid w:val="0"/>
              <w:spacing w:line="420" w:lineRule="exact"/>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在落实本规划环评提出的规划优化调整建议和环境影响减缓措施后，常熟高新技术产业开发区发展总体规划与上层规划、相关生态环境保护规划以及其他规划基本协调，规划方案实施后，不会降低区域环境功能，规划的各项环保措施总体可行。根据本规划环评报告提出的优化调整建议对规划相关内容进行适当调整、严格落实本评价提出的“三线一单”管理对策以及各项环境影响减缓措施、风险防范措施后，规划方案的实施可进一步降低其所产生的不良环境影响，该规划在环境保护方面总体可行。</w:t>
            </w:r>
          </w:p>
          <w:p w14:paraId="13A59BEA">
            <w:pPr>
              <w:adjustRightInd w:val="0"/>
              <w:snapToGrid w:val="0"/>
              <w:spacing w:line="420" w:lineRule="exact"/>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本项目位于</w:t>
            </w:r>
            <w:r>
              <w:rPr>
                <w:color w:val="000000" w:themeColor="text1"/>
                <w:kern w:val="0"/>
                <w:szCs w:val="21"/>
                <w14:textFill>
                  <w14:solidFill>
                    <w14:schemeClr w14:val="tx1"/>
                  </w14:solidFill>
                </w14:textFill>
              </w:rPr>
              <w:t>常熟市</w:t>
            </w:r>
            <w:r>
              <w:rPr>
                <w:rFonts w:hint="eastAsia"/>
                <w:color w:val="000000" w:themeColor="text1"/>
                <w:szCs w:val="21"/>
                <w14:textFill>
                  <w14:solidFill>
                    <w14:schemeClr w14:val="tx1"/>
                  </w14:solidFill>
                </w14:textFill>
              </w:rPr>
              <w:t>东南街道</w:t>
            </w:r>
            <w:r>
              <w:rPr>
                <w:rFonts w:hint="eastAsia"/>
                <w:color w:val="000000" w:themeColor="text1"/>
                <w:szCs w:val="21"/>
                <w:lang w:val="en-US" w:eastAsia="zh-CN"/>
                <w14:textFill>
                  <w14:solidFill>
                    <w14:schemeClr w14:val="tx1"/>
                  </w14:solidFill>
                </w14:textFill>
              </w:rPr>
              <w:t>银环路28-1号</w:t>
            </w:r>
            <w:r>
              <w:rPr>
                <w:rFonts w:hint="eastAsia"/>
                <w:color w:val="000000" w:themeColor="text1"/>
                <w:kern w:val="0"/>
                <w:szCs w:val="21"/>
                <w:lang w:val="en-US" w:eastAsia="zh-CN"/>
                <w14:textFill>
                  <w14:solidFill>
                    <w14:schemeClr w14:val="tx1"/>
                  </w14:solidFill>
                </w14:textFill>
              </w:rPr>
              <w:t>10幢102</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属于已规划的工业用地，符合常熟高新技术产业开发区的总体规划要求。本项目建设后会产生一定的污染物，在采取相应的污染防治措施后能够达标排放，不会对周边环境造成不良影响。</w:t>
            </w:r>
          </w:p>
          <w:p w14:paraId="02B07992">
            <w:pPr>
              <w:adjustRightInd w:val="0"/>
              <w:snapToGrid w:val="0"/>
              <w:spacing w:line="420" w:lineRule="exact"/>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②审查意见</w:t>
            </w:r>
          </w:p>
          <w:p w14:paraId="25E53837">
            <w:pPr>
              <w:adjustRightInd w:val="0"/>
              <w:snapToGrid w:val="0"/>
              <w:spacing w:line="420" w:lineRule="exact"/>
              <w:ind w:firstLine="420" w:firstLineChars="200"/>
              <w:rPr>
                <w:b/>
                <w:bCs/>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《常熟高新技术产业开发区发展总体规划（2016~2030）环境影响报告书》的审查意见具体如下：</w:t>
            </w:r>
          </w:p>
          <w:p w14:paraId="6E5F915B">
            <w:pPr>
              <w:adjustRightInd w:val="0"/>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表1-1  规划环评审查意见相符性分析一览表</w:t>
            </w:r>
          </w:p>
          <w:tbl>
            <w:tblPr>
              <w:tblStyle w:val="22"/>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7"/>
              <w:gridCol w:w="3186"/>
              <w:gridCol w:w="3115"/>
              <w:gridCol w:w="927"/>
            </w:tblGrid>
            <w:tr w14:paraId="1E452D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noWrap/>
                  <w:vAlign w:val="center"/>
                </w:tcPr>
                <w:p w14:paraId="73ACE414">
                  <w:pPr>
                    <w:adjustRightInd w:val="0"/>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序号</w:t>
                  </w:r>
                </w:p>
              </w:tc>
              <w:tc>
                <w:tcPr>
                  <w:tcW w:w="3186" w:type="dxa"/>
                  <w:noWrap/>
                  <w:vAlign w:val="center"/>
                </w:tcPr>
                <w:p w14:paraId="204F4170">
                  <w:pPr>
                    <w:adjustRightInd w:val="0"/>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审查意见</w:t>
                  </w:r>
                </w:p>
              </w:tc>
              <w:tc>
                <w:tcPr>
                  <w:tcW w:w="3115" w:type="dxa"/>
                  <w:noWrap/>
                  <w:vAlign w:val="center"/>
                </w:tcPr>
                <w:p w14:paraId="6E915702">
                  <w:pPr>
                    <w:adjustRightInd w:val="0"/>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本项目</w:t>
                  </w:r>
                </w:p>
              </w:tc>
              <w:tc>
                <w:tcPr>
                  <w:tcW w:w="927" w:type="dxa"/>
                  <w:noWrap/>
                  <w:vAlign w:val="center"/>
                </w:tcPr>
                <w:p w14:paraId="32930156">
                  <w:pPr>
                    <w:adjustRightInd w:val="0"/>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相符性</w:t>
                  </w:r>
                </w:p>
              </w:tc>
            </w:tr>
            <w:tr w14:paraId="5864CD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7" w:type="dxa"/>
                  <w:noWrap/>
                  <w:vAlign w:val="center"/>
                </w:tcPr>
                <w:p w14:paraId="5A1F9245">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c>
                <w:tcPr>
                  <w:tcW w:w="3186" w:type="dxa"/>
                  <w:noWrap/>
                </w:tcPr>
                <w:p w14:paraId="25903DF4">
                  <w:pPr>
                    <w:adjustRightInd w:val="0"/>
                    <w:snapToGrid w:val="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规划》应坚持绿色、协调发展，落实国家、区域发展战略，突出生态优先、绿色转型、集约高效，进一步优化《规划》用地布局、发展规模、产业结构等，做好与地方省、市国土空间规划和区域“三线一单”（生态保护红线、环境质量底线、资源利用上线、生态环境准入清单）的协调衔接。</w:t>
                  </w:r>
                </w:p>
              </w:tc>
              <w:tc>
                <w:tcPr>
                  <w:tcW w:w="3115" w:type="dxa"/>
                  <w:noWrap/>
                  <w:vAlign w:val="center"/>
                </w:tcPr>
                <w:p w14:paraId="2CC906DC">
                  <w:pPr>
                    <w:adjustRightInd w:val="0"/>
                    <w:snapToGrid w:val="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本项目所在地为工业用地，符合常熟高新技术产业开发区国土空间规划。</w:t>
                  </w:r>
                </w:p>
                <w:p w14:paraId="30D47F78">
                  <w:pPr>
                    <w:adjustRightInd w:val="0"/>
                    <w:snapToGrid w:val="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本项目不在生态空间保护区域范围内，不会突破环境质量底线，不会达到资源利用上线，不在生态环境准入清单中，符合“三线一单”要求。</w:t>
                  </w:r>
                </w:p>
              </w:tc>
              <w:tc>
                <w:tcPr>
                  <w:tcW w:w="927" w:type="dxa"/>
                  <w:noWrap/>
                  <w:vAlign w:val="center"/>
                </w:tcPr>
                <w:p w14:paraId="353E34A8">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相符</w:t>
                  </w:r>
                </w:p>
              </w:tc>
            </w:tr>
            <w:tr w14:paraId="7538B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noWrap/>
                  <w:vAlign w:val="center"/>
                </w:tcPr>
                <w:p w14:paraId="7FD02C96">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c>
                <w:tcPr>
                  <w:tcW w:w="3186" w:type="dxa"/>
                  <w:noWrap/>
                </w:tcPr>
                <w:p w14:paraId="24C7FCA1">
                  <w:pPr>
                    <w:adjustRightInd w:val="0"/>
                    <w:snapToGrid w:val="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着力推动高新区转型升级，做好全过程环境管控。按照国务院对高新区的批复要求和江苏省最新环境管理要求，加快高新区产业转型升级和结构优化，现有不符合产业发展定位、用地规划等要求的重污染企业应逐步升级改造、搬迁、淘汰。做好重污染企业存续期间环境管控和风险防控，强化腾退企业遗留场地的土壤环境调查和风险评估，合理确定土地利用方式。</w:t>
                  </w:r>
                </w:p>
              </w:tc>
              <w:tc>
                <w:tcPr>
                  <w:tcW w:w="3115" w:type="dxa"/>
                  <w:noWrap/>
                  <w:vAlign w:val="center"/>
                </w:tcPr>
                <w:p w14:paraId="4E04300E">
                  <w:pPr>
                    <w:adjustRightInd w:val="0"/>
                    <w:snapToGrid w:val="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本项目所在地为工业用地，行业类别为</w:t>
                  </w:r>
                  <w:r>
                    <w:rPr>
                      <w:rFonts w:hint="eastAsia"/>
                      <w:color w:val="000000" w:themeColor="text1"/>
                      <w:szCs w:val="21"/>
                      <w14:textFill>
                        <w14:solidFill>
                          <w14:schemeClr w14:val="tx1"/>
                        </w14:solidFill>
                      </w14:textFill>
                    </w:rPr>
                    <w:t>C2929塑料零件及塑料制品制造</w:t>
                  </w:r>
                  <w:r>
                    <w:rPr>
                      <w:rFonts w:hint="eastAsia"/>
                      <w:color w:val="000000" w:themeColor="text1"/>
                      <w:kern w:val="0"/>
                      <w:szCs w:val="21"/>
                      <w14:textFill>
                        <w14:solidFill>
                          <w14:schemeClr w14:val="tx1"/>
                        </w14:solidFill>
                      </w14:textFill>
                    </w:rPr>
                    <w:t>，符合高新区产业发展定位、用地规划。</w:t>
                  </w:r>
                </w:p>
              </w:tc>
              <w:tc>
                <w:tcPr>
                  <w:tcW w:w="927" w:type="dxa"/>
                  <w:noWrap/>
                  <w:vAlign w:val="center"/>
                </w:tcPr>
                <w:p w14:paraId="61100342">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相符</w:t>
                  </w:r>
                </w:p>
              </w:tc>
            </w:tr>
            <w:tr w14:paraId="4E7E30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noWrap/>
                  <w:vAlign w:val="center"/>
                </w:tcPr>
                <w:p w14:paraId="33702B8F">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p>
              </w:tc>
              <w:tc>
                <w:tcPr>
                  <w:tcW w:w="3186" w:type="dxa"/>
                  <w:noWrap/>
                </w:tcPr>
                <w:p w14:paraId="1F97A18D">
                  <w:pPr>
                    <w:adjustRightInd w:val="0"/>
                    <w:snapToGrid w:val="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严格空间管控，优化区内空间布局。强化沙家浜-昆承湖重要湿地生态空间管控区的保护，维护重要湿地生态服务功能，加快推进生态空间管控区内企业退出。做好规划控制和生态隔离带建设，加强对高新区内及周边集中居住区等生活空间的防护，确保高新区产业布局与生态环境保护、人居环境安全相协调。</w:t>
                  </w:r>
                </w:p>
              </w:tc>
              <w:tc>
                <w:tcPr>
                  <w:tcW w:w="3115" w:type="dxa"/>
                  <w:noWrap/>
                  <w:vAlign w:val="center"/>
                </w:tcPr>
                <w:p w14:paraId="42F525B3">
                  <w:pPr>
                    <w:adjustRightInd w:val="0"/>
                    <w:snapToGrid w:val="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本项目距离沙家浜-昆承湖重要湿地约</w:t>
                  </w:r>
                  <w:r>
                    <w:rPr>
                      <w:rFonts w:hint="eastAsia"/>
                      <w:color w:val="000000" w:themeColor="text1"/>
                      <w:kern w:val="0"/>
                      <w:szCs w:val="21"/>
                      <w:lang w:val="en-US" w:eastAsia="zh-CN"/>
                      <w14:textFill>
                        <w14:solidFill>
                          <w14:schemeClr w14:val="tx1"/>
                        </w14:solidFill>
                      </w14:textFill>
                    </w:rPr>
                    <w:t>2.3</w:t>
                  </w:r>
                  <w:r>
                    <w:rPr>
                      <w:rFonts w:hint="eastAsia"/>
                      <w:color w:val="000000" w:themeColor="text1"/>
                      <w:kern w:val="0"/>
                      <w:szCs w:val="21"/>
                      <w14:textFill>
                        <w14:solidFill>
                          <w14:schemeClr w14:val="tx1"/>
                        </w14:solidFill>
                      </w14:textFill>
                    </w:rPr>
                    <w:t>km，不在生态空间管控区范围内。</w:t>
                  </w:r>
                </w:p>
                <w:p w14:paraId="3D7DC499">
                  <w:pPr>
                    <w:adjustRightInd w:val="0"/>
                    <w:snapToGrid w:val="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本项目以</w:t>
                  </w:r>
                  <w:r>
                    <w:rPr>
                      <w:rFonts w:hint="eastAsia"/>
                      <w:color w:val="000000" w:themeColor="text1"/>
                      <w:kern w:val="0"/>
                      <w:szCs w:val="21"/>
                      <w:lang w:val="en-US" w:eastAsia="zh-CN"/>
                      <w14:textFill>
                        <w14:solidFill>
                          <w14:schemeClr w14:val="tx1"/>
                        </w14:solidFill>
                      </w14:textFill>
                    </w:rPr>
                    <w:t>生产厂房</w:t>
                  </w:r>
                  <w:r>
                    <w:rPr>
                      <w:rFonts w:hint="eastAsia"/>
                      <w:color w:val="000000" w:themeColor="text1"/>
                      <w:kern w:val="0"/>
                      <w:szCs w:val="21"/>
                      <w14:textFill>
                        <w14:solidFill>
                          <w14:schemeClr w14:val="tx1"/>
                        </w14:solidFill>
                      </w14:textFill>
                    </w:rPr>
                    <w:t>边界为起点设置100m卫生防护距离，范围内无居民点等敏感目标。</w:t>
                  </w:r>
                </w:p>
              </w:tc>
              <w:tc>
                <w:tcPr>
                  <w:tcW w:w="927" w:type="dxa"/>
                  <w:noWrap/>
                  <w:vAlign w:val="center"/>
                </w:tcPr>
                <w:p w14:paraId="0B3A8630">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相符</w:t>
                  </w:r>
                </w:p>
              </w:tc>
            </w:tr>
            <w:tr w14:paraId="372A88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noWrap/>
                  <w:vAlign w:val="center"/>
                </w:tcPr>
                <w:p w14:paraId="7AFB3A64">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p>
              </w:tc>
              <w:tc>
                <w:tcPr>
                  <w:tcW w:w="3186" w:type="dxa"/>
                  <w:noWrap/>
                </w:tcPr>
                <w:p w14:paraId="15617554">
                  <w:pPr>
                    <w:adjustRightInd w:val="0"/>
                    <w:snapToGrid w:val="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严守环境质量底线，强化污染物排放总量管控。根据国家和江苏省关于大气、水、土壤污染防治相关要求和区域“三线一单”成果，制定高新区污染减排方案，落实污染物总量管控要求。采取有效措施减少主要污染物和重金属等特征污染物的排放量，确保区域环境质量持续改善，实现产业发展与城市发展、生态环境保护相协调。</w:t>
                  </w:r>
                </w:p>
              </w:tc>
              <w:tc>
                <w:tcPr>
                  <w:tcW w:w="3115" w:type="dxa"/>
                  <w:noWrap/>
                  <w:vAlign w:val="center"/>
                </w:tcPr>
                <w:p w14:paraId="4B9FA58D">
                  <w:pPr>
                    <w:adjustRightInd w:val="0"/>
                    <w:snapToGrid w:val="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本项目采取有效措施减少污染物排放，落实污染物排放总量控制要求。</w:t>
                  </w:r>
                </w:p>
              </w:tc>
              <w:tc>
                <w:tcPr>
                  <w:tcW w:w="927" w:type="dxa"/>
                  <w:noWrap/>
                  <w:vAlign w:val="center"/>
                </w:tcPr>
                <w:p w14:paraId="4FBF7C23">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相符</w:t>
                  </w:r>
                </w:p>
              </w:tc>
            </w:tr>
            <w:tr w14:paraId="6DB38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noWrap/>
                  <w:vAlign w:val="center"/>
                </w:tcPr>
                <w:p w14:paraId="1A5473EF">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p>
              </w:tc>
              <w:tc>
                <w:tcPr>
                  <w:tcW w:w="3186" w:type="dxa"/>
                  <w:noWrap/>
                </w:tcPr>
                <w:p w14:paraId="640EC5E4">
                  <w:pPr>
                    <w:adjustRightInd w:val="0"/>
                    <w:snapToGrid w:val="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严格入区项目生态环境准入，推动高质量发展。强化入区企业特征污染物排放控制、高效治理设施建设以及精细化管控要求。禁止新增与主导产业不相关且污染物排放量大的项目入区，执行最严格的行业废水、废气排放控制标准，引进项目的生产工艺、设备，以及单位产品能耗、污染物排放和资源利用效率等均需达到同行业国际先进水平。</w:t>
                  </w:r>
                </w:p>
              </w:tc>
              <w:tc>
                <w:tcPr>
                  <w:tcW w:w="3115" w:type="dxa"/>
                  <w:noWrap/>
                  <w:vAlign w:val="center"/>
                </w:tcPr>
                <w:p w14:paraId="562BD6A3">
                  <w:pPr>
                    <w:adjustRightInd w:val="0"/>
                    <w:snapToGrid w:val="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w:t>
                  </w:r>
                  <w:r>
                    <w:rPr>
                      <w:rFonts w:hint="eastAsia"/>
                      <w:bCs/>
                      <w:color w:val="000000" w:themeColor="text1"/>
                      <w:szCs w:val="21"/>
                      <w14:textFill>
                        <w14:solidFill>
                          <w14:schemeClr w14:val="tx1"/>
                        </w14:solidFill>
                      </w14:textFill>
                    </w:rPr>
                    <w:t>行业类别为</w:t>
                  </w:r>
                  <w:r>
                    <w:rPr>
                      <w:rFonts w:hint="eastAsia"/>
                      <w:color w:val="000000" w:themeColor="text1"/>
                      <w:szCs w:val="21"/>
                      <w14:textFill>
                        <w14:solidFill>
                          <w14:schemeClr w14:val="tx1"/>
                        </w14:solidFill>
                      </w14:textFill>
                    </w:rPr>
                    <w:t>C2929塑料零件及塑料制品制造</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产品为医药冷链盒、医用水箱、汽车风管、工具箱，不属于</w:t>
                  </w:r>
                  <w:r>
                    <w:rPr>
                      <w:rFonts w:hint="eastAsia" w:ascii="Times New Roman" w:hAnsi="Times New Roman" w:cs="Times New Roman"/>
                      <w:color w:val="000000" w:themeColor="text1"/>
                      <w:szCs w:val="21"/>
                      <w:lang w:val="en-US" w:eastAsia="zh-CN"/>
                      <w14:textFill>
                        <w14:solidFill>
                          <w14:schemeClr w14:val="tx1"/>
                        </w14:solidFill>
                      </w14:textFill>
                    </w:rPr>
                    <w:t>准入清单内的限制禁止类行业</w:t>
                  </w:r>
                  <w:r>
                    <w:rPr>
                      <w:rFonts w:hint="eastAsia"/>
                      <w:color w:val="000000" w:themeColor="text1"/>
                      <w:kern w:val="0"/>
                      <w:szCs w:val="21"/>
                      <w14:textFill>
                        <w14:solidFill>
                          <w14:schemeClr w14:val="tx1"/>
                        </w14:solidFill>
                      </w14:textFill>
                    </w:rPr>
                    <w:t>，废水、废气满足相关排放要求。</w:t>
                  </w:r>
                </w:p>
                <w:p w14:paraId="3D77ED41">
                  <w:pPr>
                    <w:adjustRightInd w:val="0"/>
                    <w:snapToGrid w:val="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本项目生产工艺、设备以及单位产品能耗、污染物排放和资源利用效率等均达到同行业国际先进水平。</w:t>
                  </w:r>
                </w:p>
              </w:tc>
              <w:tc>
                <w:tcPr>
                  <w:tcW w:w="927" w:type="dxa"/>
                  <w:noWrap/>
                  <w:vAlign w:val="center"/>
                </w:tcPr>
                <w:p w14:paraId="2904CA39">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相符</w:t>
                  </w:r>
                </w:p>
              </w:tc>
            </w:tr>
            <w:tr w14:paraId="5F99ED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noWrap/>
                  <w:vAlign w:val="center"/>
                </w:tcPr>
                <w:p w14:paraId="7578FB2A">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p>
              </w:tc>
              <w:tc>
                <w:tcPr>
                  <w:tcW w:w="3186" w:type="dxa"/>
                  <w:noWrap/>
                </w:tcPr>
                <w:p w14:paraId="6C782D7D">
                  <w:pPr>
                    <w:adjustRightInd w:val="0"/>
                    <w:snapToGrid w:val="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组织制定生态环境保护规划，完善环境监测体系。统筹考虑区内污染防治、生态恢复与建设、环境风险防范、环境管理等事宜。建立健全区域环境风险防范体系，建立应急响应联动机制，提升高新区环境风险防控和应急响应能力，保障区域环境安全。建立完善包括环境空气、地表水、地下水、土壤、底泥等环境要素的监控体系，做好长期跟踪监测与管理。</w:t>
                  </w:r>
                </w:p>
              </w:tc>
              <w:tc>
                <w:tcPr>
                  <w:tcW w:w="3115" w:type="dxa"/>
                  <w:noWrap/>
                  <w:vAlign w:val="center"/>
                </w:tcPr>
                <w:p w14:paraId="7E5905E7">
                  <w:pPr>
                    <w:adjustRightInd w:val="0"/>
                    <w:snapToGrid w:val="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本项目建成后，建立与高新区联动的环境风险防范、环境管理等体系，落实环境监测计划。</w:t>
                  </w:r>
                </w:p>
              </w:tc>
              <w:tc>
                <w:tcPr>
                  <w:tcW w:w="927" w:type="dxa"/>
                  <w:noWrap/>
                  <w:vAlign w:val="center"/>
                </w:tcPr>
                <w:p w14:paraId="6FC3CBC2">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相符</w:t>
                  </w:r>
                </w:p>
              </w:tc>
            </w:tr>
            <w:tr w14:paraId="564B78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noWrap/>
                  <w:vAlign w:val="center"/>
                </w:tcPr>
                <w:p w14:paraId="3623029B">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w:t>
                  </w:r>
                </w:p>
              </w:tc>
              <w:tc>
                <w:tcPr>
                  <w:tcW w:w="3186" w:type="dxa"/>
                  <w:noWrap/>
                </w:tcPr>
                <w:p w14:paraId="4F1E29D3">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完善高新区环境基础设施建设，推进区域环境质量持续改善和提升。强化区域大气污染治理，加强恶臭污染物、挥发性有机物污染治理。加快推进污水处理厂及污水管网建设，提升区域再生水回用率。固体废物、危险废物应依法依规收集、处理处置。</w:t>
                  </w:r>
                </w:p>
              </w:tc>
              <w:tc>
                <w:tcPr>
                  <w:tcW w:w="3115" w:type="dxa"/>
                  <w:noWrap/>
                  <w:vAlign w:val="center"/>
                </w:tcPr>
                <w:p w14:paraId="330AEC3B">
                  <w:pPr>
                    <w:adjustRightInd w:val="0"/>
                    <w:snapToGrid w:val="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本项目废气经收集处理后可达标排放；生活污水接管至</w:t>
                  </w:r>
                  <w:r>
                    <w:rPr>
                      <w:rFonts w:hint="eastAsia"/>
                      <w:color w:val="000000" w:themeColor="text1"/>
                      <w:kern w:val="0"/>
                      <w:szCs w:val="21"/>
                      <w:lang w:val="en-US" w:eastAsia="zh-CN"/>
                      <w14:textFill>
                        <w14:solidFill>
                          <w14:schemeClr w14:val="tx1"/>
                        </w14:solidFill>
                      </w14:textFill>
                    </w:rPr>
                    <w:t>江苏中法水务股份</w:t>
                  </w:r>
                  <w:r>
                    <w:rPr>
                      <w:rFonts w:hint="eastAsia"/>
                      <w:color w:val="000000" w:themeColor="text1"/>
                      <w14:textFill>
                        <w14:solidFill>
                          <w14:schemeClr w14:val="tx1"/>
                        </w14:solidFill>
                      </w14:textFill>
                    </w:rPr>
                    <w:t>有限公司</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城东水质净化厂</w:t>
                  </w:r>
                  <w:r>
                    <w:rPr>
                      <w:rFonts w:hint="eastAsia"/>
                      <w:color w:val="000000" w:themeColor="text1"/>
                      <w:lang w:eastAsia="zh-CN"/>
                      <w14:textFill>
                        <w14:solidFill>
                          <w14:schemeClr w14:val="tx1"/>
                        </w14:solidFill>
                      </w14:textFill>
                    </w:rPr>
                    <w:t>）</w:t>
                  </w:r>
                  <w:r>
                    <w:rPr>
                      <w:rFonts w:hint="eastAsia"/>
                      <w:color w:val="000000" w:themeColor="text1"/>
                      <w:kern w:val="0"/>
                      <w:szCs w:val="21"/>
                      <w14:textFill>
                        <w14:solidFill>
                          <w14:schemeClr w14:val="tx1"/>
                        </w14:solidFill>
                      </w14:textFill>
                    </w:rPr>
                    <w:t>集中处理；固体废物、危险废物均妥善处置，“零”排放。</w:t>
                  </w:r>
                </w:p>
              </w:tc>
              <w:tc>
                <w:tcPr>
                  <w:tcW w:w="927" w:type="dxa"/>
                  <w:noWrap/>
                  <w:vAlign w:val="center"/>
                </w:tcPr>
                <w:p w14:paraId="194EC2E5">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相符</w:t>
                  </w:r>
                </w:p>
              </w:tc>
            </w:tr>
            <w:tr w14:paraId="650A4F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noWrap/>
                  <w:vAlign w:val="center"/>
                </w:tcPr>
                <w:p w14:paraId="4DA8CF89">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w:t>
                  </w:r>
                </w:p>
              </w:tc>
              <w:tc>
                <w:tcPr>
                  <w:tcW w:w="3186" w:type="dxa"/>
                  <w:noWrap/>
                </w:tcPr>
                <w:p w14:paraId="4170A9DE">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在</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规划</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实施过程中，适时开展环境影响跟踪评价。</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规划</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修编时应重新编制环境影响报告书。</w:t>
                  </w:r>
                </w:p>
              </w:tc>
              <w:tc>
                <w:tcPr>
                  <w:tcW w:w="3115" w:type="dxa"/>
                  <w:noWrap/>
                  <w:vAlign w:val="center"/>
                </w:tcPr>
                <w:p w14:paraId="22B3DAA5">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不涉及</w:t>
                  </w:r>
                </w:p>
              </w:tc>
              <w:tc>
                <w:tcPr>
                  <w:tcW w:w="927" w:type="dxa"/>
                  <w:noWrap/>
                  <w:vAlign w:val="center"/>
                </w:tcPr>
                <w:p w14:paraId="57B49C37">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相符</w:t>
                  </w:r>
                </w:p>
              </w:tc>
            </w:tr>
          </w:tbl>
          <w:p w14:paraId="36040AF5">
            <w:pPr>
              <w:adjustRightInd w:val="0"/>
              <w:snapToGrid w:val="0"/>
              <w:spacing w:line="420" w:lineRule="exact"/>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综上所述，本项目符合《常熟高新技术产业开发区发展总体规划（2016~2030）环境影响报告书》评价结论及审查意见的相关要求。</w:t>
            </w:r>
          </w:p>
          <w:p w14:paraId="5EE03C26">
            <w:pPr>
              <w:adjustRightInd w:val="0"/>
              <w:snapToGrid w:val="0"/>
              <w:spacing w:line="420" w:lineRule="exact"/>
              <w:ind w:firstLine="422" w:firstLineChars="200"/>
              <w:rPr>
                <w:b/>
                <w:bCs/>
                <w:color w:val="000000" w:themeColor="text1"/>
                <w:kern w:val="0"/>
                <w:szCs w:val="21"/>
                <w14:textFill>
                  <w14:solidFill>
                    <w14:schemeClr w14:val="tx1"/>
                  </w14:solidFill>
                </w14:textFill>
              </w:rPr>
            </w:pPr>
            <w:r>
              <w:rPr>
                <w:rFonts w:hint="eastAsia"/>
                <w:b/>
                <w:bCs/>
                <w:color w:val="000000" w:themeColor="text1"/>
                <w:kern w:val="0"/>
                <w:szCs w:val="21"/>
                <w:lang w:val="en-US" w:eastAsia="zh-CN"/>
                <w14:textFill>
                  <w14:solidFill>
                    <w14:schemeClr w14:val="tx1"/>
                  </w14:solidFill>
                </w14:textFill>
              </w:rPr>
              <w:t>4</w:t>
            </w:r>
            <w:r>
              <w:rPr>
                <w:rFonts w:hint="eastAsia"/>
                <w:b/>
                <w:bCs/>
                <w:color w:val="000000" w:themeColor="text1"/>
                <w:kern w:val="0"/>
                <w:szCs w:val="21"/>
                <w14:textFill>
                  <w14:solidFill>
                    <w14:schemeClr w14:val="tx1"/>
                  </w14:solidFill>
                </w14:textFill>
              </w:rPr>
              <w:t>、与</w:t>
            </w:r>
            <w:r>
              <w:rPr>
                <w:rFonts w:hint="eastAsia"/>
                <w:b/>
                <w:bCs/>
                <w:color w:val="000000" w:themeColor="text1"/>
                <w:kern w:val="0"/>
                <w:sz w:val="21"/>
                <w:szCs w:val="21"/>
                <w:lang w:eastAsia="zh-CN"/>
                <w14:textFill>
                  <w14:solidFill>
                    <w14:schemeClr w14:val="tx1"/>
                  </w14:solidFill>
                </w14:textFill>
              </w:rPr>
              <w:t>《</w:t>
            </w:r>
            <w:r>
              <w:rPr>
                <w:rFonts w:hint="eastAsia"/>
                <w:b/>
                <w:bCs/>
                <w:color w:val="000000" w:themeColor="text1"/>
                <w:kern w:val="0"/>
                <w:sz w:val="21"/>
                <w:szCs w:val="21"/>
                <w14:textFill>
                  <w14:solidFill>
                    <w14:schemeClr w14:val="tx1"/>
                  </w14:solidFill>
                </w14:textFill>
              </w:rPr>
              <w:t>常熟市国土空间总体规划（2021-2035年）》</w:t>
            </w:r>
            <w:r>
              <w:rPr>
                <w:rFonts w:hint="eastAsia"/>
                <w:b/>
                <w:bCs/>
                <w:color w:val="000000" w:themeColor="text1"/>
                <w:kern w:val="0"/>
                <w:szCs w:val="21"/>
                <w14:textFill>
                  <w14:solidFill>
                    <w14:schemeClr w14:val="tx1"/>
                  </w14:solidFill>
                </w14:textFill>
              </w:rPr>
              <w:t>相符性分析</w:t>
            </w:r>
          </w:p>
          <w:p w14:paraId="1F5E671F">
            <w:pPr>
              <w:adjustRightInd w:val="0"/>
              <w:snapToGrid w:val="0"/>
              <w:spacing w:line="420" w:lineRule="exact"/>
              <w:ind w:firstLine="420" w:firstLineChars="20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根据《常熟市国土空间总体规划（2021-2035年）》相关内容及“三区三线”划定情况，并结合《2023年度常熟市预支空间规模指标落地上图方案（苏自然资函（2023）195号批准）》可知，“三区三线”指的是根据农业空间、生态空间、城镇空间三个区域，分别划定的永久基本农田保护红线、生态保护红线、城镇开发边界，根据《常熟市国土空间规划近期实施方案》“常熟市近期实施方案划定允许建设区、有条件建设区、限制建设区3类建设用地管制区域”，本项目所在地属于划定的允许建设区，同时根据文件中的“与‘三条控制线’划定成果的衔接”可知，本项目位于城镇开发区内，属于规划中的建设用地，选址不涉及生态保护红线，不占用划定的永久基本农田，本项目租赁现有已建厂房进行生产，项目建设地为工业用地，不涉及位于城镇开发边界试划范围内的新增城镇建设用地。</w:t>
            </w:r>
          </w:p>
          <w:p w14:paraId="6A1BEBB0">
            <w:pPr>
              <w:adjustRightInd w:val="0"/>
              <w:snapToGrid w:val="0"/>
              <w:rPr>
                <w:color w:val="000000" w:themeColor="text1"/>
                <w:kern w:val="0"/>
                <w:szCs w:val="2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1403985</wp:posOffset>
                      </wp:positionH>
                      <wp:positionV relativeFrom="paragraph">
                        <wp:posOffset>2118360</wp:posOffset>
                      </wp:positionV>
                      <wp:extent cx="479425" cy="204470"/>
                      <wp:effectExtent l="0" t="0" r="8255" b="8890"/>
                      <wp:wrapNone/>
                      <wp:docPr id="33" name="文本框 18"/>
                      <wp:cNvGraphicFramePr/>
                      <a:graphic xmlns:a="http://schemas.openxmlformats.org/drawingml/2006/main">
                        <a:graphicData uri="http://schemas.microsoft.com/office/word/2010/wordprocessingShape">
                          <wps:wsp>
                            <wps:cNvSpPr txBox="1"/>
                            <wps:spPr>
                              <a:xfrm>
                                <a:off x="3101340" y="3164840"/>
                                <a:ext cx="479425" cy="204470"/>
                              </a:xfrm>
                              <a:prstGeom prst="rect">
                                <a:avLst/>
                              </a:prstGeom>
                              <a:solidFill>
                                <a:srgbClr val="FFFFFF"/>
                              </a:solidFill>
                              <a:ln w="6350">
                                <a:noFill/>
                              </a:ln>
                              <a:effectLst/>
                            </wps:spPr>
                            <wps:txbx>
                              <w:txbxContent>
                                <w:p w14:paraId="35489D6A">
                                  <w:pPr>
                                    <w:rPr>
                                      <w:color w:val="0070C0"/>
                                      <w:sz w:val="15"/>
                                      <w:szCs w:val="15"/>
                                    </w:rPr>
                                  </w:pPr>
                                  <w:r>
                                    <w:rPr>
                                      <w:rFonts w:hint="eastAsia"/>
                                      <w:color w:val="0070C0"/>
                                      <w:sz w:val="15"/>
                                      <w:szCs w:val="15"/>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26" o:spt="202" type="#_x0000_t202" style="position:absolute;left:0pt;margin-left:110.55pt;margin-top:166.8pt;height:16.1pt;width:37.75pt;z-index:251662336;mso-width-relative:page;mso-height-relative:page;" fillcolor="#FFFFFF" filled="t" stroked="f" coordsize="21600,21600" o:gfxdata="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lxaO21gAAAAsBAAAPAAAAAAAAAAEAIAAAACIAAABkcnMvZG93bnJldi54bWxQSwECFAAUAAAA&#10;CACHTuJA3YwzP2ICAACqBAAADgAAAAAAAAABACAAAAAlAQAAZHJzL2Uyb0RvYy54bWxQSwUGAAAA&#10;AAYABgBZAQAA+QUAAAAA&#10;">
                      <v:fill on="t" focussize="0,0"/>
                      <v:stroke on="f" weight="0.5pt"/>
                      <v:imagedata o:title=""/>
                      <o:lock v:ext="edit" aspectratio="f"/>
                      <v:textbox>
                        <w:txbxContent>
                          <w:p w14:paraId="35489D6A">
                            <w:pPr>
                              <w:rPr>
                                <w:color w:val="0070C0"/>
                                <w:sz w:val="15"/>
                                <w:szCs w:val="15"/>
                              </w:rPr>
                            </w:pPr>
                            <w:r>
                              <w:rPr>
                                <w:rFonts w:hint="eastAsia"/>
                                <w:color w:val="0070C0"/>
                                <w:sz w:val="15"/>
                                <w:szCs w:val="15"/>
                              </w:rPr>
                              <w:t>本项目</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1760220</wp:posOffset>
                      </wp:positionH>
                      <wp:positionV relativeFrom="paragraph">
                        <wp:posOffset>2351405</wp:posOffset>
                      </wp:positionV>
                      <wp:extent cx="75565" cy="75565"/>
                      <wp:effectExtent l="12700" t="12700" r="18415" b="18415"/>
                      <wp:wrapNone/>
                      <wp:docPr id="32" name="五角星 17"/>
                      <wp:cNvGraphicFramePr/>
                      <a:graphic xmlns:a="http://schemas.openxmlformats.org/drawingml/2006/main">
                        <a:graphicData uri="http://schemas.microsoft.com/office/word/2010/wordprocessingShape">
                          <wps:wsp>
                            <wps:cNvSpPr/>
                            <wps:spPr>
                              <a:xfrm>
                                <a:off x="3244215" y="3303270"/>
                                <a:ext cx="75565" cy="75565"/>
                              </a:xfrm>
                              <a:prstGeom prst="star5">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五角星 17" o:spid="_x0000_s1026" style="position:absolute;left:0pt;margin-left:138.6pt;margin-top:185.15pt;height:5.95pt;width:5.95pt;z-index:251661312;v-text-anchor:middle;mso-width-relative:page;mso-height-relative:page;" fillcolor="#0070C0" filled="t" stroked="t" coordsize="75565,75565" o:gfxdata="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QfrS9kAAAALAQAADwAAAAAAAAABACAAAAAiAAAAZHJz&#10;L2Rvd25yZXYueG1sUEsBAhQAFAAAAAgAh07iQLxKLiV1AgAA+gQAAA4AAAAAAAAAAQAgAAAAKAEA&#10;AGRycy9lMm9Eb2MueG1sUEsFBgAAAAAGAAYAWQEAAA8GAAAAAA==&#10;" path="m0,28863l28863,28863,37782,0,46701,28863,75564,28863,52213,46701,61133,75564,37782,57726,14431,75564,23351,46701xe">
                      <v:path o:connectlocs="37782,0;0,28863;14431,75564;61133,75564;75564,28863" o:connectangles="247,164,82,82,0"/>
                      <v:fill on="t" focussize="0,0"/>
                      <v:stroke weight="2pt" color="#0070C0" joinstyle="round"/>
                      <v:imagedata o:title=""/>
                      <o:lock v:ext="edit" aspectratio="f"/>
                    </v:shape>
                  </w:pict>
                </mc:Fallback>
              </mc:AlternateContent>
            </w:r>
            <w:r>
              <w:rPr>
                <w:rFonts w:hint="eastAsia"/>
                <w:color w:val="000000" w:themeColor="text1"/>
                <w:kern w:val="0"/>
                <w:szCs w:val="21"/>
                <w14:textFill>
                  <w14:solidFill>
                    <w14:schemeClr w14:val="tx1"/>
                  </w14:solidFill>
                </w14:textFill>
              </w:rPr>
              <w:drawing>
                <wp:inline distT="0" distB="0" distL="114300" distR="114300">
                  <wp:extent cx="5005705" cy="3536315"/>
                  <wp:effectExtent l="0" t="0" r="8255" b="14605"/>
                  <wp:docPr id="16" name="图片 16" descr="三区三线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三区三线附图"/>
                          <pic:cNvPicPr>
                            <a:picLocks noChangeAspect="1"/>
                          </pic:cNvPicPr>
                        </pic:nvPicPr>
                        <pic:blipFill>
                          <a:blip r:embed="rId10" cstate="print"/>
                          <a:stretch>
                            <a:fillRect/>
                          </a:stretch>
                        </pic:blipFill>
                        <pic:spPr>
                          <a:xfrm>
                            <a:off x="0" y="0"/>
                            <a:ext cx="5005705" cy="3536315"/>
                          </a:xfrm>
                          <a:prstGeom prst="rect">
                            <a:avLst/>
                          </a:prstGeom>
                        </pic:spPr>
                      </pic:pic>
                    </a:graphicData>
                  </a:graphic>
                </wp:inline>
              </w:drawing>
            </w:r>
          </w:p>
          <w:p w14:paraId="5C05FF25">
            <w:pPr>
              <w:adjustRightInd w:val="0"/>
              <w:snapToGrid w:val="0"/>
              <w:spacing w:line="36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图1-1 市域国土空间控制线规划图</w:t>
            </w:r>
          </w:p>
          <w:p w14:paraId="229C51B6">
            <w:pPr>
              <w:adjustRightInd w:val="0"/>
              <w:snapToGrid w:val="0"/>
              <w:spacing w:line="360" w:lineRule="auto"/>
              <w:ind w:firstLine="420" w:firstLineChars="200"/>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综上所述，本项目符合《常熟南部新城局部片区控制性详细规划（2022年12月调整）》</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《常熟高新技术产业开发区发展总体规划（2016~2030）环境影响报告书》评价结论及审查意见</w:t>
            </w:r>
            <w:r>
              <w:rPr>
                <w:rFonts w:hint="eastAsia"/>
                <w:color w:val="000000" w:themeColor="text1"/>
                <w:kern w:val="0"/>
                <w:szCs w:val="21"/>
                <w:lang w:val="en-US" w:eastAsia="zh-CN"/>
                <w14:textFill>
                  <w14:solidFill>
                    <w14:schemeClr w14:val="tx1"/>
                  </w14:solidFill>
                </w14:textFill>
              </w:rPr>
              <w:t>和</w:t>
            </w:r>
            <w:r>
              <w:rPr>
                <w:rFonts w:hint="eastAsia"/>
                <w:b w:val="0"/>
                <w:bCs w:val="0"/>
                <w:color w:val="000000" w:themeColor="text1"/>
                <w:kern w:val="0"/>
                <w:sz w:val="21"/>
                <w:szCs w:val="21"/>
                <w:lang w:eastAsia="zh-CN"/>
                <w14:textFill>
                  <w14:solidFill>
                    <w14:schemeClr w14:val="tx1"/>
                  </w14:solidFill>
                </w14:textFill>
              </w:rPr>
              <w:t>《</w:t>
            </w:r>
            <w:r>
              <w:rPr>
                <w:rFonts w:hint="eastAsia"/>
                <w:b w:val="0"/>
                <w:bCs w:val="0"/>
                <w:color w:val="000000" w:themeColor="text1"/>
                <w:kern w:val="0"/>
                <w:sz w:val="21"/>
                <w:szCs w:val="21"/>
                <w14:textFill>
                  <w14:solidFill>
                    <w14:schemeClr w14:val="tx1"/>
                  </w14:solidFill>
                </w14:textFill>
              </w:rPr>
              <w:t>常熟市国土空间总体规划（2021-2035年）》</w:t>
            </w:r>
            <w:r>
              <w:rPr>
                <w:rFonts w:hint="eastAsia"/>
                <w:b w:val="0"/>
                <w:bCs w:val="0"/>
                <w:color w:val="000000" w:themeColor="text1"/>
                <w:kern w:val="0"/>
                <w:sz w:val="21"/>
                <w:szCs w:val="21"/>
                <w:lang w:val="en-US" w:eastAsia="zh-CN"/>
                <w14:textFill>
                  <w14:solidFill>
                    <w14:schemeClr w14:val="tx1"/>
                  </w14:solidFill>
                </w14:textFill>
              </w:rPr>
              <w:t>中</w:t>
            </w:r>
            <w:r>
              <w:rPr>
                <w:rFonts w:hint="eastAsia"/>
                <w:color w:val="000000" w:themeColor="text1"/>
                <w:kern w:val="0"/>
                <w:szCs w:val="21"/>
                <w14:textFill>
                  <w14:solidFill>
                    <w14:schemeClr w14:val="tx1"/>
                  </w14:solidFill>
                </w14:textFill>
              </w:rPr>
              <w:t>三区三线的相关要求。</w:t>
            </w:r>
          </w:p>
        </w:tc>
      </w:tr>
      <w:tr w14:paraId="4B1BE6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6" w:type="pct"/>
            <w:noWrap/>
            <w:vAlign w:val="center"/>
          </w:tcPr>
          <w:p w14:paraId="47E4E992">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其他符合性分析</w:t>
            </w:r>
          </w:p>
        </w:tc>
        <w:tc>
          <w:tcPr>
            <w:tcW w:w="4743" w:type="pct"/>
            <w:gridSpan w:val="4"/>
            <w:noWrap/>
            <w:vAlign w:val="center"/>
          </w:tcPr>
          <w:p w14:paraId="53D6CB14">
            <w:pPr>
              <w:adjustRightInd w:val="0"/>
              <w:snapToGrid w:val="0"/>
              <w:spacing w:line="420" w:lineRule="exact"/>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1.1</w:t>
            </w: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三线一单</w:t>
            </w: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相符性分析</w:t>
            </w:r>
          </w:p>
          <w:p w14:paraId="5E22A0E5">
            <w:pPr>
              <w:adjustRightInd w:val="0"/>
              <w:snapToGrid w:val="0"/>
              <w:spacing w:line="420" w:lineRule="exact"/>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（1）生态保护红线</w:t>
            </w:r>
          </w:p>
          <w:p w14:paraId="15F366DD">
            <w:pPr>
              <w:pStyle w:val="8"/>
              <w:spacing w:line="420" w:lineRule="exact"/>
              <w:ind w:firstLine="420" w:firstLineChars="200"/>
              <w:rPr>
                <w:b/>
                <w:bCs/>
                <w:color w:val="000000" w:themeColor="text1"/>
                <w:kern w:val="0"/>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①根据</w:t>
            </w:r>
            <w:r>
              <w:rPr>
                <w:color w:val="000000" w:themeColor="text1"/>
                <w:sz w:val="21"/>
                <w:szCs w:val="21"/>
                <w14:textFill>
                  <w14:solidFill>
                    <w14:schemeClr w14:val="tx1"/>
                  </w14:solidFill>
                </w14:textFill>
              </w:rPr>
              <w:t>《省政府关于印发江苏省生态空间管控区域规划的通知》（苏政发[2020]1号）、《省政府关于印发江苏省国家级生态保护红线规划的通知》（苏政发[2018]74号）</w:t>
            </w:r>
            <w:r>
              <w:rPr>
                <w:rFonts w:hint="eastAsia"/>
                <w:color w:val="000000" w:themeColor="text1"/>
                <w:sz w:val="21"/>
                <w:szCs w:val="21"/>
                <w14:textFill>
                  <w14:solidFill>
                    <w14:schemeClr w14:val="tx1"/>
                  </w14:solidFill>
                </w14:textFill>
              </w:rPr>
              <w:t>、《江苏省自然资源厅关于常熟市生态空间管控区域调整方案的复函》（苏自然资函[2024]314号）</w:t>
            </w:r>
            <w:r>
              <w:rPr>
                <w:color w:val="000000" w:themeColor="text1"/>
                <w:sz w:val="21"/>
                <w:szCs w:val="21"/>
                <w14:textFill>
                  <w14:solidFill>
                    <w14:schemeClr w14:val="tx1"/>
                  </w14:solidFill>
                </w14:textFill>
              </w:rPr>
              <w:t>常熟市生态保护规划如下表所示</w:t>
            </w:r>
            <w:r>
              <w:rPr>
                <w:rFonts w:eastAsiaTheme="minorEastAsia"/>
                <w:color w:val="000000" w:themeColor="text1"/>
                <w:sz w:val="21"/>
                <w:szCs w:val="21"/>
                <w14:textFill>
                  <w14:solidFill>
                    <w14:schemeClr w14:val="tx1"/>
                  </w14:solidFill>
                </w14:textFill>
              </w:rPr>
              <w:t>。</w:t>
            </w:r>
          </w:p>
          <w:p w14:paraId="2C00DD80">
            <w:pPr>
              <w:autoSpaceDE w:val="0"/>
              <w:autoSpaceDN w:val="0"/>
              <w:adjustRightInd w:val="0"/>
              <w:snapToGrid w:val="0"/>
              <w:ind w:firstLine="42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表1.1-1 常熟市生态保护规划范围及内容</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8"/>
              <w:gridCol w:w="3311"/>
              <w:gridCol w:w="2251"/>
              <w:gridCol w:w="1893"/>
            </w:tblGrid>
            <w:tr w14:paraId="0FBD09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19" w:type="pct"/>
                  <w:noWrap/>
                  <w:vAlign w:val="center"/>
                </w:tcPr>
                <w:p w14:paraId="15967089">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序号</w:t>
                  </w:r>
                </w:p>
              </w:tc>
              <w:tc>
                <w:tcPr>
                  <w:tcW w:w="2078" w:type="pct"/>
                  <w:noWrap/>
                  <w:vAlign w:val="center"/>
                </w:tcPr>
                <w:p w14:paraId="51CA66A0">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生态空间保护区域名称</w:t>
                  </w:r>
                </w:p>
              </w:tc>
              <w:tc>
                <w:tcPr>
                  <w:tcW w:w="1413" w:type="pct"/>
                  <w:noWrap/>
                  <w:vAlign w:val="center"/>
                </w:tcPr>
                <w:p w14:paraId="48F3A469">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管控单元分类</w:t>
                  </w:r>
                </w:p>
              </w:tc>
              <w:tc>
                <w:tcPr>
                  <w:tcW w:w="1188" w:type="pct"/>
                  <w:noWrap/>
                  <w:vAlign w:val="center"/>
                </w:tcPr>
                <w:p w14:paraId="383EF94A">
                  <w:pPr>
                    <w:tabs>
                      <w:tab w:val="left" w:pos="574"/>
                    </w:tabs>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管控单元分类</w:t>
                  </w:r>
                </w:p>
              </w:tc>
            </w:tr>
            <w:tr w14:paraId="7C450C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noWrap/>
                  <w:vAlign w:val="center"/>
                </w:tcPr>
                <w:p w14:paraId="31466F5B">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2078" w:type="pct"/>
                  <w:noWrap/>
                  <w:vAlign w:val="center"/>
                </w:tcPr>
                <w:p w14:paraId="31E2E79B">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常熟尚湖饮用水水源保护区</w:t>
                  </w:r>
                </w:p>
              </w:tc>
              <w:tc>
                <w:tcPr>
                  <w:tcW w:w="1413" w:type="pct"/>
                  <w:noWrap/>
                  <w:vAlign w:val="center"/>
                </w:tcPr>
                <w:p w14:paraId="57CD469E">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生态空间管控区</w:t>
                  </w:r>
                </w:p>
              </w:tc>
              <w:tc>
                <w:tcPr>
                  <w:tcW w:w="1188" w:type="pct"/>
                  <w:noWrap/>
                  <w:vAlign w:val="center"/>
                </w:tcPr>
                <w:p w14:paraId="366B074C">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优先保护单元</w:t>
                  </w:r>
                </w:p>
              </w:tc>
            </w:tr>
            <w:tr w14:paraId="4FFF04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noWrap/>
                  <w:vAlign w:val="center"/>
                </w:tcPr>
                <w:p w14:paraId="06EBFE1E">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2078" w:type="pct"/>
                  <w:noWrap/>
                  <w:vAlign w:val="center"/>
                </w:tcPr>
                <w:p w14:paraId="687A7D19">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常熟西南部湖荡重要湿地空间</w:t>
                  </w:r>
                </w:p>
              </w:tc>
              <w:tc>
                <w:tcPr>
                  <w:tcW w:w="1413" w:type="pct"/>
                  <w:noWrap/>
                  <w:vAlign w:val="center"/>
                </w:tcPr>
                <w:p w14:paraId="550F4258">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生态空间管控区</w:t>
                  </w:r>
                </w:p>
              </w:tc>
              <w:tc>
                <w:tcPr>
                  <w:tcW w:w="1188" w:type="pct"/>
                  <w:noWrap/>
                  <w:vAlign w:val="center"/>
                </w:tcPr>
                <w:p w14:paraId="347AAD6E">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优先保护单元</w:t>
                  </w:r>
                </w:p>
              </w:tc>
            </w:tr>
            <w:tr w14:paraId="5FBE42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noWrap/>
                  <w:vAlign w:val="center"/>
                </w:tcPr>
                <w:p w14:paraId="709095B6">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2078" w:type="pct"/>
                  <w:noWrap/>
                  <w:vAlign w:val="center"/>
                </w:tcPr>
                <w:p w14:paraId="64CD1DFE">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七浦塘（常熟市）清水通道维护区</w:t>
                  </w:r>
                </w:p>
              </w:tc>
              <w:tc>
                <w:tcPr>
                  <w:tcW w:w="1413" w:type="pct"/>
                  <w:noWrap/>
                  <w:vAlign w:val="center"/>
                </w:tcPr>
                <w:p w14:paraId="27D0AF25">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生态空间管控区</w:t>
                  </w:r>
                </w:p>
              </w:tc>
              <w:tc>
                <w:tcPr>
                  <w:tcW w:w="1188" w:type="pct"/>
                  <w:noWrap/>
                  <w:vAlign w:val="center"/>
                </w:tcPr>
                <w:p w14:paraId="276D59F5">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优先保护单元</w:t>
                  </w:r>
                </w:p>
              </w:tc>
            </w:tr>
            <w:tr w14:paraId="3A527A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noWrap/>
                  <w:vAlign w:val="center"/>
                </w:tcPr>
                <w:p w14:paraId="226AC002">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2078" w:type="pct"/>
                  <w:noWrap/>
                  <w:vAlign w:val="center"/>
                </w:tcPr>
                <w:p w14:paraId="266F116C">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沙家浜—昆承湖重要湿地空间</w:t>
                  </w:r>
                </w:p>
              </w:tc>
              <w:tc>
                <w:tcPr>
                  <w:tcW w:w="1413" w:type="pct"/>
                  <w:noWrap/>
                  <w:vAlign w:val="center"/>
                </w:tcPr>
                <w:p w14:paraId="0EDFFCED">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生态空间管控区</w:t>
                  </w:r>
                </w:p>
              </w:tc>
              <w:tc>
                <w:tcPr>
                  <w:tcW w:w="1188" w:type="pct"/>
                  <w:noWrap/>
                  <w:vAlign w:val="center"/>
                </w:tcPr>
                <w:p w14:paraId="59B6E4EA">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优先保护单元</w:t>
                  </w:r>
                </w:p>
              </w:tc>
            </w:tr>
            <w:tr w14:paraId="674097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noWrap/>
                  <w:vAlign w:val="center"/>
                </w:tcPr>
                <w:p w14:paraId="52CDB370">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2078" w:type="pct"/>
                  <w:noWrap/>
                  <w:vAlign w:val="center"/>
                </w:tcPr>
                <w:p w14:paraId="4CDEBB89">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沙家浜国家湿地公园</w:t>
                  </w:r>
                </w:p>
              </w:tc>
              <w:tc>
                <w:tcPr>
                  <w:tcW w:w="1413" w:type="pct"/>
                  <w:noWrap/>
                  <w:vAlign w:val="center"/>
                </w:tcPr>
                <w:p w14:paraId="61959580">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生态空间管控区</w:t>
                  </w:r>
                </w:p>
              </w:tc>
              <w:tc>
                <w:tcPr>
                  <w:tcW w:w="1188" w:type="pct"/>
                  <w:noWrap/>
                  <w:vAlign w:val="center"/>
                </w:tcPr>
                <w:p w14:paraId="6073E76D">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优先保护单元</w:t>
                  </w:r>
                </w:p>
              </w:tc>
            </w:tr>
            <w:tr w14:paraId="39CD56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noWrap/>
                  <w:vAlign w:val="center"/>
                </w:tcPr>
                <w:p w14:paraId="5F24140F">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p>
              </w:tc>
              <w:tc>
                <w:tcPr>
                  <w:tcW w:w="2078" w:type="pct"/>
                  <w:noWrap/>
                  <w:vAlign w:val="center"/>
                </w:tcPr>
                <w:p w14:paraId="42AB22CE">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太湖国家级风景名胜区虞山景区</w:t>
                  </w:r>
                </w:p>
              </w:tc>
              <w:tc>
                <w:tcPr>
                  <w:tcW w:w="1413" w:type="pct"/>
                  <w:noWrap/>
                  <w:vAlign w:val="center"/>
                </w:tcPr>
                <w:p w14:paraId="5993F294">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生态空间管控区</w:t>
                  </w:r>
                </w:p>
              </w:tc>
              <w:tc>
                <w:tcPr>
                  <w:tcW w:w="1188" w:type="pct"/>
                  <w:noWrap/>
                  <w:vAlign w:val="center"/>
                </w:tcPr>
                <w:p w14:paraId="1CBA113E">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优先保护单元</w:t>
                  </w:r>
                </w:p>
              </w:tc>
            </w:tr>
            <w:tr w14:paraId="708A7F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noWrap/>
                  <w:vAlign w:val="center"/>
                </w:tcPr>
                <w:p w14:paraId="62D7CDA4">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w:t>
                  </w:r>
                </w:p>
              </w:tc>
              <w:tc>
                <w:tcPr>
                  <w:tcW w:w="2078" w:type="pct"/>
                  <w:noWrap/>
                  <w:vAlign w:val="center"/>
                </w:tcPr>
                <w:p w14:paraId="7D9FFA3B">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望虞河（常熟市）清水通道维护区</w:t>
                  </w:r>
                </w:p>
              </w:tc>
              <w:tc>
                <w:tcPr>
                  <w:tcW w:w="1413" w:type="pct"/>
                  <w:noWrap/>
                  <w:vAlign w:val="center"/>
                </w:tcPr>
                <w:p w14:paraId="5747472E">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生态空间管控区</w:t>
                  </w:r>
                </w:p>
              </w:tc>
              <w:tc>
                <w:tcPr>
                  <w:tcW w:w="1188" w:type="pct"/>
                  <w:noWrap/>
                  <w:vAlign w:val="center"/>
                </w:tcPr>
                <w:p w14:paraId="57B74D4A">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优先保护单元</w:t>
                  </w:r>
                </w:p>
              </w:tc>
            </w:tr>
            <w:tr w14:paraId="20E04F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noWrap/>
                  <w:vAlign w:val="center"/>
                </w:tcPr>
                <w:p w14:paraId="112193FA">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c>
                <w:tcPr>
                  <w:tcW w:w="2078" w:type="pct"/>
                  <w:noWrap/>
                  <w:vAlign w:val="center"/>
                </w:tcPr>
                <w:p w14:paraId="5679ED91">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长江（常熟市）重要湿地空间</w:t>
                  </w:r>
                </w:p>
              </w:tc>
              <w:tc>
                <w:tcPr>
                  <w:tcW w:w="1413" w:type="pct"/>
                  <w:noWrap/>
                  <w:vAlign w:val="center"/>
                </w:tcPr>
                <w:p w14:paraId="4A63A9A4">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生态空间管控区</w:t>
                  </w:r>
                </w:p>
              </w:tc>
              <w:tc>
                <w:tcPr>
                  <w:tcW w:w="1188" w:type="pct"/>
                  <w:noWrap/>
                  <w:vAlign w:val="center"/>
                </w:tcPr>
                <w:p w14:paraId="06504CD8">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优先保护单元</w:t>
                  </w:r>
                </w:p>
              </w:tc>
            </w:tr>
            <w:tr w14:paraId="09F58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noWrap/>
                  <w:vAlign w:val="center"/>
                </w:tcPr>
                <w:p w14:paraId="431509CB">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w:t>
                  </w:r>
                </w:p>
              </w:tc>
              <w:tc>
                <w:tcPr>
                  <w:tcW w:w="2078" w:type="pct"/>
                  <w:noWrap/>
                  <w:vAlign w:val="center"/>
                </w:tcPr>
                <w:p w14:paraId="1979F0B6">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常熟南湖省级湿地公园</w:t>
                  </w:r>
                </w:p>
              </w:tc>
              <w:tc>
                <w:tcPr>
                  <w:tcW w:w="1413" w:type="pct"/>
                  <w:noWrap/>
                  <w:vAlign w:val="center"/>
                </w:tcPr>
                <w:p w14:paraId="66E80DFF">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生态空间管控区</w:t>
                  </w:r>
                </w:p>
              </w:tc>
              <w:tc>
                <w:tcPr>
                  <w:tcW w:w="1188" w:type="pct"/>
                  <w:noWrap/>
                  <w:vAlign w:val="center"/>
                </w:tcPr>
                <w:p w14:paraId="5DC81956">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优先保护单元</w:t>
                  </w:r>
                </w:p>
              </w:tc>
            </w:tr>
            <w:tr w14:paraId="2B7122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noWrap/>
                  <w:vAlign w:val="center"/>
                </w:tcPr>
                <w:p w14:paraId="21AEE682">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2078" w:type="pct"/>
                  <w:noWrap/>
                  <w:vAlign w:val="center"/>
                </w:tcPr>
                <w:p w14:paraId="1FB1FFCA">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长江浒浦饮用水水源保护区</w:t>
                  </w:r>
                </w:p>
              </w:tc>
              <w:tc>
                <w:tcPr>
                  <w:tcW w:w="1413" w:type="pct"/>
                  <w:noWrap/>
                  <w:vAlign w:val="center"/>
                </w:tcPr>
                <w:p w14:paraId="3276BDCC">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国家级生态保护红线</w:t>
                  </w:r>
                </w:p>
              </w:tc>
              <w:tc>
                <w:tcPr>
                  <w:tcW w:w="1188" w:type="pct"/>
                  <w:noWrap/>
                  <w:vAlign w:val="center"/>
                </w:tcPr>
                <w:p w14:paraId="0C5957CA">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优先保护单元</w:t>
                  </w:r>
                </w:p>
              </w:tc>
            </w:tr>
            <w:tr w14:paraId="5B21D3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noWrap/>
                  <w:vAlign w:val="center"/>
                </w:tcPr>
                <w:p w14:paraId="7488B246">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w:t>
                  </w:r>
                </w:p>
              </w:tc>
              <w:tc>
                <w:tcPr>
                  <w:tcW w:w="2078" w:type="pct"/>
                  <w:noWrap/>
                  <w:vAlign w:val="center"/>
                </w:tcPr>
                <w:p w14:paraId="2EDB61F1">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江苏沙家浜国家湿地公园</w:t>
                  </w:r>
                </w:p>
              </w:tc>
              <w:tc>
                <w:tcPr>
                  <w:tcW w:w="1413" w:type="pct"/>
                  <w:noWrap/>
                  <w:vAlign w:val="center"/>
                </w:tcPr>
                <w:p w14:paraId="7B89AD70">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国家级生态保护红线</w:t>
                  </w:r>
                </w:p>
              </w:tc>
              <w:tc>
                <w:tcPr>
                  <w:tcW w:w="1188" w:type="pct"/>
                  <w:noWrap/>
                  <w:vAlign w:val="center"/>
                </w:tcPr>
                <w:p w14:paraId="4A066094">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优先保护单元</w:t>
                  </w:r>
                </w:p>
              </w:tc>
            </w:tr>
            <w:tr w14:paraId="4CA1CA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noWrap/>
                  <w:vAlign w:val="center"/>
                </w:tcPr>
                <w:p w14:paraId="7DAEF2F1">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w:t>
                  </w:r>
                </w:p>
              </w:tc>
              <w:tc>
                <w:tcPr>
                  <w:tcW w:w="2078" w:type="pct"/>
                  <w:noWrap/>
                  <w:vAlign w:val="center"/>
                </w:tcPr>
                <w:p w14:paraId="568EA977">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江苏虞山国家森林公园</w:t>
                  </w:r>
                </w:p>
              </w:tc>
              <w:tc>
                <w:tcPr>
                  <w:tcW w:w="1413" w:type="pct"/>
                  <w:noWrap/>
                  <w:vAlign w:val="center"/>
                </w:tcPr>
                <w:p w14:paraId="3387E72F">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国家级生态保护红线</w:t>
                  </w:r>
                </w:p>
              </w:tc>
              <w:tc>
                <w:tcPr>
                  <w:tcW w:w="1188" w:type="pct"/>
                  <w:noWrap/>
                  <w:vAlign w:val="center"/>
                </w:tcPr>
                <w:p w14:paraId="79337C23">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优先保护单元</w:t>
                  </w:r>
                </w:p>
              </w:tc>
            </w:tr>
            <w:tr w14:paraId="4A093F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noWrap/>
                  <w:vAlign w:val="center"/>
                </w:tcPr>
                <w:p w14:paraId="4715C22F">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w:t>
                  </w:r>
                </w:p>
              </w:tc>
              <w:tc>
                <w:tcPr>
                  <w:tcW w:w="2078" w:type="pct"/>
                  <w:noWrap/>
                  <w:vAlign w:val="center"/>
                </w:tcPr>
                <w:p w14:paraId="58E45AF8">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江苏苏州常熟南湖省级湿地公园</w:t>
                  </w:r>
                </w:p>
              </w:tc>
              <w:tc>
                <w:tcPr>
                  <w:tcW w:w="1413" w:type="pct"/>
                  <w:noWrap/>
                  <w:vAlign w:val="center"/>
                </w:tcPr>
                <w:p w14:paraId="671A7018">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国家级生态保护红线</w:t>
                  </w:r>
                </w:p>
              </w:tc>
              <w:tc>
                <w:tcPr>
                  <w:tcW w:w="1188" w:type="pct"/>
                  <w:noWrap/>
                  <w:vAlign w:val="center"/>
                </w:tcPr>
                <w:p w14:paraId="676FB556">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优先保护单元</w:t>
                  </w:r>
                </w:p>
              </w:tc>
            </w:tr>
            <w:tr w14:paraId="7D76D2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noWrap/>
                  <w:vAlign w:val="center"/>
                </w:tcPr>
                <w:p w14:paraId="1927F5C6">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14</w:t>
                  </w:r>
                </w:p>
              </w:tc>
              <w:tc>
                <w:tcPr>
                  <w:tcW w:w="2078" w:type="pct"/>
                  <w:noWrap/>
                  <w:vAlign w:val="center"/>
                </w:tcPr>
                <w:p w14:paraId="2985D7FE">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江苏苏州常熟滨江省级湿地公园</w:t>
                  </w:r>
                </w:p>
              </w:tc>
              <w:tc>
                <w:tcPr>
                  <w:tcW w:w="1413" w:type="pct"/>
                  <w:noWrap/>
                  <w:vAlign w:val="center"/>
                </w:tcPr>
                <w:p w14:paraId="21EB45DC">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国家级生态保护红线</w:t>
                  </w:r>
                </w:p>
              </w:tc>
              <w:tc>
                <w:tcPr>
                  <w:tcW w:w="1188" w:type="pct"/>
                  <w:noWrap/>
                  <w:vAlign w:val="center"/>
                </w:tcPr>
                <w:p w14:paraId="72D7E53F">
                  <w:pPr>
                    <w:widowControl/>
                    <w:jc w:val="center"/>
                    <w:textAlignment w:val="center"/>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优先保护单元</w:t>
                  </w:r>
                </w:p>
              </w:tc>
            </w:tr>
          </w:tbl>
          <w:p w14:paraId="7B69DEBD">
            <w:pPr>
              <w:adjustRightInd w:val="0"/>
              <w:snapToGrid w:val="0"/>
              <w:spacing w:line="42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本项目距离最近的生态空间保护区域为</w:t>
            </w:r>
            <w:r>
              <w:rPr>
                <w:rFonts w:hint="eastAsia"/>
                <w:color w:val="000000" w:themeColor="text1"/>
                <w:szCs w:val="21"/>
                <w14:textFill>
                  <w14:solidFill>
                    <w14:schemeClr w14:val="tx1"/>
                  </w14:solidFill>
                </w14:textFill>
              </w:rPr>
              <w:t>西南</w:t>
            </w:r>
            <w:r>
              <w:rPr>
                <w:color w:val="000000" w:themeColor="text1"/>
                <w:szCs w:val="21"/>
                <w14:textFill>
                  <w14:solidFill>
                    <w14:schemeClr w14:val="tx1"/>
                  </w14:solidFill>
                </w14:textFill>
              </w:rPr>
              <w:t>侧的</w:t>
            </w:r>
            <w:r>
              <w:rPr>
                <w:rFonts w:hint="eastAsia"/>
                <w:color w:val="000000" w:themeColor="text1"/>
                <w:szCs w:val="21"/>
                <w14:textFill>
                  <w14:solidFill>
                    <w14:schemeClr w14:val="tx1"/>
                  </w14:solidFill>
                </w14:textFill>
              </w:rPr>
              <w:t>“</w:t>
            </w:r>
            <w:r>
              <w:rPr>
                <w:rFonts w:hint="eastAsia" w:ascii="宋体" w:hAnsi="宋体" w:cs="宋体"/>
                <w:color w:val="000000" w:themeColor="text1"/>
                <w:kern w:val="0"/>
                <w:sz w:val="21"/>
                <w:szCs w:val="21"/>
                <w14:textFill>
                  <w14:solidFill>
                    <w14:schemeClr w14:val="tx1"/>
                  </w14:solidFill>
                </w14:textFill>
              </w:rPr>
              <w:t>沙家浜—昆承湖重要湿地空间</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，约</w:t>
            </w:r>
            <w:r>
              <w:rPr>
                <w:rFonts w:hint="eastAsia"/>
                <w:color w:val="000000" w:themeColor="text1"/>
                <w:szCs w:val="21"/>
                <w:lang w:val="en-US" w:eastAsia="zh-CN"/>
                <w14:textFill>
                  <w14:solidFill>
                    <w14:schemeClr w14:val="tx1"/>
                  </w14:solidFill>
                </w14:textFill>
              </w:rPr>
              <w:t>2.3</w:t>
            </w:r>
            <w:r>
              <w:rPr>
                <w:rFonts w:hint="eastAsia"/>
                <w:color w:val="000000" w:themeColor="text1"/>
                <w:szCs w:val="21"/>
                <w14:textFill>
                  <w14:solidFill>
                    <w14:schemeClr w14:val="tx1"/>
                  </w14:solidFill>
                </w14:textFill>
              </w:rPr>
              <w:t>k</w:t>
            </w:r>
            <w:r>
              <w:rPr>
                <w:color w:val="000000" w:themeColor="text1"/>
                <w:szCs w:val="21"/>
                <w14:textFill>
                  <w14:solidFill>
                    <w14:schemeClr w14:val="tx1"/>
                  </w14:solidFill>
                </w14:textFill>
              </w:rPr>
              <w:t>m，详见附图2。因此，本项目不在生态空间保护区域范围内，不属于限制开发区域和禁止开发区域，符合相关要求。</w:t>
            </w:r>
          </w:p>
          <w:p w14:paraId="08AB7C14">
            <w:pPr>
              <w:adjustRightInd w:val="0"/>
              <w:snapToGrid w:val="0"/>
              <w:spacing w:line="420" w:lineRule="exact"/>
              <w:ind w:firstLine="420" w:firstLineChars="200"/>
              <w:rPr>
                <w:color w:val="000000" w:themeColor="text1"/>
                <w:szCs w:val="21"/>
                <w14:textFill>
                  <w14:solidFill>
                    <w14:schemeClr w14:val="tx1"/>
                  </w14:solidFill>
                </w14:textFill>
              </w:rPr>
            </w:pPr>
            <w:r>
              <w:rPr>
                <w:rFonts w:hint="eastAsia"/>
                <w:color w:val="000000" w:themeColor="text1"/>
                <w:sz w:val="21"/>
                <w:szCs w:val="21"/>
                <w14:textFill>
                  <w14:solidFill>
                    <w14:schemeClr w14:val="tx1"/>
                  </w14:solidFill>
                </w14:textFill>
              </w:rPr>
              <w:t>②</w:t>
            </w:r>
            <w:r>
              <w:rPr>
                <w:rFonts w:hint="eastAsia"/>
                <w:color w:val="000000" w:themeColor="text1"/>
                <w:szCs w:val="21"/>
                <w14:textFill>
                  <w14:solidFill>
                    <w14:schemeClr w14:val="tx1"/>
                  </w14:solidFill>
                </w14:textFill>
              </w:rPr>
              <w:t>根据</w:t>
            </w:r>
            <w:r>
              <w:rPr>
                <w:color w:val="000000" w:themeColor="text1"/>
                <w:szCs w:val="21"/>
                <w14:textFill>
                  <w14:solidFill>
                    <w14:schemeClr w14:val="tx1"/>
                  </w14:solidFill>
                </w14:textFill>
              </w:rPr>
              <w:t>《省政府关于印发江苏省“三线一单”生态环境分区管控方案的通知》（苏政发[2020]49号）</w:t>
            </w:r>
            <w:r>
              <w:rPr>
                <w:rFonts w:hint="eastAsia"/>
                <w:color w:val="000000" w:themeColor="text1"/>
                <w:lang w:eastAsia="zh-CN"/>
                <w14:textFill>
                  <w14:solidFill>
                    <w14:schemeClr w14:val="tx1"/>
                  </w14:solidFill>
                </w14:textFill>
              </w:rPr>
              <w:t>、</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江苏省2023年度生态环境分区管控动态更新成果公告</w:t>
            </w:r>
            <w:r>
              <w:rPr>
                <w:color w:val="000000" w:themeColor="text1"/>
                <w:sz w:val="21"/>
                <w:szCs w:val="21"/>
                <w14:textFill>
                  <w14:solidFill>
                    <w14:schemeClr w14:val="tx1"/>
                  </w14:solidFill>
                </w14:textFill>
              </w:rPr>
              <w:t>》</w:t>
            </w:r>
            <w:r>
              <w:rPr>
                <w:color w:val="000000" w:themeColor="text1"/>
                <w:szCs w:val="21"/>
                <w14:textFill>
                  <w14:solidFill>
                    <w14:schemeClr w14:val="tx1"/>
                  </w14:solidFill>
                </w14:textFill>
              </w:rPr>
              <w:t>，本项目位于</w:t>
            </w:r>
            <w:r>
              <w:rPr>
                <w:rFonts w:hint="eastAsia"/>
                <w:color w:val="000000" w:themeColor="text1"/>
                <w:szCs w:val="21"/>
                <w14:textFill>
                  <w14:solidFill>
                    <w14:schemeClr w14:val="tx1"/>
                  </w14:solidFill>
                </w14:textFill>
              </w:rPr>
              <w:t>常熟市</w:t>
            </w:r>
            <w:r>
              <w:rPr>
                <w:rFonts w:hint="eastAsia"/>
                <w:color w:val="000000" w:themeColor="text1"/>
                <w:szCs w:val="21"/>
                <w:lang w:eastAsia="zh-CN"/>
                <w14:textFill>
                  <w14:solidFill>
                    <w14:schemeClr w14:val="tx1"/>
                  </w14:solidFill>
                </w14:textFill>
              </w:rPr>
              <w:t>东南街道银环路28-1号10幢102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属于重点管控单元（省级以上产业园区：常熟高新技术产业开发区（包含江苏常熟综合保税区B区）</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，且位于</w:t>
            </w:r>
            <w:r>
              <w:rPr>
                <w:color w:val="000000" w:themeColor="text1"/>
                <w:szCs w:val="21"/>
                <w14:textFill>
                  <w14:solidFill>
                    <w14:schemeClr w14:val="tx1"/>
                  </w14:solidFill>
                </w14:textFill>
              </w:rPr>
              <w:t>长江流域及太湖流域，</w:t>
            </w:r>
            <w:r>
              <w:rPr>
                <w:rFonts w:hint="eastAsia"/>
                <w:color w:val="000000" w:themeColor="text1"/>
                <w:szCs w:val="21"/>
                <w14:textFill>
                  <w14:solidFill>
                    <w14:schemeClr w14:val="tx1"/>
                  </w14:solidFill>
                </w14:textFill>
              </w:rPr>
              <w:t>项目</w:t>
            </w:r>
            <w:r>
              <w:rPr>
                <w:color w:val="000000" w:themeColor="text1"/>
                <w:szCs w:val="21"/>
                <w14:textFill>
                  <w14:solidFill>
                    <w14:schemeClr w14:val="tx1"/>
                  </w14:solidFill>
                </w14:textFill>
              </w:rPr>
              <w:t>与</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江苏省2023年度生态环境分区管控动态更新成果公告</w:t>
            </w:r>
            <w:r>
              <w:rPr>
                <w:color w:val="000000" w:themeColor="text1"/>
                <w:sz w:val="21"/>
                <w:szCs w:val="21"/>
                <w14:textFill>
                  <w14:solidFill>
                    <w14:schemeClr w14:val="tx1"/>
                  </w14:solidFill>
                </w14:textFill>
              </w:rPr>
              <w:t>》</w:t>
            </w:r>
            <w:r>
              <w:rPr>
                <w:rFonts w:hint="eastAsia"/>
                <w:color w:val="000000" w:themeColor="text1"/>
                <w:szCs w:val="21"/>
                <w14:textFill>
                  <w14:solidFill>
                    <w14:schemeClr w14:val="tx1"/>
                  </w14:solidFill>
                </w14:textFill>
              </w:rPr>
              <w:t>的</w:t>
            </w:r>
            <w:r>
              <w:rPr>
                <w:color w:val="000000" w:themeColor="text1"/>
                <w:szCs w:val="21"/>
                <w14:textFill>
                  <w14:solidFill>
                    <w14:schemeClr w14:val="tx1"/>
                  </w14:solidFill>
                </w14:textFill>
              </w:rPr>
              <w:t>相符性分析见下表。</w:t>
            </w:r>
          </w:p>
          <w:p w14:paraId="7915A255">
            <w:pPr>
              <w:jc w:val="center"/>
              <w:rPr>
                <w:b/>
                <w:color w:val="000000" w:themeColor="text1"/>
                <w:sz w:val="24"/>
                <w14:textFill>
                  <w14:solidFill>
                    <w14:schemeClr w14:val="tx1"/>
                  </w14:solidFill>
                </w14:textFill>
              </w:rPr>
            </w:pPr>
            <w:r>
              <w:rPr>
                <w:b/>
                <w:color w:val="000000" w:themeColor="text1"/>
                <w:szCs w:val="21"/>
                <w14:textFill>
                  <w14:solidFill>
                    <w14:schemeClr w14:val="tx1"/>
                  </w14:solidFill>
                </w14:textFill>
              </w:rPr>
              <w:t>表1.1-</w:t>
            </w:r>
            <w:r>
              <w:rPr>
                <w:rFonts w:hint="eastAsia"/>
                <w:b/>
                <w:color w:val="000000" w:themeColor="text1"/>
                <w:szCs w:val="21"/>
                <w:lang w:val="en-US" w:eastAsia="zh-CN"/>
                <w14:textFill>
                  <w14:solidFill>
                    <w14:schemeClr w14:val="tx1"/>
                  </w14:solidFill>
                </w14:textFill>
              </w:rPr>
              <w:t>2</w:t>
            </w:r>
            <w:r>
              <w:rPr>
                <w:b/>
                <w:color w:val="000000" w:themeColor="text1"/>
                <w:szCs w:val="21"/>
                <w14:textFill>
                  <w14:solidFill>
                    <w14:schemeClr w14:val="tx1"/>
                  </w14:solidFill>
                </w14:textFill>
              </w:rPr>
              <w:t xml:space="preserve"> </w:t>
            </w: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江苏省2023年度生态环境分区管控动态更新成果公告</w:t>
            </w:r>
            <w:r>
              <w:rPr>
                <w:b/>
                <w:bCs/>
                <w:color w:val="000000" w:themeColor="text1"/>
                <w14:textFill>
                  <w14:solidFill>
                    <w14:schemeClr w14:val="tx1"/>
                  </w14:solidFill>
                </w14:textFill>
              </w:rPr>
              <w:t>》</w:t>
            </w:r>
            <w:r>
              <w:rPr>
                <w:b/>
                <w:color w:val="000000" w:themeColor="text1"/>
                <w:szCs w:val="21"/>
                <w14:textFill>
                  <w14:solidFill>
                    <w14:schemeClr w14:val="tx1"/>
                  </w14:solidFill>
                </w14:textFill>
              </w:rPr>
              <w:t>相符性分析表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7"/>
              <w:gridCol w:w="378"/>
              <w:gridCol w:w="3176"/>
              <w:gridCol w:w="3619"/>
              <w:gridCol w:w="436"/>
            </w:tblGrid>
            <w:tr w14:paraId="4D6735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ign w:val="center"/>
                </w:tcPr>
                <w:p w14:paraId="5E586CA8">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237" w:type="pct"/>
                  <w:noWrap/>
                  <w:vAlign w:val="center"/>
                </w:tcPr>
                <w:p w14:paraId="0EED081C">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管控</w:t>
                  </w:r>
                </w:p>
                <w:p w14:paraId="0FFB1FF7">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类别</w:t>
                  </w:r>
                </w:p>
              </w:tc>
              <w:tc>
                <w:tcPr>
                  <w:tcW w:w="1993" w:type="pct"/>
                  <w:noWrap/>
                  <w:vAlign w:val="center"/>
                </w:tcPr>
                <w:p w14:paraId="74F7DD5C">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重点管控要求</w:t>
                  </w:r>
                </w:p>
              </w:tc>
              <w:tc>
                <w:tcPr>
                  <w:tcW w:w="2271" w:type="pct"/>
                  <w:noWrap/>
                  <w:vAlign w:val="center"/>
                </w:tcPr>
                <w:p w14:paraId="5CCB52C3">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本项目</w:t>
                  </w:r>
                </w:p>
              </w:tc>
              <w:tc>
                <w:tcPr>
                  <w:tcW w:w="273" w:type="pct"/>
                  <w:noWrap/>
                  <w:vAlign w:val="center"/>
                </w:tcPr>
                <w:p w14:paraId="55B0C06E">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相符性</w:t>
                  </w:r>
                </w:p>
              </w:tc>
            </w:tr>
            <w:tr w14:paraId="20B559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ign w:val="center"/>
                </w:tcPr>
                <w:p w14:paraId="3F78F521">
                  <w:pPr>
                    <w:jc w:val="center"/>
                    <w:rPr>
                      <w:bCs/>
                      <w:color w:val="000000" w:themeColor="text1"/>
                      <w:szCs w:val="21"/>
                      <w14:textFill>
                        <w14:solidFill>
                          <w14:schemeClr w14:val="tx1"/>
                        </w14:solidFill>
                      </w14:textFill>
                    </w:rPr>
                  </w:pPr>
                  <w:r>
                    <w:rPr>
                      <w:b/>
                      <w:color w:val="000000" w:themeColor="text1"/>
                      <w:szCs w:val="21"/>
                      <w14:textFill>
                        <w14:solidFill>
                          <w14:schemeClr w14:val="tx1"/>
                        </w14:solidFill>
                      </w14:textFill>
                    </w:rPr>
                    <w:t>一、长江流域</w:t>
                  </w:r>
                </w:p>
              </w:tc>
            </w:tr>
            <w:tr w14:paraId="3498EB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ign w:val="center"/>
                </w:tcPr>
                <w:p w14:paraId="51A59DC0">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237" w:type="pct"/>
                  <w:noWrap/>
                  <w:vAlign w:val="center"/>
                </w:tcPr>
                <w:p w14:paraId="20D9A9A7">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空间布局约束</w:t>
                  </w:r>
                </w:p>
              </w:tc>
              <w:tc>
                <w:tcPr>
                  <w:tcW w:w="1993" w:type="pct"/>
                  <w:noWrap/>
                  <w:vAlign w:val="center"/>
                </w:tcPr>
                <w:p w14:paraId="26FF827A">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1.始终把长江生态修复放在首位，坚持共抓大保护、不搞大开发，引导长江流域产业转型升级和布局优化调整，实现科学发展、有序发展、高质量发展。</w:t>
                  </w:r>
                </w:p>
                <w:p w14:paraId="1D8895B8">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2.加强生态空间保护，禁止在国家确定的生态保护红线和永久基本农田范围内，投资建设除国家重大战略资源勘</w:t>
                  </w:r>
                  <w:r>
                    <w:rPr>
                      <w:rFonts w:hint="eastAsia"/>
                      <w:bCs/>
                      <w:color w:val="000000" w:themeColor="text1"/>
                      <w:szCs w:val="21"/>
                      <w14:textFill>
                        <w14:solidFill>
                          <w14:schemeClr w14:val="tx1"/>
                        </w14:solidFill>
                      </w14:textFill>
                    </w:rPr>
                    <w:t>查</w:t>
                  </w:r>
                  <w:r>
                    <w:rPr>
                      <w:bCs/>
                      <w:color w:val="000000" w:themeColor="text1"/>
                      <w:szCs w:val="21"/>
                      <w14:textFill>
                        <w14:solidFill>
                          <w14:schemeClr w14:val="tx1"/>
                        </w14:solidFill>
                      </w14:textFill>
                    </w:rPr>
                    <w:t>项目、生态保护修复和地质灾害治理项目、重大基础设施项目、军事国防项目以及农民基本生产生活等必要的民生项目以外的项目。</w:t>
                  </w:r>
                </w:p>
                <w:p w14:paraId="4BDFC9B9">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7C96A85E">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强化港口布局优化，禁止建设不符合国家港口布局规划和《江苏省沿江沿海港口布局规划（2015-2030年）》《江苏省内河港口布局规划（2017-2035年）》的码头项目，禁止建设未纳入《长江干线过江通道布局规划》的过江干线通道项目。</w:t>
                  </w:r>
                </w:p>
                <w:p w14:paraId="0A394893">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5.禁止新建独立焦化项目。</w:t>
                  </w:r>
                </w:p>
              </w:tc>
              <w:tc>
                <w:tcPr>
                  <w:tcW w:w="2271" w:type="pct"/>
                  <w:noWrap/>
                  <w:vAlign w:val="center"/>
                </w:tcPr>
                <w:p w14:paraId="5B76CE29">
                  <w:pPr>
                    <w:widowControl/>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本项目位于</w:t>
                  </w:r>
                  <w:r>
                    <w:rPr>
                      <w:rFonts w:hint="eastAsia"/>
                      <w:color w:val="000000" w:themeColor="text1"/>
                      <w:szCs w:val="21"/>
                      <w:lang w:eastAsia="zh-CN"/>
                      <w14:textFill>
                        <w14:solidFill>
                          <w14:schemeClr w14:val="tx1"/>
                        </w14:solidFill>
                      </w14:textFill>
                    </w:rPr>
                    <w:t>东南街道银环路28-1号10幢102</w:t>
                  </w:r>
                  <w:r>
                    <w:rPr>
                      <w:bCs/>
                      <w:color w:val="000000" w:themeColor="text1"/>
                      <w:szCs w:val="21"/>
                      <w14:textFill>
                        <w14:solidFill>
                          <w14:schemeClr w14:val="tx1"/>
                        </w14:solidFill>
                      </w14:textFill>
                    </w:rPr>
                    <w:t>，属于</w:t>
                  </w:r>
                  <w:r>
                    <w:rPr>
                      <w:rFonts w:hint="eastAsia"/>
                      <w:color w:val="000000" w:themeColor="text1"/>
                      <w:szCs w:val="21"/>
                      <w14:textFill>
                        <w14:solidFill>
                          <w14:schemeClr w14:val="tx1"/>
                        </w14:solidFill>
                      </w14:textFill>
                    </w:rPr>
                    <w:t>C2929塑料零件及塑料制品制造</w:t>
                  </w:r>
                  <w:r>
                    <w:rPr>
                      <w:rFonts w:hint="eastAsia"/>
                      <w:bCs/>
                      <w:color w:val="000000" w:themeColor="text1"/>
                      <w:szCs w:val="21"/>
                      <w14:textFill>
                        <w14:solidFill>
                          <w14:schemeClr w14:val="tx1"/>
                        </w14:solidFill>
                      </w14:textFill>
                    </w:rPr>
                    <w:t>。</w:t>
                  </w:r>
                </w:p>
                <w:p w14:paraId="2EEC55BA">
                  <w:pPr>
                    <w:widowControl/>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本项目所在地为工业用地，</w:t>
                  </w:r>
                  <w:r>
                    <w:rPr>
                      <w:bCs/>
                      <w:color w:val="000000" w:themeColor="text1"/>
                      <w:szCs w:val="21"/>
                      <w14:textFill>
                        <w14:solidFill>
                          <w14:schemeClr w14:val="tx1"/>
                        </w14:solidFill>
                      </w14:textFill>
                    </w:rPr>
                    <w:t>不占用国家级生态保护红线、生态空间管控区域以及永久基本农田。</w:t>
                  </w:r>
                </w:p>
              </w:tc>
              <w:tc>
                <w:tcPr>
                  <w:tcW w:w="273" w:type="pct"/>
                  <w:noWrap/>
                  <w:vAlign w:val="center"/>
                </w:tcPr>
                <w:p w14:paraId="27512ACA">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相符</w:t>
                  </w:r>
                </w:p>
              </w:tc>
            </w:tr>
            <w:tr w14:paraId="14E75C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ign w:val="center"/>
                </w:tcPr>
                <w:p w14:paraId="7C60F14C">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p>
              </w:tc>
              <w:tc>
                <w:tcPr>
                  <w:tcW w:w="237" w:type="pct"/>
                  <w:noWrap/>
                  <w:vAlign w:val="center"/>
                </w:tcPr>
                <w:p w14:paraId="58B1EB6D">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污染物排放管控</w:t>
                  </w:r>
                </w:p>
              </w:tc>
              <w:tc>
                <w:tcPr>
                  <w:tcW w:w="1993" w:type="pct"/>
                  <w:noWrap/>
                  <w:vAlign w:val="center"/>
                </w:tcPr>
                <w:p w14:paraId="6766459B">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1.根据《江苏省长江水污染防治条例》实施污染物总量控制制度。</w:t>
                  </w:r>
                </w:p>
                <w:p w14:paraId="37E2FAB2">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2.全面加强和规范长江入河排污口管理，有效管控入河污染物排放，形成权责清晰、监控到位、管理规范的长江入河排污口监管体</w:t>
                  </w:r>
                  <w:r>
                    <w:rPr>
                      <w:rFonts w:hint="eastAsia"/>
                      <w:bCs/>
                      <w:color w:val="000000" w:themeColor="text1"/>
                      <w:szCs w:val="21"/>
                      <w14:textFill>
                        <w14:solidFill>
                          <w14:schemeClr w14:val="tx1"/>
                        </w14:solidFill>
                      </w14:textFill>
                    </w:rPr>
                    <w:t>系</w:t>
                  </w:r>
                  <w:r>
                    <w:rPr>
                      <w:bCs/>
                      <w:color w:val="000000" w:themeColor="text1"/>
                      <w:szCs w:val="21"/>
                      <w14:textFill>
                        <w14:solidFill>
                          <w14:schemeClr w14:val="tx1"/>
                        </w14:solidFill>
                      </w14:textFill>
                    </w:rPr>
                    <w:t>，加快改善长江水环境质量。</w:t>
                  </w:r>
                </w:p>
              </w:tc>
              <w:tc>
                <w:tcPr>
                  <w:tcW w:w="2271" w:type="pct"/>
                  <w:noWrap/>
                  <w:vAlign w:val="center"/>
                </w:tcPr>
                <w:p w14:paraId="69B0129E">
                  <w:pPr>
                    <w:rPr>
                      <w:bCs/>
                      <w:color w:val="000000" w:themeColor="text1"/>
                      <w:szCs w:val="21"/>
                      <w14:textFill>
                        <w14:solidFill>
                          <w14:schemeClr w14:val="tx1"/>
                        </w14:solidFill>
                      </w14:textFill>
                    </w:rPr>
                  </w:pPr>
                  <w:r>
                    <w:rPr>
                      <w:color w:val="000000" w:themeColor="text1"/>
                      <w14:textFill>
                        <w14:solidFill>
                          <w14:schemeClr w14:val="tx1"/>
                        </w14:solidFill>
                      </w14:textFill>
                    </w:rPr>
                    <w:t>本项目不涉及生产废水排放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生活污水接管至</w:t>
                  </w:r>
                  <w:r>
                    <w:rPr>
                      <w:rFonts w:hint="eastAsia"/>
                      <w:color w:val="000000" w:themeColor="text1"/>
                      <w:lang w:val="en-US" w:eastAsia="zh-CN"/>
                      <w14:textFill>
                        <w14:solidFill>
                          <w14:schemeClr w14:val="tx1"/>
                        </w14:solidFill>
                      </w14:textFill>
                    </w:rPr>
                    <w:t>江苏中法水务股份</w:t>
                  </w:r>
                  <w:r>
                    <w:rPr>
                      <w:rFonts w:hint="eastAsia"/>
                      <w:bCs/>
                      <w:color w:val="000000" w:themeColor="text1"/>
                      <w:szCs w:val="21"/>
                      <w14:textFill>
                        <w14:solidFill>
                          <w14:schemeClr w14:val="tx1"/>
                        </w14:solidFill>
                      </w14:textFill>
                    </w:rPr>
                    <w:t>有限公司</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城东水质净化厂</w:t>
                  </w:r>
                  <w:r>
                    <w:rPr>
                      <w:rFonts w:hint="eastAsia"/>
                      <w:bCs/>
                      <w:color w:val="000000" w:themeColor="text1"/>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集中处理</w:t>
                  </w:r>
                  <w:r>
                    <w:rPr>
                      <w:rFonts w:hint="eastAsia"/>
                      <w:bCs/>
                      <w:color w:val="000000" w:themeColor="text1"/>
                      <w:szCs w:val="21"/>
                      <w14:textFill>
                        <w14:solidFill>
                          <w14:schemeClr w14:val="tx1"/>
                        </w14:solidFill>
                      </w14:textFill>
                    </w:rPr>
                    <w:t>，尾水排放至大滃</w:t>
                  </w:r>
                  <w:r>
                    <w:rPr>
                      <w:bCs/>
                      <w:color w:val="000000" w:themeColor="text1"/>
                      <w:szCs w:val="21"/>
                      <w14:textFill>
                        <w14:solidFill>
                          <w14:schemeClr w14:val="tx1"/>
                        </w14:solidFill>
                      </w14:textFill>
                    </w:rPr>
                    <w:t>。</w:t>
                  </w:r>
                </w:p>
                <w:p w14:paraId="4B3BBAA4">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w:t>
                  </w:r>
                  <w:r>
                    <w:rPr>
                      <w:bCs/>
                      <w:color w:val="000000" w:themeColor="text1"/>
                      <w:szCs w:val="21"/>
                      <w14:textFill>
                        <w14:solidFill>
                          <w14:schemeClr w14:val="tx1"/>
                        </w14:solidFill>
                      </w14:textFill>
                    </w:rPr>
                    <w:t>项目不涉及入河排污口</w:t>
                  </w:r>
                  <w:r>
                    <w:rPr>
                      <w:color w:val="000000" w:themeColor="text1"/>
                      <w:szCs w:val="21"/>
                      <w14:textFill>
                        <w14:solidFill>
                          <w14:schemeClr w14:val="tx1"/>
                        </w14:solidFill>
                      </w14:textFill>
                    </w:rPr>
                    <w:t>。</w:t>
                  </w:r>
                </w:p>
              </w:tc>
              <w:tc>
                <w:tcPr>
                  <w:tcW w:w="273" w:type="pct"/>
                  <w:noWrap/>
                  <w:vAlign w:val="center"/>
                </w:tcPr>
                <w:p w14:paraId="767DA77F">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相符</w:t>
                  </w:r>
                </w:p>
              </w:tc>
            </w:tr>
            <w:tr w14:paraId="6A5D35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ign w:val="center"/>
                </w:tcPr>
                <w:p w14:paraId="61002CFC">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w:t>
                  </w:r>
                </w:p>
              </w:tc>
              <w:tc>
                <w:tcPr>
                  <w:tcW w:w="237" w:type="pct"/>
                  <w:noWrap/>
                  <w:vAlign w:val="center"/>
                </w:tcPr>
                <w:p w14:paraId="7235F604">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环境风险防控</w:t>
                  </w:r>
                </w:p>
              </w:tc>
              <w:tc>
                <w:tcPr>
                  <w:tcW w:w="1993" w:type="pct"/>
                  <w:noWrap/>
                  <w:vAlign w:val="center"/>
                </w:tcPr>
                <w:p w14:paraId="1834293C">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1.防范沿江环境风险。深化沿江石化、化工、医药、纺织、印染、化纤、危化品和石油类仓储、涉重金属和危险废物处置等重点企业环境风险防控。</w:t>
                  </w:r>
                </w:p>
                <w:p w14:paraId="70F6C547">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2.加强饮用水水源保护。优化水源保护区划定，推动饮用水水源地规范化建设。</w:t>
                  </w:r>
                </w:p>
              </w:tc>
              <w:tc>
                <w:tcPr>
                  <w:tcW w:w="2271" w:type="pct"/>
                  <w:noWrap/>
                  <w:vAlign w:val="center"/>
                </w:tcPr>
                <w:p w14:paraId="79449BC7">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本项目</w:t>
                  </w:r>
                  <w:r>
                    <w:rPr>
                      <w:rFonts w:hint="eastAsia"/>
                      <w:bCs/>
                      <w:color w:val="000000" w:themeColor="text1"/>
                      <w:szCs w:val="21"/>
                      <w14:textFill>
                        <w14:solidFill>
                          <w14:schemeClr w14:val="tx1"/>
                        </w14:solidFill>
                      </w14:textFill>
                    </w:rPr>
                    <w:t>行业类别为</w:t>
                  </w:r>
                  <w:r>
                    <w:rPr>
                      <w:rFonts w:hint="eastAsia"/>
                      <w:color w:val="000000" w:themeColor="text1"/>
                      <w:szCs w:val="21"/>
                      <w14:textFill>
                        <w14:solidFill>
                          <w14:schemeClr w14:val="tx1"/>
                        </w14:solidFill>
                      </w14:textFill>
                    </w:rPr>
                    <w:t>C2929塑料零件及塑料制品制造</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不涉及重金属，</w:t>
                  </w:r>
                  <w:r>
                    <w:rPr>
                      <w:bCs/>
                      <w:color w:val="000000" w:themeColor="text1"/>
                      <w:szCs w:val="21"/>
                      <w14:textFill>
                        <w14:solidFill>
                          <w14:schemeClr w14:val="tx1"/>
                        </w14:solidFill>
                      </w14:textFill>
                    </w:rPr>
                    <w:t>环境风险较小，且不在饮用水水源保护区内</w:t>
                  </w:r>
                  <w:r>
                    <w:rPr>
                      <w:color w:val="000000" w:themeColor="text1"/>
                      <w:szCs w:val="21"/>
                      <w14:textFill>
                        <w14:solidFill>
                          <w14:schemeClr w14:val="tx1"/>
                        </w14:solidFill>
                      </w14:textFill>
                    </w:rPr>
                    <w:t>。</w:t>
                  </w:r>
                </w:p>
              </w:tc>
              <w:tc>
                <w:tcPr>
                  <w:tcW w:w="273" w:type="pct"/>
                  <w:noWrap/>
                  <w:vAlign w:val="center"/>
                </w:tcPr>
                <w:p w14:paraId="4047BBDC">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相符</w:t>
                  </w:r>
                </w:p>
              </w:tc>
            </w:tr>
            <w:tr w14:paraId="0A6D6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ign w:val="center"/>
                </w:tcPr>
                <w:p w14:paraId="5CB9C37D">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w:t>
                  </w:r>
                </w:p>
              </w:tc>
              <w:tc>
                <w:tcPr>
                  <w:tcW w:w="237" w:type="pct"/>
                  <w:noWrap/>
                  <w:vAlign w:val="center"/>
                </w:tcPr>
                <w:p w14:paraId="5A48EFE9">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资源利用效率要求</w:t>
                  </w:r>
                </w:p>
              </w:tc>
              <w:tc>
                <w:tcPr>
                  <w:tcW w:w="1993" w:type="pct"/>
                  <w:noWrap/>
                  <w:vAlign w:val="center"/>
                </w:tcPr>
                <w:p w14:paraId="3823140D">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禁止在长江干支流岸线管控范围内新建、扩建化工园区和化工项目。禁止在长江干流岸线和重要支流岸线管控范围内新建、改建、扩建尾矿库，但是以提升安全、生态环境保护水平为目的的改建除外</w:t>
                  </w:r>
                  <w:r>
                    <w:rPr>
                      <w:bCs/>
                      <w:color w:val="000000" w:themeColor="text1"/>
                      <w:szCs w:val="21"/>
                      <w14:textFill>
                        <w14:solidFill>
                          <w14:schemeClr w14:val="tx1"/>
                        </w14:solidFill>
                      </w14:textFill>
                    </w:rPr>
                    <w:t>。</w:t>
                  </w:r>
                </w:p>
              </w:tc>
              <w:tc>
                <w:tcPr>
                  <w:tcW w:w="2271" w:type="pct"/>
                  <w:noWrap/>
                  <w:vAlign w:val="center"/>
                </w:tcPr>
                <w:p w14:paraId="402651B7">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本项目不属于化工项目，不涉及尾矿库</w:t>
                  </w:r>
                  <w:r>
                    <w:rPr>
                      <w:bCs/>
                      <w:color w:val="000000" w:themeColor="text1"/>
                      <w:szCs w:val="21"/>
                      <w14:textFill>
                        <w14:solidFill>
                          <w14:schemeClr w14:val="tx1"/>
                        </w14:solidFill>
                      </w14:textFill>
                    </w:rPr>
                    <w:t>。</w:t>
                  </w:r>
                </w:p>
              </w:tc>
              <w:tc>
                <w:tcPr>
                  <w:tcW w:w="273" w:type="pct"/>
                  <w:noWrap/>
                  <w:vAlign w:val="center"/>
                </w:tcPr>
                <w:p w14:paraId="254438F9">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相符</w:t>
                  </w:r>
                </w:p>
              </w:tc>
            </w:tr>
            <w:tr w14:paraId="45E08C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ign w:val="center"/>
                </w:tcPr>
                <w:p w14:paraId="1B4C24EC">
                  <w:pPr>
                    <w:jc w:val="center"/>
                    <w:rPr>
                      <w:bCs/>
                      <w:color w:val="000000" w:themeColor="text1"/>
                      <w:szCs w:val="21"/>
                      <w14:textFill>
                        <w14:solidFill>
                          <w14:schemeClr w14:val="tx1"/>
                        </w14:solidFill>
                      </w14:textFill>
                    </w:rPr>
                  </w:pPr>
                  <w:r>
                    <w:rPr>
                      <w:b/>
                      <w:color w:val="000000" w:themeColor="text1"/>
                      <w:szCs w:val="21"/>
                      <w14:textFill>
                        <w14:solidFill>
                          <w14:schemeClr w14:val="tx1"/>
                        </w14:solidFill>
                      </w14:textFill>
                    </w:rPr>
                    <w:t>二、太湖流域</w:t>
                  </w:r>
                </w:p>
              </w:tc>
            </w:tr>
            <w:tr w14:paraId="275F1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ign w:val="center"/>
                </w:tcPr>
                <w:p w14:paraId="72E66B26">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237" w:type="pct"/>
                  <w:noWrap/>
                  <w:vAlign w:val="center"/>
                </w:tcPr>
                <w:p w14:paraId="5A7CC40B">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空间布局约束</w:t>
                  </w:r>
                </w:p>
              </w:tc>
              <w:tc>
                <w:tcPr>
                  <w:tcW w:w="1993" w:type="pct"/>
                  <w:noWrap/>
                  <w:vAlign w:val="center"/>
                </w:tcPr>
                <w:p w14:paraId="3605F393">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7F768696">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2.在太湖流域一级保护区，禁止新建、扩建向水体排放污染物的建设项目，禁止新建、扩建畜禽养殖场，禁止新建、扩建高尔夫球场、水上游</w:t>
                  </w:r>
                  <w:r>
                    <w:rPr>
                      <w:rFonts w:hint="eastAsia"/>
                      <w:bCs/>
                      <w:color w:val="000000" w:themeColor="text1"/>
                      <w:szCs w:val="21"/>
                      <w14:textFill>
                        <w14:solidFill>
                          <w14:schemeClr w14:val="tx1"/>
                        </w14:solidFill>
                      </w14:textFill>
                    </w:rPr>
                    <w:t>乐园</w:t>
                  </w:r>
                  <w:r>
                    <w:rPr>
                      <w:bCs/>
                      <w:color w:val="000000" w:themeColor="text1"/>
                      <w:szCs w:val="21"/>
                      <w14:textFill>
                        <w14:solidFill>
                          <w14:schemeClr w14:val="tx1"/>
                        </w14:solidFill>
                      </w14:textFill>
                    </w:rPr>
                    <w:t>等开发项目以及设置水上餐饮经营设施。</w:t>
                  </w:r>
                </w:p>
                <w:p w14:paraId="6858354A">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3.在太湖流域二级保护区，禁止新建、扩建化工、医药生产项目，禁止新建、扩建污水集中处理设施排污口以外的排污口。</w:t>
                  </w:r>
                </w:p>
              </w:tc>
              <w:tc>
                <w:tcPr>
                  <w:tcW w:w="2271" w:type="pct"/>
                  <w:vMerge w:val="restart"/>
                  <w:noWrap/>
                  <w:vAlign w:val="center"/>
                </w:tcPr>
                <w:p w14:paraId="2C6C181B">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本项目位于太湖流域三级保护区内，</w:t>
                  </w:r>
                  <w:r>
                    <w:rPr>
                      <w:rFonts w:hint="eastAsia"/>
                      <w:bCs/>
                      <w:color w:val="000000" w:themeColor="text1"/>
                      <w:szCs w:val="21"/>
                      <w14:textFill>
                        <w14:solidFill>
                          <w14:schemeClr w14:val="tx1"/>
                        </w14:solidFill>
                      </w14:textFill>
                    </w:rPr>
                    <w:t>行业类别为</w:t>
                  </w:r>
                  <w:r>
                    <w:rPr>
                      <w:rFonts w:hint="eastAsia"/>
                      <w:color w:val="000000" w:themeColor="text1"/>
                      <w:szCs w:val="21"/>
                      <w14:textFill>
                        <w14:solidFill>
                          <w14:schemeClr w14:val="tx1"/>
                        </w14:solidFill>
                      </w14:textFill>
                    </w:rPr>
                    <w:t>C2929塑料零件及塑料制品制造，</w:t>
                  </w:r>
                  <w:r>
                    <w:rPr>
                      <w:color w:val="000000" w:themeColor="text1"/>
                      <w14:textFill>
                        <w14:solidFill>
                          <w14:schemeClr w14:val="tx1"/>
                        </w14:solidFill>
                      </w14:textFill>
                    </w:rPr>
                    <w:t>不属于化学制浆造纸、制革、酿造、染料、印染、电镀以及其他排放含磷、氮等污染物的企业和项目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不涉及生产废水排放，生活污水接管至</w:t>
                  </w:r>
                  <w:r>
                    <w:rPr>
                      <w:rFonts w:hint="eastAsia"/>
                      <w:color w:val="000000" w:themeColor="text1"/>
                      <w:lang w:val="en-US" w:eastAsia="zh-CN"/>
                      <w14:textFill>
                        <w14:solidFill>
                          <w14:schemeClr w14:val="tx1"/>
                        </w14:solidFill>
                      </w14:textFill>
                    </w:rPr>
                    <w:t>江苏中法水务股份</w:t>
                  </w:r>
                  <w:r>
                    <w:rPr>
                      <w:rFonts w:hint="eastAsia"/>
                      <w:bCs/>
                      <w:color w:val="000000" w:themeColor="text1"/>
                      <w:szCs w:val="21"/>
                      <w14:textFill>
                        <w14:solidFill>
                          <w14:schemeClr w14:val="tx1"/>
                        </w14:solidFill>
                      </w14:textFill>
                    </w:rPr>
                    <w:t>有限公司</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城东水质净化厂</w:t>
                  </w:r>
                  <w:r>
                    <w:rPr>
                      <w:rFonts w:hint="eastAsia"/>
                      <w:bCs/>
                      <w:color w:val="000000" w:themeColor="text1"/>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集中处理</w:t>
                  </w:r>
                  <w:r>
                    <w:rPr>
                      <w:rFonts w:hint="eastAsia"/>
                      <w:bCs/>
                      <w:color w:val="000000" w:themeColor="text1"/>
                      <w:szCs w:val="21"/>
                      <w14:textFill>
                        <w14:solidFill>
                          <w14:schemeClr w14:val="tx1"/>
                        </w14:solidFill>
                      </w14:textFill>
                    </w:rPr>
                    <w:t>，尾水排放至大滃</w:t>
                  </w:r>
                  <w:r>
                    <w:rPr>
                      <w:color w:val="000000" w:themeColor="text1"/>
                      <w14:textFill>
                        <w14:solidFill>
                          <w14:schemeClr w14:val="tx1"/>
                        </w14:solidFill>
                      </w14:textFill>
                    </w:rPr>
                    <w:t>。</w:t>
                  </w:r>
                </w:p>
              </w:tc>
              <w:tc>
                <w:tcPr>
                  <w:tcW w:w="273" w:type="pct"/>
                  <w:noWrap/>
                  <w:vAlign w:val="center"/>
                </w:tcPr>
                <w:p w14:paraId="38961110">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相符</w:t>
                  </w:r>
                </w:p>
              </w:tc>
            </w:tr>
            <w:tr w14:paraId="7400CC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ign w:val="center"/>
                </w:tcPr>
                <w:p w14:paraId="61BFDAED">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p>
              </w:tc>
              <w:tc>
                <w:tcPr>
                  <w:tcW w:w="237" w:type="pct"/>
                  <w:noWrap/>
                  <w:vAlign w:val="center"/>
                </w:tcPr>
                <w:p w14:paraId="6BDD0DB5">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污染物排放管控</w:t>
                  </w:r>
                </w:p>
              </w:tc>
              <w:tc>
                <w:tcPr>
                  <w:tcW w:w="1993" w:type="pct"/>
                  <w:noWrap/>
                  <w:vAlign w:val="center"/>
                </w:tcPr>
                <w:p w14:paraId="0D3D8D01">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城镇污水处理厂、纺织行业、化学工业、造纸工业、钢铁工业、电镀工业和食品工业的污水处理设施执行《太湖地区城镇污水处理厂及重点工业行业主要水污染物排放限值》。</w:t>
                  </w:r>
                </w:p>
              </w:tc>
              <w:tc>
                <w:tcPr>
                  <w:tcW w:w="2271" w:type="pct"/>
                  <w:vMerge w:val="continue"/>
                  <w:noWrap/>
                  <w:vAlign w:val="center"/>
                </w:tcPr>
                <w:p w14:paraId="0E9953E4">
                  <w:pPr>
                    <w:rPr>
                      <w:bCs/>
                      <w:color w:val="000000" w:themeColor="text1"/>
                      <w:szCs w:val="21"/>
                      <w14:textFill>
                        <w14:solidFill>
                          <w14:schemeClr w14:val="tx1"/>
                        </w14:solidFill>
                      </w14:textFill>
                    </w:rPr>
                  </w:pPr>
                </w:p>
              </w:tc>
              <w:tc>
                <w:tcPr>
                  <w:tcW w:w="273" w:type="pct"/>
                  <w:noWrap/>
                  <w:vAlign w:val="center"/>
                </w:tcPr>
                <w:p w14:paraId="3ED92EEE">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相符</w:t>
                  </w:r>
                </w:p>
              </w:tc>
            </w:tr>
            <w:tr w14:paraId="21F97E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ign w:val="center"/>
                </w:tcPr>
                <w:p w14:paraId="586D9C85">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w:t>
                  </w:r>
                </w:p>
              </w:tc>
              <w:tc>
                <w:tcPr>
                  <w:tcW w:w="237" w:type="pct"/>
                  <w:noWrap/>
                  <w:vAlign w:val="center"/>
                </w:tcPr>
                <w:p w14:paraId="306F693A">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环境风险防控</w:t>
                  </w:r>
                </w:p>
              </w:tc>
              <w:tc>
                <w:tcPr>
                  <w:tcW w:w="1993" w:type="pct"/>
                  <w:noWrap/>
                  <w:vAlign w:val="center"/>
                </w:tcPr>
                <w:p w14:paraId="2D8E6668">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1.运输剧毒物质、危险化学品的船舶不得进入太湖。</w:t>
                  </w:r>
                </w:p>
                <w:p w14:paraId="197DDEBB">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2.禁止向太湖流域水体排放或者倾倒油类、酸液、碱液、剧毒废渣废液、含放射性废渣废液、含病原体污水、工业废渣以及其他废弃物。</w:t>
                  </w:r>
                </w:p>
                <w:p w14:paraId="33D3529D">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3.加强太湖流域生态环境风险应急管控，着力提高防控太湖蓝藻水华风险预警和应急处置能力。</w:t>
                  </w:r>
                </w:p>
              </w:tc>
              <w:tc>
                <w:tcPr>
                  <w:tcW w:w="2271" w:type="pct"/>
                  <w:noWrap/>
                  <w:vAlign w:val="center"/>
                </w:tcPr>
                <w:p w14:paraId="2507FD92">
                  <w:pPr>
                    <w:rPr>
                      <w:bCs/>
                      <w:color w:val="000000" w:themeColor="text1"/>
                      <w:szCs w:val="21"/>
                      <w14:textFill>
                        <w14:solidFill>
                          <w14:schemeClr w14:val="tx1"/>
                        </w14:solidFill>
                      </w14:textFill>
                    </w:rPr>
                  </w:pPr>
                  <w:r>
                    <w:rPr>
                      <w:color w:val="000000" w:themeColor="text1"/>
                      <w14:textFill>
                        <w14:solidFill>
                          <w14:schemeClr w14:val="tx1"/>
                        </w14:solidFill>
                      </w14:textFill>
                    </w:rPr>
                    <w:t>本项目</w:t>
                  </w:r>
                  <w:r>
                    <w:rPr>
                      <w:rFonts w:hint="eastAsia"/>
                      <w:bCs/>
                      <w:color w:val="000000" w:themeColor="text1"/>
                      <w:szCs w:val="21"/>
                      <w14:textFill>
                        <w14:solidFill>
                          <w14:schemeClr w14:val="tx1"/>
                        </w14:solidFill>
                      </w14:textFill>
                    </w:rPr>
                    <w:t>原辅料及工业固废等均采用汽车公路运输，</w:t>
                  </w:r>
                  <w:r>
                    <w:rPr>
                      <w:color w:val="000000" w:themeColor="text1"/>
                      <w14:textFill>
                        <w14:solidFill>
                          <w14:schemeClr w14:val="tx1"/>
                        </w14:solidFill>
                      </w14:textFill>
                    </w:rPr>
                    <w:t>不涉及船舶运输</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不</w:t>
                  </w:r>
                  <w:r>
                    <w:rPr>
                      <w:rFonts w:hint="eastAsia"/>
                      <w:color w:val="000000" w:themeColor="text1"/>
                      <w14:textFill>
                        <w14:solidFill>
                          <w14:schemeClr w14:val="tx1"/>
                        </w14:solidFill>
                      </w14:textFill>
                    </w:rPr>
                    <w:t>向太湖流域水体</w:t>
                  </w:r>
                  <w:r>
                    <w:rPr>
                      <w:color w:val="000000" w:themeColor="text1"/>
                      <w14:textFill>
                        <w14:solidFill>
                          <w14:schemeClr w14:val="tx1"/>
                        </w14:solidFill>
                      </w14:textFill>
                    </w:rPr>
                    <w:t>排放或者倾倒油类、酸液、碱液、剧毒废渣废液、含放射性废渣废液、含病原体污水、工业废渣以及其他废弃物</w:t>
                  </w:r>
                  <w:r>
                    <w:rPr>
                      <w:rFonts w:hint="eastAsia"/>
                      <w:bCs/>
                      <w:color w:val="000000" w:themeColor="text1"/>
                      <w:szCs w:val="21"/>
                      <w14:textFill>
                        <w14:solidFill>
                          <w14:schemeClr w14:val="tx1"/>
                        </w14:solidFill>
                      </w14:textFill>
                    </w:rPr>
                    <w:t>，项目环境风险较小。</w:t>
                  </w:r>
                </w:p>
              </w:tc>
              <w:tc>
                <w:tcPr>
                  <w:tcW w:w="273" w:type="pct"/>
                  <w:noWrap/>
                  <w:vAlign w:val="center"/>
                </w:tcPr>
                <w:p w14:paraId="20C6FED0">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相符</w:t>
                  </w:r>
                </w:p>
              </w:tc>
            </w:tr>
            <w:tr w14:paraId="7418D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ign w:val="center"/>
                </w:tcPr>
                <w:p w14:paraId="3D89586D">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w:t>
                  </w:r>
                </w:p>
              </w:tc>
              <w:tc>
                <w:tcPr>
                  <w:tcW w:w="237" w:type="pct"/>
                  <w:noWrap/>
                  <w:vAlign w:val="center"/>
                </w:tcPr>
                <w:p w14:paraId="70208D34">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资源利用效率要求</w:t>
                  </w:r>
                </w:p>
              </w:tc>
              <w:tc>
                <w:tcPr>
                  <w:tcW w:w="1993" w:type="pct"/>
                  <w:noWrap/>
                  <w:vAlign w:val="center"/>
                </w:tcPr>
                <w:p w14:paraId="35DB958C">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r>
                    <w:rPr>
                      <w:rFonts w:hint="eastAsia"/>
                      <w:bCs/>
                      <w:color w:val="000000" w:themeColor="text1"/>
                      <w:szCs w:val="21"/>
                      <w14:textFill>
                        <w14:solidFill>
                          <w14:schemeClr w14:val="tx1"/>
                        </w14:solidFill>
                      </w14:textFill>
                    </w:rPr>
                    <w:t>严格用水定额管理制度，推进取用水规范化管理，科学制定用水定额并动态调整，对超过用水定额标准的企业分类分步先期实施节水改造，鼓励重点用水企业、园区建立智慧用水管理系统</w:t>
                  </w:r>
                  <w:r>
                    <w:rPr>
                      <w:bCs/>
                      <w:color w:val="000000" w:themeColor="text1"/>
                      <w:szCs w:val="21"/>
                      <w14:textFill>
                        <w14:solidFill>
                          <w14:schemeClr w14:val="tx1"/>
                        </w14:solidFill>
                      </w14:textFill>
                    </w:rPr>
                    <w:t>。</w:t>
                  </w:r>
                </w:p>
                <w:p w14:paraId="6F0F3527">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r>
                    <w:rPr>
                      <w:rFonts w:hint="eastAsia"/>
                      <w:bCs/>
                      <w:color w:val="000000" w:themeColor="text1"/>
                      <w:szCs w:val="21"/>
                      <w14:textFill>
                        <w14:solidFill>
                          <w14:schemeClr w14:val="tx1"/>
                        </w14:solidFill>
                      </w14:textFill>
                    </w:rPr>
                    <w:t>推进新孟河、新沟河、望虞河、走马塘等河道联合调度，科学调控太湖水位</w:t>
                  </w:r>
                  <w:r>
                    <w:rPr>
                      <w:bCs/>
                      <w:color w:val="000000" w:themeColor="text1"/>
                      <w:szCs w:val="21"/>
                      <w14:textFill>
                        <w14:solidFill>
                          <w14:schemeClr w14:val="tx1"/>
                        </w14:solidFill>
                      </w14:textFill>
                    </w:rPr>
                    <w:t>。</w:t>
                  </w:r>
                </w:p>
              </w:tc>
              <w:tc>
                <w:tcPr>
                  <w:tcW w:w="2271" w:type="pct"/>
                  <w:noWrap/>
                  <w:vAlign w:val="center"/>
                </w:tcPr>
                <w:p w14:paraId="6B6A1DB5">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本项目</w:t>
                  </w:r>
                  <w:r>
                    <w:rPr>
                      <w:rFonts w:hint="eastAsia"/>
                      <w:bCs/>
                      <w:color w:val="000000" w:themeColor="text1"/>
                      <w:szCs w:val="21"/>
                      <w14:textFill>
                        <w14:solidFill>
                          <w14:schemeClr w14:val="tx1"/>
                        </w14:solidFill>
                      </w14:textFill>
                    </w:rPr>
                    <w:t>不属于重点用水企业</w:t>
                  </w:r>
                  <w:r>
                    <w:rPr>
                      <w:bCs/>
                      <w:color w:val="000000" w:themeColor="text1"/>
                      <w:szCs w:val="21"/>
                      <w14:textFill>
                        <w14:solidFill>
                          <w14:schemeClr w14:val="tx1"/>
                        </w14:solidFill>
                      </w14:textFill>
                    </w:rPr>
                    <w:t>。</w:t>
                  </w:r>
                </w:p>
              </w:tc>
              <w:tc>
                <w:tcPr>
                  <w:tcW w:w="273" w:type="pct"/>
                  <w:noWrap/>
                  <w:vAlign w:val="center"/>
                </w:tcPr>
                <w:p w14:paraId="2D56C0AF">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相符</w:t>
                  </w:r>
                </w:p>
              </w:tc>
            </w:tr>
          </w:tbl>
          <w:p w14:paraId="1CD73442">
            <w:pPr>
              <w:adjustRightInd w:val="0"/>
              <w:snapToGrid w:val="0"/>
              <w:spacing w:line="420" w:lineRule="exact"/>
              <w:ind w:firstLine="420" w:firstLineChars="200"/>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③</w:t>
            </w:r>
            <w:r>
              <w:rPr>
                <w:rFonts w:hint="eastAsia"/>
                <w:color w:val="000000" w:themeColor="text1"/>
                <w:szCs w:val="21"/>
                <w14:textFill>
                  <w14:solidFill>
                    <w14:schemeClr w14:val="tx1"/>
                  </w14:solidFill>
                </w14:textFill>
              </w:rPr>
              <w:t>根据</w:t>
            </w:r>
            <w:r>
              <w:rPr>
                <w:color w:val="000000" w:themeColor="text1"/>
                <w:szCs w:val="21"/>
                <w14:textFill>
                  <w14:solidFill>
                    <w14:schemeClr w14:val="tx1"/>
                  </w14:solidFill>
                </w14:textFill>
              </w:rPr>
              <w:t>《关于印发苏州市“三线一单”生态环境分区管控实施方案的通知》（苏环办字[2020]313号）</w:t>
            </w:r>
            <w:r>
              <w:rPr>
                <w:rFonts w:hint="eastAsia"/>
                <w:color w:val="000000" w:themeColor="text1"/>
                <w:lang w:eastAsia="zh-CN"/>
                <w14:textFill>
                  <w14:solidFill>
                    <w14:schemeClr w14:val="tx1"/>
                  </w14:solidFill>
                </w14:textFill>
              </w:rPr>
              <w:t>、</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江苏省2023年度生态环境分区管控动态更新成果公告</w:t>
            </w:r>
            <w:r>
              <w:rPr>
                <w:color w:val="000000" w:themeColor="text1"/>
                <w:sz w:val="21"/>
                <w:szCs w:val="21"/>
                <w14:textFill>
                  <w14:solidFill>
                    <w14:schemeClr w14:val="tx1"/>
                  </w14:solidFill>
                </w14:textFill>
              </w:rPr>
              <w:t>》</w:t>
            </w:r>
            <w:r>
              <w:rPr>
                <w:color w:val="000000" w:themeColor="text1"/>
                <w:szCs w:val="21"/>
                <w14:textFill>
                  <w14:solidFill>
                    <w14:schemeClr w14:val="tx1"/>
                  </w14:solidFill>
                </w14:textFill>
              </w:rPr>
              <w:t>，本项目位于</w:t>
            </w:r>
            <w:r>
              <w:rPr>
                <w:rFonts w:hint="eastAsia"/>
                <w:color w:val="000000" w:themeColor="text1"/>
                <w:szCs w:val="21"/>
                <w14:textFill>
                  <w14:solidFill>
                    <w14:schemeClr w14:val="tx1"/>
                  </w14:solidFill>
                </w14:textFill>
              </w:rPr>
              <w:t>常熟市东南街道</w:t>
            </w:r>
            <w:r>
              <w:rPr>
                <w:rFonts w:hint="eastAsia"/>
                <w:color w:val="000000" w:themeColor="text1"/>
                <w:szCs w:val="21"/>
                <w:lang w:val="en-US" w:eastAsia="zh-CN"/>
                <w14:textFill>
                  <w14:solidFill>
                    <w14:schemeClr w14:val="tx1"/>
                  </w14:solidFill>
                </w14:textFill>
              </w:rPr>
              <w:t>银环路28-1号</w:t>
            </w:r>
            <w:r>
              <w:rPr>
                <w:color w:val="000000" w:themeColor="text1"/>
                <w:szCs w:val="21"/>
                <w14:textFill>
                  <w14:solidFill>
                    <w14:schemeClr w14:val="tx1"/>
                  </w14:solidFill>
                </w14:textFill>
              </w:rPr>
              <w:t>，属于</w:t>
            </w:r>
            <w:r>
              <w:rPr>
                <w:rFonts w:hint="eastAsia"/>
                <w:color w:val="000000" w:themeColor="text1"/>
                <w:szCs w:val="21"/>
                <w14:textFill>
                  <w14:solidFill>
                    <w14:schemeClr w14:val="tx1"/>
                  </w14:solidFill>
                </w14:textFill>
              </w:rPr>
              <w:t>重点</w:t>
            </w:r>
            <w:r>
              <w:rPr>
                <w:color w:val="000000" w:themeColor="text1"/>
                <w:szCs w:val="21"/>
                <w14:textFill>
                  <w14:solidFill>
                    <w14:schemeClr w14:val="tx1"/>
                  </w14:solidFill>
                </w14:textFill>
              </w:rPr>
              <w:t>管控单元</w:t>
            </w:r>
            <w:r>
              <w:rPr>
                <w:rFonts w:hint="eastAsia"/>
                <w:color w:val="000000" w:themeColor="text1"/>
                <w:szCs w:val="21"/>
                <w14:textFill>
                  <w14:solidFill>
                    <w14:schemeClr w14:val="tx1"/>
                  </w14:solidFill>
                </w14:textFill>
              </w:rPr>
              <w:t>（省级以上产业园区：常熟高新技术产业开发区（包含江苏常熟综合保税区B区））</w:t>
            </w:r>
            <w:r>
              <w:rPr>
                <w:color w:val="000000" w:themeColor="text1"/>
                <w:szCs w:val="21"/>
                <w14:textFill>
                  <w14:solidFill>
                    <w14:schemeClr w14:val="tx1"/>
                  </w14:solidFill>
                </w14:textFill>
              </w:rPr>
              <w:t>，具体分析见表1.1-</w:t>
            </w: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w:t>
            </w:r>
          </w:p>
          <w:p w14:paraId="7679AE5A">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表1.1-</w:t>
            </w:r>
            <w:r>
              <w:rPr>
                <w:rFonts w:hint="eastAsia"/>
                <w:b/>
                <w:color w:val="000000" w:themeColor="text1"/>
                <w:szCs w:val="21"/>
                <w:lang w:val="en-US" w:eastAsia="zh-CN"/>
                <w14:textFill>
                  <w14:solidFill>
                    <w14:schemeClr w14:val="tx1"/>
                  </w14:solidFill>
                </w14:textFill>
              </w:rPr>
              <w:t>3</w:t>
            </w:r>
            <w:r>
              <w:rPr>
                <w:b/>
                <w:color w:val="000000" w:themeColor="text1"/>
                <w:szCs w:val="21"/>
                <w14:textFill>
                  <w14:solidFill>
                    <w14:schemeClr w14:val="tx1"/>
                  </w14:solidFill>
                </w14:textFill>
              </w:rPr>
              <w:t xml:space="preserve"> 《苏州市“三线一单”生态环境分区管控实施方案》相符性分析表</w:t>
            </w:r>
          </w:p>
          <w:tbl>
            <w:tblPr>
              <w:tblStyle w:val="22"/>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4"/>
              <w:gridCol w:w="675"/>
              <w:gridCol w:w="3051"/>
              <w:gridCol w:w="3139"/>
              <w:gridCol w:w="667"/>
            </w:tblGrid>
            <w:tr w14:paraId="483B6D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6" w:type="pct"/>
                  <w:noWrap/>
                  <w:vAlign w:val="center"/>
                </w:tcPr>
                <w:p w14:paraId="04600AB0">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424" w:type="pct"/>
                  <w:noWrap/>
                  <w:vAlign w:val="center"/>
                </w:tcPr>
                <w:p w14:paraId="651CDB4D">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管控</w:t>
                  </w:r>
                </w:p>
                <w:p w14:paraId="00E2D975">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类别</w:t>
                  </w:r>
                </w:p>
              </w:tc>
              <w:tc>
                <w:tcPr>
                  <w:tcW w:w="1917" w:type="pct"/>
                  <w:noWrap/>
                  <w:vAlign w:val="center"/>
                </w:tcPr>
                <w:p w14:paraId="7750673A">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苏州市重点管控</w:t>
                  </w:r>
                  <w:r>
                    <w:rPr>
                      <w:b/>
                      <w:color w:val="000000" w:themeColor="text1"/>
                      <w:szCs w:val="21"/>
                      <w14:textFill>
                        <w14:solidFill>
                          <w14:schemeClr w14:val="tx1"/>
                        </w14:solidFill>
                      </w14:textFill>
                    </w:rPr>
                    <w:t>单元生态环境准入清单</w:t>
                  </w:r>
                </w:p>
              </w:tc>
              <w:tc>
                <w:tcPr>
                  <w:tcW w:w="1972" w:type="pct"/>
                  <w:noWrap/>
                  <w:vAlign w:val="center"/>
                </w:tcPr>
                <w:p w14:paraId="735838BC">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本项目</w:t>
                  </w:r>
                </w:p>
              </w:tc>
              <w:tc>
                <w:tcPr>
                  <w:tcW w:w="419" w:type="pct"/>
                  <w:noWrap/>
                  <w:vAlign w:val="center"/>
                </w:tcPr>
                <w:p w14:paraId="75275135">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相符性</w:t>
                  </w:r>
                </w:p>
              </w:tc>
            </w:tr>
            <w:tr w14:paraId="5599A4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6" w:type="pct"/>
                  <w:noWrap/>
                  <w:vAlign w:val="center"/>
                </w:tcPr>
                <w:p w14:paraId="4C2A6C93">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p>
              </w:tc>
              <w:tc>
                <w:tcPr>
                  <w:tcW w:w="424" w:type="pct"/>
                  <w:noWrap/>
                  <w:vAlign w:val="center"/>
                </w:tcPr>
                <w:p w14:paraId="3FE61F78">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空间布局约束</w:t>
                  </w:r>
                </w:p>
              </w:tc>
              <w:tc>
                <w:tcPr>
                  <w:tcW w:w="1917" w:type="pct"/>
                  <w:noWrap/>
                  <w:vAlign w:val="center"/>
                </w:tcPr>
                <w:p w14:paraId="266BD73F">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（1）禁止引进列入《产业结构调整指导目录》、《江苏省工业和信息产业结构调整指导目录》、《江苏省工业和信息产业结构调整、限制、</w:t>
                  </w:r>
                  <w:r>
                    <w:rPr>
                      <w:rFonts w:hint="eastAsia"/>
                      <w:bCs/>
                      <w:color w:val="000000" w:themeColor="text1"/>
                      <w:szCs w:val="21"/>
                      <w14:textFill>
                        <w14:solidFill>
                          <w14:schemeClr w14:val="tx1"/>
                        </w14:solidFill>
                      </w14:textFill>
                    </w:rPr>
                    <w:t>淘</w:t>
                  </w:r>
                  <w:r>
                    <w:rPr>
                      <w:bCs/>
                      <w:color w:val="000000" w:themeColor="text1"/>
                      <w:szCs w:val="21"/>
                      <w14:textFill>
                        <w14:solidFill>
                          <w14:schemeClr w14:val="tx1"/>
                        </w14:solidFill>
                      </w14:textFill>
                    </w:rPr>
                    <w:t>汰目录及能耗限额》淘汰类的产业；禁止引进列入《外商投资产业指导目录》禁止类的产业。</w:t>
                  </w:r>
                </w:p>
                <w:p w14:paraId="1DB059DC">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（2）严格执行园区总体规划及规划环评</w:t>
                  </w:r>
                  <w:r>
                    <w:rPr>
                      <w:rFonts w:hint="eastAsia"/>
                      <w:bCs/>
                      <w:color w:val="000000" w:themeColor="text1"/>
                      <w:szCs w:val="21"/>
                      <w14:textFill>
                        <w14:solidFill>
                          <w14:schemeClr w14:val="tx1"/>
                        </w14:solidFill>
                      </w14:textFill>
                    </w:rPr>
                    <w:t>中提出的</w:t>
                  </w:r>
                  <w:r>
                    <w:rPr>
                      <w:bCs/>
                      <w:color w:val="000000" w:themeColor="text1"/>
                      <w:szCs w:val="21"/>
                      <w14:textFill>
                        <w14:solidFill>
                          <w14:schemeClr w14:val="tx1"/>
                        </w14:solidFill>
                      </w14:textFill>
                    </w:rPr>
                    <w:t>空间布局和产业准入要求，禁止引进不符合园区产业定位的项目。</w:t>
                  </w:r>
                </w:p>
                <w:p w14:paraId="1480DA8B">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（3）严格执行《江苏省太湖水污染防治条例》的分级保护要求，禁止引进不符合《条例》要求的项目。</w:t>
                  </w:r>
                </w:p>
                <w:p w14:paraId="1AD15365">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（4）严格执行《阳澄湖水源水质保护条例》相关管控要求。</w:t>
                  </w:r>
                </w:p>
                <w:p w14:paraId="7E0984B2">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（5）严格执行《中华人民共和国长江保护法》。</w:t>
                  </w:r>
                </w:p>
                <w:p w14:paraId="54C8F6C4">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（6）禁止引进列入上级生态环境负面</w:t>
                  </w:r>
                  <w:r>
                    <w:rPr>
                      <w:rFonts w:hint="eastAsia"/>
                      <w:bCs/>
                      <w:color w:val="000000" w:themeColor="text1"/>
                      <w:szCs w:val="21"/>
                      <w14:textFill>
                        <w14:solidFill>
                          <w14:schemeClr w14:val="tx1"/>
                        </w14:solidFill>
                      </w14:textFill>
                    </w:rPr>
                    <w:t>清</w:t>
                  </w:r>
                  <w:r>
                    <w:rPr>
                      <w:bCs/>
                      <w:color w:val="000000" w:themeColor="text1"/>
                      <w:szCs w:val="21"/>
                      <w14:textFill>
                        <w14:solidFill>
                          <w14:schemeClr w14:val="tx1"/>
                        </w14:solidFill>
                      </w14:textFill>
                    </w:rPr>
                    <w:t>单的项目。</w:t>
                  </w:r>
                </w:p>
              </w:tc>
              <w:tc>
                <w:tcPr>
                  <w:tcW w:w="1972" w:type="pct"/>
                  <w:noWrap/>
                  <w:vAlign w:val="center"/>
                </w:tcPr>
                <w:p w14:paraId="6DD0D5E6">
                  <w:pPr>
                    <w:widowControl/>
                    <w:jc w:val="left"/>
                    <w:rPr>
                      <w:bCs/>
                      <w:color w:val="000000" w:themeColor="text1"/>
                      <w:szCs w:val="21"/>
                      <w:highlight w:val="none"/>
                      <w14:textFill>
                        <w14:solidFill>
                          <w14:schemeClr w14:val="tx1"/>
                        </w14:solidFill>
                      </w14:textFill>
                    </w:rPr>
                  </w:pPr>
                  <w:r>
                    <w:rPr>
                      <w:bCs/>
                      <w:color w:val="000000" w:themeColor="text1"/>
                      <w:szCs w:val="21"/>
                      <w14:textFill>
                        <w14:solidFill>
                          <w14:schemeClr w14:val="tx1"/>
                        </w14:solidFill>
                      </w14:textFill>
                    </w:rPr>
                    <w:t>（1）本项目为</w:t>
                  </w:r>
                  <w:r>
                    <w:rPr>
                      <w:rFonts w:hint="eastAsia"/>
                      <w:bCs/>
                      <w:color w:val="000000" w:themeColor="text1"/>
                      <w:szCs w:val="21"/>
                      <w14:textFill>
                        <w14:solidFill>
                          <w14:schemeClr w14:val="tx1"/>
                        </w14:solidFill>
                      </w14:textFill>
                    </w:rPr>
                    <w:t>内资</w:t>
                  </w:r>
                  <w:r>
                    <w:rPr>
                      <w:bCs/>
                      <w:color w:val="000000" w:themeColor="text1"/>
                      <w:szCs w:val="21"/>
                      <w14:textFill>
                        <w14:solidFill>
                          <w14:schemeClr w14:val="tx1"/>
                        </w14:solidFill>
                      </w14:textFill>
                    </w:rPr>
                    <w:t>项目，不属于《产业结构调整指导目录</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24</w:t>
                  </w:r>
                  <w:r>
                    <w:rPr>
                      <w:color w:val="000000" w:themeColor="text1"/>
                      <w14:textFill>
                        <w14:solidFill>
                          <w14:schemeClr w14:val="tx1"/>
                        </w14:solidFill>
                      </w14:textFill>
                    </w:rPr>
                    <w:t>年本）</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中的</w:t>
                  </w:r>
                  <w:r>
                    <w:rPr>
                      <w:color w:val="000000" w:themeColor="text1"/>
                      <w14:textFill>
                        <w14:solidFill>
                          <w14:schemeClr w14:val="tx1"/>
                        </w14:solidFill>
                      </w14:textFill>
                    </w:rPr>
                    <w:t>限制</w:t>
                  </w:r>
                  <w:r>
                    <w:rPr>
                      <w:rFonts w:hint="eastAsia"/>
                      <w:color w:val="000000" w:themeColor="text1"/>
                      <w14:textFill>
                        <w14:solidFill>
                          <w14:schemeClr w14:val="tx1"/>
                        </w14:solidFill>
                      </w14:textFill>
                    </w:rPr>
                    <w:t>类</w:t>
                  </w:r>
                  <w:r>
                    <w:rPr>
                      <w:color w:val="000000" w:themeColor="text1"/>
                      <w14:textFill>
                        <w14:solidFill>
                          <w14:schemeClr w14:val="tx1"/>
                        </w14:solidFill>
                      </w14:textFill>
                    </w:rPr>
                    <w:t>和</w:t>
                  </w:r>
                  <w:r>
                    <w:rPr>
                      <w:rFonts w:hint="eastAsia"/>
                      <w:color w:val="000000" w:themeColor="text1"/>
                      <w14:textFill>
                        <w14:solidFill>
                          <w14:schemeClr w14:val="tx1"/>
                        </w14:solidFill>
                      </w14:textFill>
                    </w:rPr>
                    <w:t>淘汰</w:t>
                  </w:r>
                  <w:r>
                    <w:rPr>
                      <w:color w:val="000000" w:themeColor="text1"/>
                      <w14:textFill>
                        <w14:solidFill>
                          <w14:schemeClr w14:val="tx1"/>
                        </w14:solidFill>
                      </w14:textFill>
                    </w:rPr>
                    <w:t>类</w:t>
                  </w:r>
                  <w:r>
                    <w:rPr>
                      <w:rFonts w:hint="eastAsia"/>
                      <w:color w:val="000000" w:themeColor="text1"/>
                      <w14:textFill>
                        <w14:solidFill>
                          <w14:schemeClr w14:val="tx1"/>
                        </w14:solidFill>
                      </w14:textFill>
                    </w:rPr>
                    <w:t>产业，不属于</w:t>
                  </w:r>
                  <w:r>
                    <w:rPr>
                      <w:bCs/>
                      <w:color w:val="000000" w:themeColor="text1"/>
                      <w:szCs w:val="21"/>
                      <w14:textFill>
                        <w14:solidFill>
                          <w14:schemeClr w14:val="tx1"/>
                        </w14:solidFill>
                      </w14:textFill>
                    </w:rPr>
                    <w:t>《市场准入负面清单</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22</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版</w:t>
                  </w:r>
                  <w:r>
                    <w:rPr>
                      <w:color w:val="000000" w:themeColor="text1"/>
                      <w14:textFill>
                        <w14:solidFill>
                          <w14:schemeClr w14:val="tx1"/>
                        </w14:solidFill>
                      </w14:textFill>
                    </w:rPr>
                    <w:t>）</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中的禁止和许可准入类事项，不属于《江苏省产业结构调整限制、淘汰和禁止目录》（苏办发[2018]32号附件3）中的限制类、淘汰类和禁止类产业，不属于《苏州市产业发展导向目录（2007年本）》中的</w:t>
                  </w:r>
                  <w:r>
                    <w:rPr>
                      <w:color w:val="000000" w:themeColor="text1"/>
                      <w14:textFill>
                        <w14:solidFill>
                          <w14:schemeClr w14:val="tx1"/>
                        </w14:solidFill>
                      </w14:textFill>
                    </w:rPr>
                    <w:t>限制类、禁止类和淘汰类</w:t>
                  </w:r>
                  <w:r>
                    <w:rPr>
                      <w:rFonts w:hint="eastAsia"/>
                      <w:color w:val="000000" w:themeColor="text1"/>
                      <w14:textFill>
                        <w14:solidFill>
                          <w14:schemeClr w14:val="tx1"/>
                        </w14:solidFill>
                      </w14:textFill>
                    </w:rPr>
                    <w:t>产业，不属于《江苏省太湖流域禁止和限制的产业产品目录（2024年本）》中的</w:t>
                  </w:r>
                  <w:r>
                    <w:rPr>
                      <w:rFonts w:hint="eastAsia"/>
                      <w:bCs/>
                      <w:color w:val="000000" w:themeColor="text1"/>
                      <w:szCs w:val="21"/>
                      <w14:textFill>
                        <w14:solidFill>
                          <w14:schemeClr w14:val="tx1"/>
                        </w14:solidFill>
                      </w14:textFill>
                    </w:rPr>
                    <w:t>限制类、淘汰类和禁止类产业</w:t>
                  </w:r>
                  <w:r>
                    <w:rPr>
                      <w:bCs/>
                      <w:color w:val="000000" w:themeColor="text1"/>
                      <w:szCs w:val="21"/>
                      <w:highlight w:val="none"/>
                      <w14:textFill>
                        <w14:solidFill>
                          <w14:schemeClr w14:val="tx1"/>
                        </w14:solidFill>
                      </w14:textFill>
                    </w:rPr>
                    <w:t>。</w:t>
                  </w:r>
                </w:p>
                <w:p w14:paraId="51E429BF">
                  <w:pPr>
                    <w:rPr>
                      <w:bCs/>
                      <w:color w:val="000000" w:themeColor="text1"/>
                      <w:szCs w:val="21"/>
                      <w14:textFill>
                        <w14:solidFill>
                          <w14:schemeClr w14:val="tx1"/>
                        </w14:solidFill>
                      </w14:textFill>
                    </w:rPr>
                  </w:pPr>
                  <w:r>
                    <w:rPr>
                      <w:bCs/>
                      <w:color w:val="000000" w:themeColor="text1"/>
                      <w:szCs w:val="21"/>
                      <w:highlight w:val="none"/>
                      <w14:textFill>
                        <w14:solidFill>
                          <w14:schemeClr w14:val="tx1"/>
                        </w14:solidFill>
                      </w14:textFill>
                    </w:rPr>
                    <w:t>（2</w:t>
                  </w:r>
                  <w:r>
                    <w:rPr>
                      <w:bCs/>
                      <w:color w:val="000000" w:themeColor="text1"/>
                      <w:szCs w:val="21"/>
                      <w14:textFill>
                        <w14:solidFill>
                          <w14:schemeClr w14:val="tx1"/>
                        </w14:solidFill>
                      </w14:textFill>
                    </w:rPr>
                    <w:t>）本项目</w:t>
                  </w:r>
                  <w:r>
                    <w:rPr>
                      <w:rFonts w:hint="eastAsia"/>
                      <w:bCs/>
                      <w:color w:val="000000" w:themeColor="text1"/>
                      <w:szCs w:val="21"/>
                      <w14:textFill>
                        <w14:solidFill>
                          <w14:schemeClr w14:val="tx1"/>
                        </w14:solidFill>
                      </w14:textFill>
                    </w:rPr>
                    <w:t>符合常熟高新技术产业开发区的空间布局和</w:t>
                  </w:r>
                  <w:r>
                    <w:rPr>
                      <w:bCs/>
                      <w:color w:val="000000" w:themeColor="text1"/>
                      <w:szCs w:val="21"/>
                      <w14:textFill>
                        <w14:solidFill>
                          <w14:schemeClr w14:val="tx1"/>
                        </w14:solidFill>
                      </w14:textFill>
                    </w:rPr>
                    <w:t>产业准入要求。</w:t>
                  </w:r>
                </w:p>
                <w:p w14:paraId="1282C0F9">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（3）本项目无</w:t>
                  </w:r>
                  <w:r>
                    <w:rPr>
                      <w:rFonts w:hint="eastAsia"/>
                      <w:bCs/>
                      <w:color w:val="000000" w:themeColor="text1"/>
                      <w:szCs w:val="21"/>
                      <w14:textFill>
                        <w14:solidFill>
                          <w14:schemeClr w14:val="tx1"/>
                        </w14:solidFill>
                      </w14:textFill>
                    </w:rPr>
                    <w:t>生产</w:t>
                  </w:r>
                  <w:r>
                    <w:rPr>
                      <w:bCs/>
                      <w:color w:val="000000" w:themeColor="text1"/>
                      <w:szCs w:val="21"/>
                      <w14:textFill>
                        <w14:solidFill>
                          <w14:schemeClr w14:val="tx1"/>
                        </w14:solidFill>
                      </w14:textFill>
                    </w:rPr>
                    <w:t>废水排放，符合《江苏省太湖水污染防治条例》的要求。</w:t>
                  </w:r>
                </w:p>
                <w:p w14:paraId="03599F53">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（4）本项目</w:t>
                  </w:r>
                  <w:r>
                    <w:rPr>
                      <w:rFonts w:hint="eastAsia"/>
                      <w:bCs/>
                      <w:color w:val="000000" w:themeColor="text1"/>
                      <w:szCs w:val="21"/>
                      <w:lang w:val="en-US" w:eastAsia="zh-CN"/>
                      <w14:textFill>
                        <w14:solidFill>
                          <w14:schemeClr w14:val="tx1"/>
                        </w14:solidFill>
                      </w14:textFill>
                    </w:rPr>
                    <w:t>位于</w:t>
                  </w:r>
                  <w:r>
                    <w:rPr>
                      <w:bCs/>
                      <w:color w:val="000000" w:themeColor="text1"/>
                      <w:szCs w:val="21"/>
                      <w14:textFill>
                        <w14:solidFill>
                          <w14:schemeClr w14:val="tx1"/>
                        </w14:solidFill>
                      </w14:textFill>
                    </w:rPr>
                    <w:t>《阳澄湖水源水质保护条例》</w:t>
                  </w:r>
                  <w:r>
                    <w:rPr>
                      <w:rFonts w:hint="eastAsia"/>
                      <w:bCs/>
                      <w:color w:val="000000" w:themeColor="text1"/>
                      <w:szCs w:val="21"/>
                      <w:lang w:val="en-US" w:eastAsia="zh-CN"/>
                      <w14:textFill>
                        <w14:solidFill>
                          <w14:schemeClr w14:val="tx1"/>
                        </w14:solidFill>
                      </w14:textFill>
                    </w:rPr>
                    <w:t>三级保护区</w:t>
                  </w:r>
                  <w:r>
                    <w:rPr>
                      <w:rFonts w:hint="eastAsia"/>
                      <w:bCs/>
                      <w:color w:val="000000" w:themeColor="text1"/>
                      <w:szCs w:val="21"/>
                      <w14:textFill>
                        <w14:solidFill>
                          <w14:schemeClr w14:val="tx1"/>
                        </w14:solidFill>
                      </w14:textFill>
                    </w:rPr>
                    <w:t>内</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符合三级保护区内的</w:t>
                  </w:r>
                  <w:r>
                    <w:rPr>
                      <w:bCs/>
                      <w:color w:val="000000" w:themeColor="text1"/>
                      <w:szCs w:val="21"/>
                      <w14:textFill>
                        <w14:solidFill>
                          <w14:schemeClr w14:val="tx1"/>
                        </w14:solidFill>
                      </w14:textFill>
                    </w:rPr>
                    <w:t>相关管控要求。</w:t>
                  </w:r>
                </w:p>
                <w:p w14:paraId="310C9AC6">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（5）本项目无</w:t>
                  </w:r>
                  <w:r>
                    <w:rPr>
                      <w:rFonts w:hint="eastAsia"/>
                      <w:bCs/>
                      <w:color w:val="000000" w:themeColor="text1"/>
                      <w:szCs w:val="21"/>
                      <w14:textFill>
                        <w14:solidFill>
                          <w14:schemeClr w14:val="tx1"/>
                        </w14:solidFill>
                      </w14:textFill>
                    </w:rPr>
                    <w:t>生产</w:t>
                  </w:r>
                  <w:r>
                    <w:rPr>
                      <w:bCs/>
                      <w:color w:val="000000" w:themeColor="text1"/>
                      <w:szCs w:val="21"/>
                      <w14:textFill>
                        <w14:solidFill>
                          <w14:schemeClr w14:val="tx1"/>
                        </w14:solidFill>
                      </w14:textFill>
                    </w:rPr>
                    <w:t>废水排放，符合《中华</w:t>
                  </w:r>
                  <w:r>
                    <w:rPr>
                      <w:rFonts w:hint="eastAsia"/>
                      <w:bCs/>
                      <w:color w:val="000000" w:themeColor="text1"/>
                      <w:szCs w:val="21"/>
                      <w14:textFill>
                        <w14:solidFill>
                          <w14:schemeClr w14:val="tx1"/>
                        </w14:solidFill>
                      </w14:textFill>
                    </w:rPr>
                    <w:t>人</w:t>
                  </w:r>
                  <w:r>
                    <w:rPr>
                      <w:bCs/>
                      <w:color w:val="000000" w:themeColor="text1"/>
                      <w:szCs w:val="21"/>
                      <w14:textFill>
                        <w14:solidFill>
                          <w14:schemeClr w14:val="tx1"/>
                        </w14:solidFill>
                      </w14:textFill>
                    </w:rPr>
                    <w:t>民共和国长江保护法》。</w:t>
                  </w:r>
                </w:p>
                <w:p w14:paraId="7BA04B17">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（6）本项目</w:t>
                  </w:r>
                  <w:r>
                    <w:rPr>
                      <w:rFonts w:hint="eastAsia"/>
                      <w:bCs/>
                      <w:color w:val="000000" w:themeColor="text1"/>
                      <w:szCs w:val="21"/>
                      <w14:textFill>
                        <w14:solidFill>
                          <w14:schemeClr w14:val="tx1"/>
                        </w14:solidFill>
                      </w14:textFill>
                    </w:rPr>
                    <w:t>不属于常熟高新技术产业开发区生态环境</w:t>
                  </w:r>
                  <w:r>
                    <w:rPr>
                      <w:bCs/>
                      <w:color w:val="000000" w:themeColor="text1"/>
                      <w:szCs w:val="21"/>
                      <w14:textFill>
                        <w14:solidFill>
                          <w14:schemeClr w14:val="tx1"/>
                        </w14:solidFill>
                      </w14:textFill>
                    </w:rPr>
                    <w:t>负面清单</w:t>
                  </w:r>
                  <w:r>
                    <w:rPr>
                      <w:rFonts w:hint="eastAsia"/>
                      <w:bCs/>
                      <w:color w:val="000000" w:themeColor="text1"/>
                      <w:szCs w:val="21"/>
                      <w14:textFill>
                        <w14:solidFill>
                          <w14:schemeClr w14:val="tx1"/>
                        </w14:solidFill>
                      </w14:textFill>
                    </w:rPr>
                    <w:t>中的项目</w:t>
                  </w:r>
                  <w:r>
                    <w:rPr>
                      <w:bCs/>
                      <w:color w:val="000000" w:themeColor="text1"/>
                      <w:szCs w:val="21"/>
                      <w14:textFill>
                        <w14:solidFill>
                          <w14:schemeClr w14:val="tx1"/>
                        </w14:solidFill>
                      </w14:textFill>
                    </w:rPr>
                    <w:t>。</w:t>
                  </w:r>
                </w:p>
              </w:tc>
              <w:tc>
                <w:tcPr>
                  <w:tcW w:w="419" w:type="pct"/>
                  <w:noWrap/>
                  <w:vAlign w:val="center"/>
                </w:tcPr>
                <w:p w14:paraId="4637161C">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相符</w:t>
                  </w:r>
                </w:p>
              </w:tc>
            </w:tr>
            <w:tr w14:paraId="410541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6" w:type="pct"/>
                  <w:noWrap/>
                  <w:vAlign w:val="center"/>
                </w:tcPr>
                <w:p w14:paraId="105A9F24">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w:t>
                  </w:r>
                </w:p>
              </w:tc>
              <w:tc>
                <w:tcPr>
                  <w:tcW w:w="424" w:type="pct"/>
                  <w:noWrap/>
                  <w:vAlign w:val="center"/>
                </w:tcPr>
                <w:p w14:paraId="14740EB4">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污染物排放管控</w:t>
                  </w:r>
                </w:p>
              </w:tc>
              <w:tc>
                <w:tcPr>
                  <w:tcW w:w="1917" w:type="pct"/>
                  <w:noWrap/>
                  <w:vAlign w:val="center"/>
                </w:tcPr>
                <w:p w14:paraId="071AE638">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（1）园区内企业污染物排放应满足相关国家、地方污染物排放</w:t>
                  </w:r>
                  <w:r>
                    <w:rPr>
                      <w:rFonts w:hint="eastAsia"/>
                      <w:bCs/>
                      <w:color w:val="000000" w:themeColor="text1"/>
                      <w:szCs w:val="21"/>
                      <w14:textFill>
                        <w14:solidFill>
                          <w14:schemeClr w14:val="tx1"/>
                        </w14:solidFill>
                      </w14:textFill>
                    </w:rPr>
                    <w:t>标准</w:t>
                  </w:r>
                  <w:r>
                    <w:rPr>
                      <w:bCs/>
                      <w:color w:val="000000" w:themeColor="text1"/>
                      <w:szCs w:val="21"/>
                      <w14:textFill>
                        <w14:solidFill>
                          <w14:schemeClr w14:val="tx1"/>
                        </w14:solidFill>
                      </w14:textFill>
                    </w:rPr>
                    <w:t>要求。</w:t>
                  </w:r>
                </w:p>
                <w:p w14:paraId="2AC8890A">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（2）园区污染物排放总量按照园区总体规划、规划环评及审查意见的要求进行管控。</w:t>
                  </w:r>
                </w:p>
                <w:p w14:paraId="5D004B23">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（3）根据区域环境质量改善目标，采取有效措施减少主要污染物排放总量，确保区域</w:t>
                  </w:r>
                  <w:r>
                    <w:rPr>
                      <w:rFonts w:hint="eastAsia"/>
                      <w:bCs/>
                      <w:color w:val="000000" w:themeColor="text1"/>
                      <w:szCs w:val="21"/>
                      <w14:textFill>
                        <w14:solidFill>
                          <w14:schemeClr w14:val="tx1"/>
                        </w14:solidFill>
                      </w14:textFill>
                    </w:rPr>
                    <w:t>环</w:t>
                  </w:r>
                  <w:r>
                    <w:rPr>
                      <w:bCs/>
                      <w:color w:val="000000" w:themeColor="text1"/>
                      <w:szCs w:val="21"/>
                      <w14:textFill>
                        <w14:solidFill>
                          <w14:schemeClr w14:val="tx1"/>
                        </w14:solidFill>
                      </w14:textFill>
                    </w:rPr>
                    <w:t>境质量持续改善。</w:t>
                  </w:r>
                </w:p>
              </w:tc>
              <w:tc>
                <w:tcPr>
                  <w:tcW w:w="1972" w:type="pct"/>
                  <w:noWrap/>
                  <w:vAlign w:val="center"/>
                </w:tcPr>
                <w:p w14:paraId="67E853DB">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（1）本项目</w:t>
                  </w:r>
                  <w:r>
                    <w:rPr>
                      <w:rFonts w:hint="eastAsia"/>
                      <w:bCs/>
                      <w:color w:val="000000" w:themeColor="text1"/>
                      <w:szCs w:val="21"/>
                      <w14:textFill>
                        <w14:solidFill>
                          <w14:schemeClr w14:val="tx1"/>
                        </w14:solidFill>
                      </w14:textFill>
                    </w:rPr>
                    <w:t>废气、废水、</w:t>
                  </w:r>
                  <w:r>
                    <w:rPr>
                      <w:bCs/>
                      <w:color w:val="000000" w:themeColor="text1"/>
                      <w:szCs w:val="21"/>
                      <w14:textFill>
                        <w14:solidFill>
                          <w14:schemeClr w14:val="tx1"/>
                        </w14:solidFill>
                      </w14:textFill>
                    </w:rPr>
                    <w:t>噪声均达到国家、地方污染物排放标准要求，固废有效处置不外排。</w:t>
                  </w:r>
                </w:p>
                <w:p w14:paraId="0140155F">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（2）本项目废气污染物总量在</w:t>
                  </w:r>
                  <w:r>
                    <w:rPr>
                      <w:rFonts w:hint="eastAsia"/>
                      <w:bCs/>
                      <w:color w:val="000000" w:themeColor="text1"/>
                      <w:szCs w:val="21"/>
                      <w14:textFill>
                        <w14:solidFill>
                          <w14:schemeClr w14:val="tx1"/>
                        </w14:solidFill>
                      </w14:textFill>
                    </w:rPr>
                    <w:t>常熟高新技术开发区</w:t>
                  </w:r>
                  <w:r>
                    <w:rPr>
                      <w:bCs/>
                      <w:color w:val="000000" w:themeColor="text1"/>
                      <w:szCs w:val="21"/>
                      <w14:textFill>
                        <w14:solidFill>
                          <w14:schemeClr w14:val="tx1"/>
                        </w14:solidFill>
                      </w14:textFill>
                    </w:rPr>
                    <w:t>内平衡</w:t>
                  </w:r>
                  <w:r>
                    <w:rPr>
                      <w:rFonts w:hint="eastAsia"/>
                      <w:bCs/>
                      <w:color w:val="000000" w:themeColor="text1"/>
                      <w:szCs w:val="21"/>
                      <w14:textFill>
                        <w14:solidFill>
                          <w14:schemeClr w14:val="tx1"/>
                        </w14:solidFill>
                      </w14:textFill>
                    </w:rPr>
                    <w:t>。</w:t>
                  </w:r>
                </w:p>
                <w:p w14:paraId="703EE361">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（3）本项目废气污染物经处理后可减少排放总量，不会降低区域环境质量。</w:t>
                  </w:r>
                </w:p>
              </w:tc>
              <w:tc>
                <w:tcPr>
                  <w:tcW w:w="419" w:type="pct"/>
                  <w:noWrap/>
                  <w:vAlign w:val="center"/>
                </w:tcPr>
                <w:p w14:paraId="06F22329">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相符</w:t>
                  </w:r>
                </w:p>
              </w:tc>
            </w:tr>
            <w:tr w14:paraId="3DDC90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6" w:type="pct"/>
                  <w:noWrap/>
                  <w:vAlign w:val="center"/>
                </w:tcPr>
                <w:p w14:paraId="25402EA4">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w:t>
                  </w:r>
                </w:p>
              </w:tc>
              <w:tc>
                <w:tcPr>
                  <w:tcW w:w="424" w:type="pct"/>
                  <w:noWrap/>
                  <w:vAlign w:val="center"/>
                </w:tcPr>
                <w:p w14:paraId="425E16D0">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环境风险防控</w:t>
                  </w:r>
                </w:p>
              </w:tc>
              <w:tc>
                <w:tcPr>
                  <w:tcW w:w="1917" w:type="pct"/>
                  <w:noWrap/>
                  <w:vAlign w:val="center"/>
                </w:tcPr>
                <w:p w14:paraId="6DD738A5">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（1）建立以园区突发环境事件应急处置机构为核心，与地方政府和企事业</w:t>
                  </w:r>
                  <w:r>
                    <w:rPr>
                      <w:rFonts w:hint="eastAsia"/>
                      <w:bCs/>
                      <w:color w:val="000000" w:themeColor="text1"/>
                      <w:szCs w:val="21"/>
                      <w14:textFill>
                        <w14:solidFill>
                          <w14:schemeClr w14:val="tx1"/>
                        </w14:solidFill>
                      </w14:textFill>
                    </w:rPr>
                    <w:t>单位</w:t>
                  </w:r>
                  <w:r>
                    <w:rPr>
                      <w:bCs/>
                      <w:color w:val="000000" w:themeColor="text1"/>
                      <w:szCs w:val="21"/>
                      <w14:textFill>
                        <w14:solidFill>
                          <w14:schemeClr w14:val="tx1"/>
                        </w14:solidFill>
                      </w14:textFill>
                    </w:rPr>
                    <w:t>应急处置机构联动的应急响应体系，加强应急物资装备储备，编制突发环境事件应急预案，定期开展演练。</w:t>
                  </w:r>
                </w:p>
                <w:p w14:paraId="3C9630BA">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（2）生产、使用、储存危险化学品或其他存在环境风险的企事业单位，应当制定风险防范措施，编制突发环境事件应急预案，防止发生环境事故。</w:t>
                  </w:r>
                </w:p>
                <w:p w14:paraId="779F3C75">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（3）加强环境影响跟踪监测，建立健全各环境要素监控体系，完善并落实园区日常环境监测与污染源监控计划。</w:t>
                  </w:r>
                </w:p>
              </w:tc>
              <w:tc>
                <w:tcPr>
                  <w:tcW w:w="1972" w:type="pct"/>
                  <w:noWrap/>
                  <w:vAlign w:val="center"/>
                </w:tcPr>
                <w:p w14:paraId="60F9354D">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r>
                    <w:rPr>
                      <w:bCs/>
                      <w:color w:val="000000" w:themeColor="text1"/>
                      <w:szCs w:val="21"/>
                      <w14:textFill>
                        <w14:solidFill>
                          <w14:schemeClr w14:val="tx1"/>
                        </w14:solidFill>
                      </w14:textFill>
                    </w:rPr>
                    <w:t>常熟</w:t>
                  </w:r>
                  <w:r>
                    <w:rPr>
                      <w:rFonts w:hint="eastAsia"/>
                      <w:bCs/>
                      <w:color w:val="000000" w:themeColor="text1"/>
                      <w:szCs w:val="21"/>
                      <w14:textFill>
                        <w14:solidFill>
                          <w14:schemeClr w14:val="tx1"/>
                        </w14:solidFill>
                      </w14:textFill>
                    </w:rPr>
                    <w:t>高新技术产业</w:t>
                  </w:r>
                  <w:r>
                    <w:rPr>
                      <w:bCs/>
                      <w:color w:val="000000" w:themeColor="text1"/>
                      <w:szCs w:val="21"/>
                      <w14:textFill>
                        <w14:solidFill>
                          <w14:schemeClr w14:val="tx1"/>
                        </w14:solidFill>
                      </w14:textFill>
                    </w:rPr>
                    <w:t>开发区已编制了突发环境事件应急预案，已建立</w:t>
                  </w:r>
                  <w:r>
                    <w:rPr>
                      <w:rFonts w:hint="eastAsia"/>
                      <w:bCs/>
                      <w:color w:val="000000" w:themeColor="text1"/>
                      <w:szCs w:val="21"/>
                      <w14:textFill>
                        <w14:solidFill>
                          <w14:schemeClr w14:val="tx1"/>
                        </w14:solidFill>
                      </w14:textFill>
                    </w:rPr>
                    <w:t>了</w:t>
                  </w:r>
                  <w:r>
                    <w:rPr>
                      <w:bCs/>
                      <w:color w:val="000000" w:themeColor="text1"/>
                      <w:szCs w:val="21"/>
                      <w14:textFill>
                        <w14:solidFill>
                          <w14:schemeClr w14:val="tx1"/>
                        </w14:solidFill>
                      </w14:textFill>
                    </w:rPr>
                    <w:t>以</w:t>
                  </w:r>
                  <w:r>
                    <w:rPr>
                      <w:rFonts w:hint="eastAsia"/>
                      <w:bCs/>
                      <w:color w:val="000000" w:themeColor="text1"/>
                      <w:szCs w:val="21"/>
                      <w14:textFill>
                        <w14:solidFill>
                          <w14:schemeClr w14:val="tx1"/>
                        </w14:solidFill>
                      </w14:textFill>
                    </w:rPr>
                    <w:t>高新区</w:t>
                  </w:r>
                  <w:r>
                    <w:rPr>
                      <w:bCs/>
                      <w:color w:val="000000" w:themeColor="text1"/>
                      <w:szCs w:val="21"/>
                      <w14:textFill>
                        <w14:solidFill>
                          <w14:schemeClr w14:val="tx1"/>
                        </w14:solidFill>
                      </w14:textFill>
                    </w:rPr>
                    <w:t>突发环境事件应急处置机构为核心，与常熟市政府和区内企事业单位应急处置机构联动的应急响应体系，</w:t>
                  </w:r>
                  <w:r>
                    <w:rPr>
                      <w:rFonts w:hint="eastAsia"/>
                      <w:bCs/>
                      <w:color w:val="000000" w:themeColor="text1"/>
                      <w:szCs w:val="21"/>
                      <w14:textFill>
                        <w14:solidFill>
                          <w14:schemeClr w14:val="tx1"/>
                        </w14:solidFill>
                      </w14:textFill>
                    </w:rPr>
                    <w:t>已</w:t>
                  </w:r>
                  <w:r>
                    <w:rPr>
                      <w:bCs/>
                      <w:color w:val="000000" w:themeColor="text1"/>
                      <w:szCs w:val="21"/>
                      <w14:textFill>
                        <w14:solidFill>
                          <w14:schemeClr w14:val="tx1"/>
                        </w14:solidFill>
                      </w14:textFill>
                    </w:rPr>
                    <w:t>配备了应急救援队伍和必要的应急设施和装备，</w:t>
                  </w:r>
                  <w:r>
                    <w:rPr>
                      <w:rFonts w:hint="eastAsia"/>
                      <w:bCs/>
                      <w:color w:val="000000" w:themeColor="text1"/>
                      <w:szCs w:val="21"/>
                      <w14:textFill>
                        <w14:solidFill>
                          <w14:schemeClr w14:val="tx1"/>
                        </w14:solidFill>
                      </w14:textFill>
                    </w:rPr>
                    <w:t>已</w:t>
                  </w:r>
                  <w:r>
                    <w:rPr>
                      <w:bCs/>
                      <w:color w:val="000000" w:themeColor="text1"/>
                      <w:szCs w:val="21"/>
                      <w14:textFill>
                        <w14:solidFill>
                          <w14:schemeClr w14:val="tx1"/>
                        </w14:solidFill>
                      </w14:textFill>
                    </w:rPr>
                    <w:t>定期开展</w:t>
                  </w:r>
                  <w:r>
                    <w:rPr>
                      <w:rFonts w:hint="eastAsia"/>
                      <w:bCs/>
                      <w:color w:val="000000" w:themeColor="text1"/>
                      <w:szCs w:val="21"/>
                      <w14:textFill>
                        <w14:solidFill>
                          <w14:schemeClr w14:val="tx1"/>
                        </w14:solidFill>
                      </w14:textFill>
                    </w:rPr>
                    <w:t>了</w:t>
                  </w:r>
                  <w:r>
                    <w:rPr>
                      <w:bCs/>
                      <w:color w:val="000000" w:themeColor="text1"/>
                      <w:szCs w:val="21"/>
                      <w14:textFill>
                        <w14:solidFill>
                          <w14:schemeClr w14:val="tx1"/>
                        </w14:solidFill>
                      </w14:textFill>
                    </w:rPr>
                    <w:t>应急演练</w:t>
                  </w:r>
                  <w:r>
                    <w:rPr>
                      <w:rFonts w:hint="eastAsia"/>
                      <w:bCs/>
                      <w:color w:val="000000" w:themeColor="text1"/>
                      <w:szCs w:val="21"/>
                      <w14:textFill>
                        <w14:solidFill>
                          <w14:schemeClr w14:val="tx1"/>
                        </w14:solidFill>
                      </w14:textFill>
                    </w:rPr>
                    <w:t>。</w:t>
                  </w:r>
                </w:p>
                <w:p w14:paraId="63526DA8">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（2）本项目建成后将制定风险防范措施，编制突发环境事件应急预案，防止发生环境事故。</w:t>
                  </w:r>
                </w:p>
                <w:p w14:paraId="50F4266A">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（3）常熟</w:t>
                  </w:r>
                  <w:r>
                    <w:rPr>
                      <w:rFonts w:hint="eastAsia"/>
                      <w:bCs/>
                      <w:color w:val="000000" w:themeColor="text1"/>
                      <w:szCs w:val="21"/>
                      <w14:textFill>
                        <w14:solidFill>
                          <w14:schemeClr w14:val="tx1"/>
                        </w14:solidFill>
                      </w14:textFill>
                    </w:rPr>
                    <w:t>高新技术产业</w:t>
                  </w:r>
                  <w:r>
                    <w:rPr>
                      <w:bCs/>
                      <w:color w:val="000000" w:themeColor="text1"/>
                      <w:szCs w:val="21"/>
                      <w14:textFill>
                        <w14:solidFill>
                          <w14:schemeClr w14:val="tx1"/>
                        </w14:solidFill>
                      </w14:textFill>
                    </w:rPr>
                    <w:t>开发区已建立健全各环境要素监控体系，并落实日常环境监测与污染源监控计划。</w:t>
                  </w:r>
                </w:p>
              </w:tc>
              <w:tc>
                <w:tcPr>
                  <w:tcW w:w="419" w:type="pct"/>
                  <w:noWrap/>
                  <w:vAlign w:val="center"/>
                </w:tcPr>
                <w:p w14:paraId="413C0801">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相符</w:t>
                  </w:r>
                </w:p>
              </w:tc>
            </w:tr>
            <w:tr w14:paraId="6370AC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6" w:type="pct"/>
                  <w:noWrap/>
                  <w:vAlign w:val="center"/>
                </w:tcPr>
                <w:p w14:paraId="5B16412E">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w:t>
                  </w:r>
                </w:p>
              </w:tc>
              <w:tc>
                <w:tcPr>
                  <w:tcW w:w="424" w:type="pct"/>
                  <w:noWrap/>
                  <w:vAlign w:val="center"/>
                </w:tcPr>
                <w:p w14:paraId="6AEDAD38">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资源利用效率要求</w:t>
                  </w:r>
                </w:p>
              </w:tc>
              <w:tc>
                <w:tcPr>
                  <w:tcW w:w="1917" w:type="pct"/>
                  <w:noWrap/>
                  <w:vAlign w:val="center"/>
                </w:tcPr>
                <w:p w14:paraId="266F2F5B">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（1）园区内企业清洁生产水平、单位工业增加值新鲜水耗和综合能耗应满足园区总体规划、规划环评及审查意见要求。</w:t>
                  </w:r>
                </w:p>
                <w:p w14:paraId="6340A8E5">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（2）禁止销售使用燃料为“Ⅲ类”（严格），具体包括：</w:t>
                  </w:r>
                </w:p>
                <w:p w14:paraId="3AA54DBF">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1、煤炭及其制品（包括原煤、散煤、煤矸石、煤泥、煤粉、水煤浆、型煤、焦炭、兰炭等）；</w:t>
                  </w:r>
                </w:p>
                <w:p w14:paraId="4F07BDBC">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2、石油焦、油页岩、原油、重油、沙油、煤焦油；</w:t>
                  </w:r>
                </w:p>
                <w:p w14:paraId="52E31EDE">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3、非专用锅炉或未配置高效除尘设施的专用锅炉燃用的生物质成型燃料；</w:t>
                  </w:r>
                </w:p>
                <w:p w14:paraId="3D7655FB">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4、国家规定的其它高污染燃料。</w:t>
                  </w:r>
                </w:p>
              </w:tc>
              <w:tc>
                <w:tcPr>
                  <w:tcW w:w="1972" w:type="pct"/>
                  <w:noWrap/>
                  <w:vAlign w:val="center"/>
                </w:tcPr>
                <w:p w14:paraId="7E08FE5C">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（1）本项目清洁生产水平、</w:t>
                  </w:r>
                  <w:r>
                    <w:rPr>
                      <w:bCs/>
                      <w:color w:val="000000" w:themeColor="text1"/>
                      <w:szCs w:val="21"/>
                      <w14:textFill>
                        <w14:solidFill>
                          <w14:schemeClr w14:val="tx1"/>
                        </w14:solidFill>
                      </w14:textFill>
                    </w:rPr>
                    <w:t>单位工业增加值新鲜水耗和综合能耗满足园区总体规划、规划环评及审查意见要求</w:t>
                  </w:r>
                  <w:r>
                    <w:rPr>
                      <w:rFonts w:hint="eastAsia"/>
                      <w:bCs/>
                      <w:color w:val="000000" w:themeColor="text1"/>
                      <w:szCs w:val="21"/>
                      <w14:textFill>
                        <w14:solidFill>
                          <w14:schemeClr w14:val="tx1"/>
                        </w14:solidFill>
                      </w14:textFill>
                    </w:rPr>
                    <w:t>。</w:t>
                  </w:r>
                </w:p>
                <w:p w14:paraId="61AD6D5E">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本项目</w:t>
                  </w:r>
                  <w:r>
                    <w:rPr>
                      <w:rFonts w:hint="eastAsia"/>
                      <w:color w:val="000000" w:themeColor="text1"/>
                      <w:szCs w:val="21"/>
                      <w14:textFill>
                        <w14:solidFill>
                          <w14:schemeClr w14:val="tx1"/>
                        </w14:solidFill>
                      </w14:textFill>
                    </w:rPr>
                    <w:t>不涉及</w:t>
                  </w:r>
                  <w:r>
                    <w:rPr>
                      <w:bCs/>
                      <w:color w:val="000000" w:themeColor="text1"/>
                      <w:szCs w:val="21"/>
                      <w14:textFill>
                        <w14:solidFill>
                          <w14:schemeClr w14:val="tx1"/>
                        </w14:solidFill>
                      </w14:textFill>
                    </w:rPr>
                    <w:t>“Ⅲ类”</w:t>
                  </w:r>
                  <w:r>
                    <w:rPr>
                      <w:rFonts w:hint="eastAsia"/>
                      <w:color w:val="000000" w:themeColor="text1"/>
                      <w:szCs w:val="21"/>
                      <w14:textFill>
                        <w14:solidFill>
                          <w14:schemeClr w14:val="tx1"/>
                        </w14:solidFill>
                      </w14:textFill>
                    </w:rPr>
                    <w:t>燃料</w:t>
                  </w:r>
                  <w:r>
                    <w:rPr>
                      <w:color w:val="000000" w:themeColor="text1"/>
                      <w:szCs w:val="21"/>
                      <w14:textFill>
                        <w14:solidFill>
                          <w14:schemeClr w14:val="tx1"/>
                        </w14:solidFill>
                      </w14:textFill>
                    </w:rPr>
                    <w:t>。</w:t>
                  </w:r>
                </w:p>
              </w:tc>
              <w:tc>
                <w:tcPr>
                  <w:tcW w:w="419" w:type="pct"/>
                  <w:noWrap/>
                  <w:vAlign w:val="center"/>
                </w:tcPr>
                <w:p w14:paraId="014F40AF">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相符</w:t>
                  </w:r>
                </w:p>
              </w:tc>
            </w:tr>
          </w:tbl>
          <w:p w14:paraId="369CC7A6">
            <w:pPr>
              <w:jc w:val="both"/>
              <w:rPr>
                <w:b/>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5050790" cy="2506345"/>
                  <wp:effectExtent l="0" t="0" r="16510" b="825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5050790" cy="2506345"/>
                          </a:xfrm>
                          <a:prstGeom prst="rect">
                            <a:avLst/>
                          </a:prstGeom>
                          <a:noFill/>
                          <a:ln>
                            <a:noFill/>
                          </a:ln>
                        </pic:spPr>
                      </pic:pic>
                    </a:graphicData>
                  </a:graphic>
                </wp:inline>
              </w:drawing>
            </w:r>
          </w:p>
          <w:p w14:paraId="4B11B35D">
            <w:pPr>
              <w:jc w:val="center"/>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图1.1-1 本项目所在地管控单元图（图源：江苏省生态环境分区管控综合服务网站）</w:t>
            </w:r>
          </w:p>
          <w:p w14:paraId="70B5E1A9">
            <w:pPr>
              <w:ind w:firstLine="422"/>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表1.1-</w:t>
            </w:r>
            <w:r>
              <w:rPr>
                <w:rFonts w:hint="eastAsia"/>
                <w:b/>
                <w:color w:val="000000" w:themeColor="text1"/>
                <w:szCs w:val="21"/>
                <w:lang w:val="en-US" w:eastAsia="zh-CN"/>
                <w14:textFill>
                  <w14:solidFill>
                    <w14:schemeClr w14:val="tx1"/>
                  </w14:solidFill>
                </w14:textFill>
              </w:rPr>
              <w:t>4</w:t>
            </w:r>
            <w:r>
              <w:rPr>
                <w:b/>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 xml:space="preserve"> </w:t>
            </w:r>
            <w:r>
              <w:rPr>
                <w:rFonts w:hint="eastAsia"/>
                <w:b/>
                <w:color w:val="000000" w:themeColor="text1"/>
                <w:szCs w:val="21"/>
                <w:lang w:val="en-US" w:eastAsia="zh-CN"/>
                <w14:textFill>
                  <w14:solidFill>
                    <w14:schemeClr w14:val="tx1"/>
                  </w14:solidFill>
                </w14:textFill>
              </w:rPr>
              <w:t>常熟高新技术产业开发区区域管控要求</w:t>
            </w:r>
            <w:r>
              <w:rPr>
                <w:b/>
                <w:color w:val="000000" w:themeColor="text1"/>
                <w:szCs w:val="21"/>
                <w14:textFill>
                  <w14:solidFill>
                    <w14:schemeClr w14:val="tx1"/>
                  </w14:solidFill>
                </w14:textFill>
              </w:rPr>
              <w:t>相符性分析表</w:t>
            </w:r>
          </w:p>
          <w:tbl>
            <w:tblPr>
              <w:tblStyle w:val="22"/>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7"/>
              <w:gridCol w:w="675"/>
              <w:gridCol w:w="3066"/>
              <w:gridCol w:w="3133"/>
              <w:gridCol w:w="667"/>
            </w:tblGrid>
            <w:tr w14:paraId="62BBB0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2" w:type="pct"/>
                  <w:vAlign w:val="center"/>
                </w:tcPr>
                <w:p w14:paraId="1870745D">
                  <w:pPr>
                    <w:ind w:firstLine="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424" w:type="pct"/>
                  <w:vAlign w:val="center"/>
                </w:tcPr>
                <w:p w14:paraId="4F2491B9">
                  <w:pPr>
                    <w:ind w:firstLine="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管控</w:t>
                  </w:r>
                </w:p>
                <w:p w14:paraId="25FF6784">
                  <w:pPr>
                    <w:ind w:firstLine="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类别</w:t>
                  </w:r>
                </w:p>
              </w:tc>
              <w:tc>
                <w:tcPr>
                  <w:tcW w:w="1925" w:type="pct"/>
                  <w:vAlign w:val="center"/>
                </w:tcPr>
                <w:p w14:paraId="4293BA97">
                  <w:pPr>
                    <w:ind w:firstLine="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重点</w:t>
                  </w:r>
                  <w:r>
                    <w:rPr>
                      <w:rFonts w:hint="eastAsia"/>
                      <w:b/>
                      <w:color w:val="000000" w:themeColor="text1"/>
                      <w:szCs w:val="21"/>
                      <w:lang w:val="en-US" w:eastAsia="zh-CN"/>
                      <w14:textFill>
                        <w14:solidFill>
                          <w14:schemeClr w14:val="tx1"/>
                        </w14:solidFill>
                      </w14:textFill>
                    </w:rPr>
                    <w:t>管控</w:t>
                  </w:r>
                  <w:r>
                    <w:rPr>
                      <w:b/>
                      <w:color w:val="000000" w:themeColor="text1"/>
                      <w:szCs w:val="21"/>
                      <w14:textFill>
                        <w14:solidFill>
                          <w14:schemeClr w14:val="tx1"/>
                        </w14:solidFill>
                      </w14:textFill>
                    </w:rPr>
                    <w:t>单元生态环境准入</w:t>
                  </w:r>
                </w:p>
                <w:p w14:paraId="223C7E77">
                  <w:pPr>
                    <w:ind w:firstLine="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清单</w:t>
                  </w:r>
                </w:p>
              </w:tc>
              <w:tc>
                <w:tcPr>
                  <w:tcW w:w="1967" w:type="pct"/>
                  <w:vAlign w:val="center"/>
                </w:tcPr>
                <w:p w14:paraId="69A61B34">
                  <w:pPr>
                    <w:ind w:firstLine="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本项目</w:t>
                  </w:r>
                </w:p>
              </w:tc>
              <w:tc>
                <w:tcPr>
                  <w:tcW w:w="419" w:type="pct"/>
                  <w:vAlign w:val="center"/>
                </w:tcPr>
                <w:p w14:paraId="044D1D8E">
                  <w:pPr>
                    <w:ind w:firstLine="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相符性</w:t>
                  </w:r>
                </w:p>
              </w:tc>
            </w:tr>
            <w:tr w14:paraId="0D114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9" w:hRule="atLeast"/>
              </w:trPr>
              <w:tc>
                <w:tcPr>
                  <w:tcW w:w="262" w:type="pct"/>
                  <w:vAlign w:val="center"/>
                </w:tcPr>
                <w:p w14:paraId="12D91EDB">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424" w:type="pct"/>
                  <w:vAlign w:val="center"/>
                </w:tcPr>
                <w:p w14:paraId="45992B1C">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空间布局约束</w:t>
                  </w:r>
                </w:p>
              </w:tc>
              <w:tc>
                <w:tcPr>
                  <w:tcW w:w="1925" w:type="pct"/>
                  <w:vAlign w:val="center"/>
                </w:tcPr>
                <w:p w14:paraId="706BF3B4">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严格执行《江苏省长江经济带发展负面清单实施细则》、《关于促进长三角地区经济社会与生态环境保护协调发展的指导意见》、水十条、土十条、《“263”专项行动实施方案》、《江苏省太湖水污染防治条例》等文件要求。（1）禁止铁路、公路及主要城市道路防护绿带、水系防护绿带、高压走廊防护绿地、工业区与居住区之间的防护绿带、市政设施周围防护绿带内的开发建设。（2）居住用地周边100米范围内工业用地禁止引入含喷涂、酸洗等项目、禁止建设危化品仓库。（3）禁止重要湿地生态空间管控区域内不符合管控要求的开发建设。（4）城市总体规划中的非建设用地（农林用地），在城市总规修编批复前暂缓开发。（5）禁止引入：1、装备制造产业：禁止建设高挥发性有机物含量溶剂、胶黏剂的项目；纯电镀项目。2、汽车及零部件产业：禁止建设高挥发性有机物含量溶剂、胶黏剂的项目。3、电子信息产业：禁止建设纯电镀项目。4、新建、改建、扩建化学制浆造纸、制革、酿造、染料、印染、电镀及其他排放含氮磷等污染物的企业和项目（战略性新兴产业及现有含氮磷污染物项目改建需实施氮磷污染物年排放总量减量替代）。</w:t>
                  </w:r>
                </w:p>
              </w:tc>
              <w:tc>
                <w:tcPr>
                  <w:tcW w:w="1967" w:type="pct"/>
                  <w:vAlign w:val="center"/>
                </w:tcPr>
                <w:p w14:paraId="0EC5C73A">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r>
                    <w:rPr>
                      <w:rFonts w:hint="eastAsia"/>
                      <w:bCs/>
                      <w:color w:val="000000" w:themeColor="text1"/>
                      <w:szCs w:val="21"/>
                      <w:lang w:val="en-US" w:eastAsia="zh-CN"/>
                      <w14:textFill>
                        <w14:solidFill>
                          <w14:schemeClr w14:val="tx1"/>
                        </w14:solidFill>
                      </w14:textFill>
                    </w:rPr>
                    <w:t>本</w:t>
                  </w:r>
                  <w:r>
                    <w:rPr>
                      <w:rFonts w:hint="eastAsia"/>
                      <w:bCs/>
                      <w:color w:val="000000" w:themeColor="text1"/>
                      <w:szCs w:val="21"/>
                      <w14:textFill>
                        <w14:solidFill>
                          <w14:schemeClr w14:val="tx1"/>
                        </w14:solidFill>
                      </w14:textFill>
                    </w:rPr>
                    <w:t>项目</w:t>
                  </w:r>
                  <w:r>
                    <w:rPr>
                      <w:rFonts w:hint="eastAsia"/>
                      <w:bCs/>
                      <w:color w:val="000000" w:themeColor="text1"/>
                      <w:szCs w:val="21"/>
                      <w:lang w:val="en-US" w:eastAsia="zh-CN"/>
                      <w14:textFill>
                        <w14:solidFill>
                          <w14:schemeClr w14:val="tx1"/>
                        </w14:solidFill>
                      </w14:textFill>
                    </w:rPr>
                    <w:t>行业类别</w:t>
                  </w:r>
                  <w:r>
                    <w:rPr>
                      <w:rFonts w:hint="eastAsia"/>
                      <w:bCs/>
                      <w:color w:val="000000" w:themeColor="text1"/>
                      <w:szCs w:val="21"/>
                      <w14:textFill>
                        <w14:solidFill>
                          <w14:schemeClr w14:val="tx1"/>
                        </w14:solidFill>
                      </w14:textFill>
                    </w:rPr>
                    <w:t>为</w:t>
                  </w:r>
                  <w:r>
                    <w:rPr>
                      <w:rFonts w:hint="eastAsia"/>
                      <w:color w:val="000000" w:themeColor="text1"/>
                      <w:szCs w:val="21"/>
                      <w14:textFill>
                        <w14:solidFill>
                          <w14:schemeClr w14:val="tx1"/>
                        </w14:solidFill>
                      </w14:textFill>
                    </w:rPr>
                    <w:t>C</w:t>
                  </w:r>
                  <w:r>
                    <w:rPr>
                      <w:rFonts w:hint="eastAsia"/>
                      <w:color w:val="000000" w:themeColor="text1"/>
                      <w:szCs w:val="21"/>
                      <w:lang w:val="en-US" w:eastAsia="zh-CN"/>
                      <w14:textFill>
                        <w14:solidFill>
                          <w14:schemeClr w14:val="tx1"/>
                        </w14:solidFill>
                      </w14:textFill>
                    </w:rPr>
                    <w:t>2929塑料零件及塑料制品制造</w:t>
                  </w:r>
                  <w:r>
                    <w:rPr>
                      <w:rFonts w:hint="eastAsia"/>
                      <w:bCs/>
                      <w:color w:val="000000" w:themeColor="text1"/>
                      <w:szCs w:val="21"/>
                      <w14:textFill>
                        <w14:solidFill>
                          <w14:schemeClr w14:val="tx1"/>
                        </w14:solidFill>
                      </w14:textFill>
                    </w:rPr>
                    <w:t>，</w:t>
                  </w:r>
                  <w:r>
                    <w:rPr>
                      <w:rFonts w:hint="eastAsia"/>
                      <w:bCs/>
                      <w:color w:val="000000" w:themeColor="text1"/>
                      <w:szCs w:val="21"/>
                      <w:lang w:val="en-US" w:eastAsia="zh-CN"/>
                      <w14:textFill>
                        <w14:solidFill>
                          <w14:schemeClr w14:val="tx1"/>
                        </w14:solidFill>
                      </w14:textFill>
                    </w:rPr>
                    <w:t>不涉及</w:t>
                  </w:r>
                  <w:r>
                    <w:rPr>
                      <w:rFonts w:hint="eastAsia"/>
                      <w:bCs/>
                      <w:color w:val="000000" w:themeColor="text1"/>
                      <w:szCs w:val="21"/>
                      <w14:textFill>
                        <w14:solidFill>
                          <w14:schemeClr w14:val="tx1"/>
                        </w14:solidFill>
                      </w14:textFill>
                    </w:rPr>
                    <w:t>防护绿带的开发建设。</w:t>
                  </w:r>
                </w:p>
                <w:p w14:paraId="3BD89325">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（2）本项目</w:t>
                  </w:r>
                  <w:r>
                    <w:rPr>
                      <w:rFonts w:hint="eastAsia"/>
                      <w:bCs/>
                      <w:color w:val="000000" w:themeColor="text1"/>
                      <w:szCs w:val="21"/>
                      <w:lang w:val="en-US" w:eastAsia="zh-CN"/>
                      <w14:textFill>
                        <w14:solidFill>
                          <w14:schemeClr w14:val="tx1"/>
                        </w14:solidFill>
                      </w14:textFill>
                    </w:rPr>
                    <w:t>不涉及</w:t>
                  </w:r>
                  <w:r>
                    <w:rPr>
                      <w:rFonts w:hint="eastAsia"/>
                      <w:bCs/>
                      <w:color w:val="000000" w:themeColor="text1"/>
                      <w:szCs w:val="21"/>
                      <w14:textFill>
                        <w14:solidFill>
                          <w14:schemeClr w14:val="tx1"/>
                        </w14:solidFill>
                      </w14:textFill>
                    </w:rPr>
                    <w:t>喷涂、酸洗</w:t>
                  </w:r>
                  <w:r>
                    <w:rPr>
                      <w:rFonts w:hint="eastAsia"/>
                      <w:bCs/>
                      <w:color w:val="000000" w:themeColor="text1"/>
                      <w:szCs w:val="21"/>
                      <w:lang w:val="en-US" w:eastAsia="zh-CN"/>
                      <w14:textFill>
                        <w14:solidFill>
                          <w14:schemeClr w14:val="tx1"/>
                        </w14:solidFill>
                      </w14:textFill>
                    </w:rPr>
                    <w:t>工艺，厂界周边100米内无居住用地</w:t>
                  </w:r>
                  <w:r>
                    <w:rPr>
                      <w:bCs/>
                      <w:color w:val="000000" w:themeColor="text1"/>
                      <w:szCs w:val="21"/>
                      <w14:textFill>
                        <w14:solidFill>
                          <w14:schemeClr w14:val="tx1"/>
                        </w14:solidFill>
                      </w14:textFill>
                    </w:rPr>
                    <w:t>。</w:t>
                  </w:r>
                </w:p>
                <w:p w14:paraId="5CE8F09D">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（3）本项目</w:t>
                  </w:r>
                  <w:r>
                    <w:rPr>
                      <w:rFonts w:hint="eastAsia"/>
                      <w:bCs/>
                      <w:color w:val="000000" w:themeColor="text1"/>
                      <w:szCs w:val="21"/>
                      <w:lang w:val="en-US" w:eastAsia="zh-CN"/>
                      <w14:textFill>
                        <w14:solidFill>
                          <w14:schemeClr w14:val="tx1"/>
                        </w14:solidFill>
                      </w14:textFill>
                    </w:rPr>
                    <w:t>不在</w:t>
                  </w:r>
                  <w:r>
                    <w:rPr>
                      <w:rFonts w:hint="eastAsia"/>
                      <w:bCs/>
                      <w:color w:val="000000" w:themeColor="text1"/>
                      <w:szCs w:val="21"/>
                      <w14:textFill>
                        <w14:solidFill>
                          <w14:schemeClr w14:val="tx1"/>
                        </w14:solidFill>
                      </w14:textFill>
                    </w:rPr>
                    <w:t>重要湿地生态空间管控区域内</w:t>
                  </w:r>
                  <w:r>
                    <w:rPr>
                      <w:rFonts w:hint="eastAsia"/>
                      <w:bCs/>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距离最近的生态空间保护区域为</w:t>
                  </w:r>
                  <w:r>
                    <w:rPr>
                      <w:rFonts w:hint="eastAsia"/>
                      <w:color w:val="000000" w:themeColor="text1"/>
                      <w:szCs w:val="21"/>
                      <w14:textFill>
                        <w14:solidFill>
                          <w14:schemeClr w14:val="tx1"/>
                        </w14:solidFill>
                      </w14:textFill>
                    </w:rPr>
                    <w:t>西南</w:t>
                  </w:r>
                  <w:r>
                    <w:rPr>
                      <w:color w:val="000000" w:themeColor="text1"/>
                      <w:szCs w:val="21"/>
                      <w14:textFill>
                        <w14:solidFill>
                          <w14:schemeClr w14:val="tx1"/>
                        </w14:solidFill>
                      </w14:textFill>
                    </w:rPr>
                    <w:t>侧的</w:t>
                  </w:r>
                  <w:r>
                    <w:rPr>
                      <w:rFonts w:hint="eastAsia"/>
                      <w:color w:val="000000" w:themeColor="text1"/>
                      <w:szCs w:val="21"/>
                      <w14:textFill>
                        <w14:solidFill>
                          <w14:schemeClr w14:val="tx1"/>
                        </w14:solidFill>
                      </w14:textFill>
                    </w:rPr>
                    <w:t>“</w:t>
                  </w:r>
                  <w:r>
                    <w:rPr>
                      <w:rFonts w:hint="eastAsia" w:ascii="宋体" w:hAnsi="宋体" w:cs="宋体"/>
                      <w:color w:val="000000" w:themeColor="text1"/>
                      <w:kern w:val="0"/>
                      <w:sz w:val="21"/>
                      <w:szCs w:val="21"/>
                      <w14:textFill>
                        <w14:solidFill>
                          <w14:schemeClr w14:val="tx1"/>
                        </w14:solidFill>
                      </w14:textFill>
                    </w:rPr>
                    <w:t>沙家浜—昆承湖重要湿地空间</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，约</w:t>
                  </w:r>
                  <w:r>
                    <w:rPr>
                      <w:rFonts w:hint="eastAsia"/>
                      <w:color w:val="000000" w:themeColor="text1"/>
                      <w:szCs w:val="21"/>
                      <w:lang w:val="en-US" w:eastAsia="zh-CN"/>
                      <w14:textFill>
                        <w14:solidFill>
                          <w14:schemeClr w14:val="tx1"/>
                        </w14:solidFill>
                      </w14:textFill>
                    </w:rPr>
                    <w:t>2.3</w:t>
                  </w:r>
                  <w:r>
                    <w:rPr>
                      <w:rFonts w:hint="eastAsia"/>
                      <w:color w:val="000000" w:themeColor="text1"/>
                      <w:szCs w:val="21"/>
                      <w14:textFill>
                        <w14:solidFill>
                          <w14:schemeClr w14:val="tx1"/>
                        </w14:solidFill>
                      </w14:textFill>
                    </w:rPr>
                    <w:t>k</w:t>
                  </w:r>
                  <w:r>
                    <w:rPr>
                      <w:color w:val="000000" w:themeColor="text1"/>
                      <w:szCs w:val="21"/>
                      <w14:textFill>
                        <w14:solidFill>
                          <w14:schemeClr w14:val="tx1"/>
                        </w14:solidFill>
                      </w14:textFill>
                    </w:rPr>
                    <w:t>m</w:t>
                  </w:r>
                  <w:r>
                    <w:rPr>
                      <w:bCs/>
                      <w:color w:val="000000" w:themeColor="text1"/>
                      <w:szCs w:val="21"/>
                      <w14:textFill>
                        <w14:solidFill>
                          <w14:schemeClr w14:val="tx1"/>
                        </w14:solidFill>
                      </w14:textFill>
                    </w:rPr>
                    <w:t>。</w:t>
                  </w:r>
                </w:p>
                <w:p w14:paraId="4A46246A">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（4）本项目所在地</w:t>
                  </w:r>
                  <w:r>
                    <w:rPr>
                      <w:rFonts w:hint="eastAsia"/>
                      <w:bCs/>
                      <w:color w:val="000000" w:themeColor="text1"/>
                      <w:szCs w:val="21"/>
                      <w:lang w:val="en-US" w:eastAsia="zh-CN"/>
                      <w14:textFill>
                        <w14:solidFill>
                          <w14:schemeClr w14:val="tx1"/>
                        </w14:solidFill>
                      </w14:textFill>
                    </w:rPr>
                    <w:t>属于工业用地</w:t>
                  </w:r>
                  <w:r>
                    <w:rPr>
                      <w:bCs/>
                      <w:color w:val="000000" w:themeColor="text1"/>
                      <w:szCs w:val="21"/>
                      <w14:textFill>
                        <w14:solidFill>
                          <w14:schemeClr w14:val="tx1"/>
                        </w14:solidFill>
                      </w14:textFill>
                    </w:rPr>
                    <w:t>。</w:t>
                  </w:r>
                </w:p>
                <w:p w14:paraId="6E2CDB4E">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（5）本项目</w:t>
                  </w:r>
                  <w:r>
                    <w:rPr>
                      <w:rFonts w:hint="eastAsia"/>
                      <w:bCs/>
                      <w:color w:val="000000" w:themeColor="text1"/>
                      <w:szCs w:val="21"/>
                      <w14:textFill>
                        <w14:solidFill>
                          <w14:schemeClr w14:val="tx1"/>
                        </w14:solidFill>
                      </w14:textFill>
                    </w:rPr>
                    <w:t>行业类别为</w:t>
                  </w:r>
                  <w:r>
                    <w:rPr>
                      <w:rFonts w:hint="eastAsia"/>
                      <w:color w:val="000000" w:themeColor="text1"/>
                      <w:szCs w:val="21"/>
                      <w14:textFill>
                        <w14:solidFill>
                          <w14:schemeClr w14:val="tx1"/>
                        </w14:solidFill>
                      </w14:textFill>
                    </w:rPr>
                    <w:t>C2929塑料零件及塑料制品制造</w:t>
                  </w:r>
                  <w:r>
                    <w:rPr>
                      <w:rFonts w:hint="eastAsia"/>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不属于禁止引入的项目</w:t>
                  </w:r>
                  <w:r>
                    <w:rPr>
                      <w:bCs/>
                      <w:color w:val="000000" w:themeColor="text1"/>
                      <w:szCs w:val="21"/>
                      <w14:textFill>
                        <w14:solidFill>
                          <w14:schemeClr w14:val="tx1"/>
                        </w14:solidFill>
                      </w14:textFill>
                    </w:rPr>
                    <w:t>。</w:t>
                  </w:r>
                </w:p>
              </w:tc>
              <w:tc>
                <w:tcPr>
                  <w:tcW w:w="419" w:type="pct"/>
                  <w:vAlign w:val="center"/>
                </w:tcPr>
                <w:p w14:paraId="0C365F04">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相符</w:t>
                  </w:r>
                </w:p>
              </w:tc>
            </w:tr>
            <w:tr w14:paraId="3E814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2" w:type="pct"/>
                  <w:vAlign w:val="center"/>
                </w:tcPr>
                <w:p w14:paraId="3A760E79">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p>
              </w:tc>
              <w:tc>
                <w:tcPr>
                  <w:tcW w:w="424" w:type="pct"/>
                  <w:vAlign w:val="center"/>
                </w:tcPr>
                <w:p w14:paraId="73B5B898">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污染物排放管控</w:t>
                  </w:r>
                </w:p>
              </w:tc>
              <w:tc>
                <w:tcPr>
                  <w:tcW w:w="1925" w:type="pct"/>
                  <w:vAlign w:val="center"/>
                </w:tcPr>
                <w:p w14:paraId="504438FE">
                  <w:pPr>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（1）高新区近期外排量COD951.09吨/年、NH</w:t>
                  </w:r>
                  <w:r>
                    <w:rPr>
                      <w:rFonts w:hint="eastAsia"/>
                      <w:bCs/>
                      <w:color w:val="000000" w:themeColor="text1"/>
                      <w:szCs w:val="21"/>
                      <w:vertAlign w:val="subscript"/>
                      <w14:textFill>
                        <w14:solidFill>
                          <w14:schemeClr w14:val="tx1"/>
                        </w14:solidFill>
                      </w14:textFill>
                    </w:rPr>
                    <w:t>3</w:t>
                  </w:r>
                  <w:r>
                    <w:rPr>
                      <w:rFonts w:hint="eastAsia"/>
                      <w:bCs/>
                      <w:color w:val="000000" w:themeColor="text1"/>
                      <w:szCs w:val="21"/>
                      <w14:textFill>
                        <w14:solidFill>
                          <w14:schemeClr w14:val="tx1"/>
                        </w14:solidFill>
                      </w14:textFill>
                    </w:rPr>
                    <w:t>-N78.38吨/年、总氮256.58吨/年、总磷8.42吨/年；远期外排量COD1095.63吨/年、NH</w:t>
                  </w:r>
                  <w:r>
                    <w:rPr>
                      <w:rFonts w:hint="eastAsia"/>
                      <w:bCs/>
                      <w:color w:val="000000" w:themeColor="text1"/>
                      <w:szCs w:val="21"/>
                      <w:vertAlign w:val="subscript"/>
                      <w14:textFill>
                        <w14:solidFill>
                          <w14:schemeClr w14:val="tx1"/>
                        </w14:solidFill>
                      </w14:textFill>
                    </w:rPr>
                    <w:t>3</w:t>
                  </w:r>
                  <w:r>
                    <w:rPr>
                      <w:rFonts w:hint="eastAsia"/>
                      <w:bCs/>
                      <w:color w:val="000000" w:themeColor="text1"/>
                      <w:szCs w:val="21"/>
                      <w14:textFill>
                        <w14:solidFill>
                          <w14:schemeClr w14:val="tx1"/>
                        </w14:solidFill>
                      </w14:textFill>
                    </w:rPr>
                    <w:t>-N85.61吨/年、总氮304.76吨/年、总磷9.87吨/年。（2）高新区SO</w:t>
                  </w:r>
                  <w:r>
                    <w:rPr>
                      <w:rFonts w:hint="eastAsia"/>
                      <w:bCs/>
                      <w:color w:val="000000" w:themeColor="text1"/>
                      <w:szCs w:val="21"/>
                      <w:vertAlign w:val="subscript"/>
                      <w14:textFill>
                        <w14:solidFill>
                          <w14:schemeClr w14:val="tx1"/>
                        </w14:solidFill>
                      </w14:textFill>
                    </w:rPr>
                    <w:t>2</w:t>
                  </w:r>
                  <w:r>
                    <w:rPr>
                      <w:rFonts w:hint="eastAsia"/>
                      <w:bCs/>
                      <w:color w:val="000000" w:themeColor="text1"/>
                      <w:szCs w:val="21"/>
                      <w14:textFill>
                        <w14:solidFill>
                          <w14:schemeClr w14:val="tx1"/>
                        </w14:solidFill>
                      </w14:textFill>
                    </w:rPr>
                    <w:t>总量近期240.55吨/年、远期236.10吨/年；NOx总量近期560.99吨/年、远期554.62吨/年；烟粉尘近期166.07吨/年、远期157.74吨/年；VOCs近期69.50吨/年；远期65.29吨/年。（3）污水不能接管的项目、污水管网尚未敷设到位地块的开发建设。</w:t>
                  </w:r>
                </w:p>
              </w:tc>
              <w:tc>
                <w:tcPr>
                  <w:tcW w:w="1967" w:type="pct"/>
                  <w:vAlign w:val="center"/>
                </w:tcPr>
                <w:p w14:paraId="59C30687">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（1）本项目</w:t>
                  </w:r>
                  <w:r>
                    <w:rPr>
                      <w:rFonts w:hint="eastAsia"/>
                      <w:bCs/>
                      <w:color w:val="000000" w:themeColor="text1"/>
                      <w:szCs w:val="21"/>
                      <w:lang w:val="en-US" w:eastAsia="zh-CN"/>
                      <w14:textFill>
                        <w14:solidFill>
                          <w14:schemeClr w14:val="tx1"/>
                        </w14:solidFill>
                      </w14:textFill>
                    </w:rPr>
                    <w:t>仅排放生活污水</w:t>
                  </w:r>
                  <w:r>
                    <w:rPr>
                      <w:bCs/>
                      <w:color w:val="000000" w:themeColor="text1"/>
                      <w:szCs w:val="21"/>
                      <w14:textFill>
                        <w14:solidFill>
                          <w14:schemeClr w14:val="tx1"/>
                        </w14:solidFill>
                      </w14:textFill>
                    </w:rPr>
                    <w:t>。</w:t>
                  </w:r>
                </w:p>
                <w:p w14:paraId="49E9ADBC">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r>
                    <w:rPr>
                      <w:rFonts w:hint="eastAsia"/>
                      <w:bCs/>
                      <w:color w:val="000000" w:themeColor="text1"/>
                      <w:szCs w:val="21"/>
                      <w14:textFill>
                        <w14:solidFill>
                          <w14:schemeClr w14:val="tx1"/>
                        </w14:solidFill>
                      </w14:textFill>
                    </w:rPr>
                    <w:t>本项目</w:t>
                  </w:r>
                  <w:r>
                    <w:rPr>
                      <w:rFonts w:hint="eastAsia"/>
                      <w:bCs/>
                      <w:color w:val="000000" w:themeColor="text1"/>
                      <w:szCs w:val="21"/>
                      <w:lang w:val="en-US" w:eastAsia="zh-CN"/>
                      <w14:textFill>
                        <w14:solidFill>
                          <w14:schemeClr w14:val="tx1"/>
                        </w14:solidFill>
                      </w14:textFill>
                    </w:rPr>
                    <w:t>仅排放少量烟粉尘、VOCs</w:t>
                  </w:r>
                  <w:r>
                    <w:rPr>
                      <w:rFonts w:hint="eastAsia"/>
                      <w:bCs/>
                      <w:color w:val="000000" w:themeColor="text1"/>
                      <w:szCs w:val="21"/>
                      <w14:textFill>
                        <w14:solidFill>
                          <w14:schemeClr w14:val="tx1"/>
                        </w14:solidFill>
                      </w14:textFill>
                    </w:rPr>
                    <w:t>。</w:t>
                  </w:r>
                </w:p>
                <w:p w14:paraId="3FAB1AB7">
                  <w:pP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14:textFill>
                        <w14:solidFill>
                          <w14:schemeClr w14:val="tx1"/>
                        </w14:solidFill>
                      </w14:textFill>
                    </w:rPr>
                    <w:t>（3）</w:t>
                  </w:r>
                  <w:r>
                    <w:rPr>
                      <w:bCs/>
                      <w:color w:val="000000" w:themeColor="text1"/>
                      <w:szCs w:val="21"/>
                      <w14:textFill>
                        <w14:solidFill>
                          <w14:schemeClr w14:val="tx1"/>
                        </w14:solidFill>
                      </w14:textFill>
                    </w:rPr>
                    <w:t>本项目</w:t>
                  </w:r>
                  <w:r>
                    <w:rPr>
                      <w:rFonts w:hint="eastAsia"/>
                      <w:bCs/>
                      <w:color w:val="000000" w:themeColor="text1"/>
                      <w:szCs w:val="21"/>
                      <w:lang w:val="en-US" w:eastAsia="zh-CN"/>
                      <w14:textFill>
                        <w14:solidFill>
                          <w14:schemeClr w14:val="tx1"/>
                        </w14:solidFill>
                      </w14:textFill>
                    </w:rPr>
                    <w:t>无生产废水排放，生活污水</w:t>
                  </w:r>
                  <w:r>
                    <w:rPr>
                      <w:rFonts w:hint="eastAsia"/>
                      <w:color w:val="000000" w:themeColor="text1"/>
                      <w:kern w:val="0"/>
                      <w:szCs w:val="16"/>
                      <w14:textFill>
                        <w14:solidFill>
                          <w14:schemeClr w14:val="tx1"/>
                        </w14:solidFill>
                      </w14:textFill>
                    </w:rPr>
                    <w:t>接管</w:t>
                  </w:r>
                  <w:r>
                    <w:rPr>
                      <w:rFonts w:hint="eastAsia"/>
                      <w:color w:val="000000" w:themeColor="text1"/>
                      <w:szCs w:val="21"/>
                      <w14:textFill>
                        <w14:solidFill>
                          <w14:schemeClr w14:val="tx1"/>
                        </w14:solidFill>
                      </w14:textFill>
                    </w:rPr>
                    <w:t>至</w:t>
                  </w:r>
                  <w:r>
                    <w:rPr>
                      <w:rFonts w:hint="eastAsia" w:cs="Times New Roman"/>
                      <w:color w:val="000000" w:themeColor="text1"/>
                      <w:szCs w:val="21"/>
                      <w:highlight w:val="none"/>
                      <w:lang w:eastAsia="zh-CN"/>
                      <w14:textFill>
                        <w14:solidFill>
                          <w14:schemeClr w14:val="tx1"/>
                        </w14:solidFill>
                      </w14:textFill>
                    </w:rPr>
                    <w:t>江苏中法水务股份有限公司（城东水质净化厂）</w:t>
                  </w:r>
                  <w:r>
                    <w:rPr>
                      <w:rFonts w:hint="default" w:ascii="Times New Roman" w:hAnsi="Times New Roman" w:cs="Times New Roman"/>
                      <w:color w:val="000000" w:themeColor="text1"/>
                      <w:szCs w:val="21"/>
                      <w:highlight w:val="none"/>
                      <w:lang w:val="en-US" w:eastAsia="zh-CN"/>
                      <w14:textFill>
                        <w14:solidFill>
                          <w14:schemeClr w14:val="tx1"/>
                        </w14:solidFill>
                      </w14:textFill>
                    </w:rPr>
                    <w:t>集中</w:t>
                  </w:r>
                  <w:r>
                    <w:rPr>
                      <w:rFonts w:hint="default" w:ascii="Times New Roman" w:hAnsi="Times New Roman" w:cs="Times New Roman"/>
                      <w:color w:val="000000" w:themeColor="text1"/>
                      <w:szCs w:val="21"/>
                      <w:highlight w:val="none"/>
                      <w14:textFill>
                        <w14:solidFill>
                          <w14:schemeClr w14:val="tx1"/>
                        </w14:solidFill>
                      </w14:textFill>
                    </w:rPr>
                    <w:t>处理</w:t>
                  </w:r>
                  <w:r>
                    <w:rPr>
                      <w:rFonts w:hint="eastAsia"/>
                      <w:bCs/>
                      <w:color w:val="000000" w:themeColor="text1"/>
                      <w:szCs w:val="21"/>
                      <w:lang w:val="en-US" w:eastAsia="zh-CN"/>
                      <w14:textFill>
                        <w14:solidFill>
                          <w14:schemeClr w14:val="tx1"/>
                        </w14:solidFill>
                      </w14:textFill>
                    </w:rPr>
                    <w:t>。</w:t>
                  </w:r>
                </w:p>
              </w:tc>
              <w:tc>
                <w:tcPr>
                  <w:tcW w:w="419" w:type="pct"/>
                  <w:vAlign w:val="center"/>
                </w:tcPr>
                <w:p w14:paraId="092607C5">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相符</w:t>
                  </w:r>
                </w:p>
              </w:tc>
            </w:tr>
            <w:tr w14:paraId="3B067D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2" w:type="pct"/>
                  <w:vAlign w:val="center"/>
                </w:tcPr>
                <w:p w14:paraId="4C8CB98F">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w:t>
                  </w:r>
                </w:p>
              </w:tc>
              <w:tc>
                <w:tcPr>
                  <w:tcW w:w="424" w:type="pct"/>
                  <w:vAlign w:val="center"/>
                </w:tcPr>
                <w:p w14:paraId="3A8E5360">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环境风险防控</w:t>
                  </w:r>
                </w:p>
              </w:tc>
              <w:tc>
                <w:tcPr>
                  <w:tcW w:w="3200" w:type="dxa"/>
                  <w:vAlign w:val="center"/>
                </w:tcPr>
                <w:p w14:paraId="71DED8A4">
                  <w:pPr>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根据《关于进一步加强环境影响评价管理防范环境风险的通知》（环发〔2012〕77号）的相关内容，对存在较大环境风险的相关建设项目，应严格按照《环境影响评价公众参与暂行办法》（环发〔2006〕28号）做好环境影响评价公众参与工作。高新区企业应制定环境应急预案，明确环境风险防范措施，建设并完善日常和应急监测系统，配备大气、水环境特征污染物监控设备，编制日常和应急监测方案，建立完备的环境信息平台，接受公众监督。</w:t>
                  </w:r>
                </w:p>
              </w:tc>
              <w:tc>
                <w:tcPr>
                  <w:tcW w:w="3271" w:type="dxa"/>
                  <w:vAlign w:val="center"/>
                </w:tcPr>
                <w:p w14:paraId="39753EC3">
                  <w:pPr>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w:t>
                  </w:r>
                  <w:r>
                    <w:rPr>
                      <w:rFonts w:hint="eastAsia"/>
                      <w:bCs/>
                      <w:color w:val="000000" w:themeColor="text1"/>
                      <w:szCs w:val="21"/>
                      <w:lang w:val="en-US" w:eastAsia="zh-CN"/>
                      <w14:textFill>
                        <w14:solidFill>
                          <w14:schemeClr w14:val="tx1"/>
                        </w14:solidFill>
                      </w14:textFill>
                    </w:rPr>
                    <w:t>环境风险</w:t>
                  </w:r>
                  <w:r>
                    <w:rPr>
                      <w:rFonts w:hint="eastAsia" w:ascii="Times New Roman" w:hAnsi="Times New Roman" w:eastAsia="宋体" w:cs="Times New Roman"/>
                      <w:color w:val="000000" w:themeColor="text1"/>
                      <w:sz w:val="21"/>
                      <w:szCs w:val="21"/>
                      <w14:textFill>
                        <w14:solidFill>
                          <w14:schemeClr w14:val="tx1"/>
                        </w14:solidFill>
                      </w14:textFill>
                    </w:rPr>
                    <w:t>潜势为Ⅰ</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风险较小，</w:t>
                  </w:r>
                  <w:r>
                    <w:rPr>
                      <w:rFonts w:hint="eastAsia"/>
                      <w:bCs/>
                      <w:color w:val="000000" w:themeColor="text1"/>
                      <w:szCs w:val="21"/>
                      <w14:textFill>
                        <w14:solidFill>
                          <w14:schemeClr w14:val="tx1"/>
                        </w14:solidFill>
                      </w14:textFill>
                    </w:rPr>
                    <w:t>建成后</w:t>
                  </w:r>
                  <w:r>
                    <w:rPr>
                      <w:bCs/>
                      <w:color w:val="000000" w:themeColor="text1"/>
                      <w:szCs w:val="21"/>
                      <w14:textFill>
                        <w14:solidFill>
                          <w14:schemeClr w14:val="tx1"/>
                        </w14:solidFill>
                      </w14:textFill>
                    </w:rPr>
                    <w:t>将</w:t>
                  </w:r>
                  <w:r>
                    <w:rPr>
                      <w:rFonts w:hint="eastAsia"/>
                      <w:bCs/>
                      <w:color w:val="000000" w:themeColor="text1"/>
                      <w:szCs w:val="21"/>
                      <w14:textFill>
                        <w14:solidFill>
                          <w14:schemeClr w14:val="tx1"/>
                        </w14:solidFill>
                      </w14:textFill>
                    </w:rPr>
                    <w:t>采取</w:t>
                  </w:r>
                  <w:r>
                    <w:rPr>
                      <w:bCs/>
                      <w:color w:val="000000" w:themeColor="text1"/>
                      <w:szCs w:val="21"/>
                      <w14:textFill>
                        <w14:solidFill>
                          <w14:schemeClr w14:val="tx1"/>
                        </w14:solidFill>
                      </w14:textFill>
                    </w:rPr>
                    <w:t>风险防范措施</w:t>
                  </w:r>
                  <w:r>
                    <w:rPr>
                      <w:rFonts w:hint="eastAsia"/>
                      <w:bCs/>
                      <w:color w:val="000000" w:themeColor="text1"/>
                      <w:szCs w:val="21"/>
                      <w14:textFill>
                        <w14:solidFill>
                          <w14:schemeClr w14:val="tx1"/>
                        </w14:solidFill>
                      </w14:textFill>
                    </w:rPr>
                    <w:t>，编制</w:t>
                  </w:r>
                  <w:r>
                    <w:rPr>
                      <w:bCs/>
                      <w:color w:val="000000" w:themeColor="text1"/>
                      <w:szCs w:val="21"/>
                      <w14:textFill>
                        <w14:solidFill>
                          <w14:schemeClr w14:val="tx1"/>
                        </w14:solidFill>
                      </w14:textFill>
                    </w:rPr>
                    <w:t>突发环境事件应急预案，防止发生环境事故。</w:t>
                  </w:r>
                </w:p>
              </w:tc>
              <w:tc>
                <w:tcPr>
                  <w:tcW w:w="419" w:type="pct"/>
                  <w:vAlign w:val="center"/>
                </w:tcPr>
                <w:p w14:paraId="3939E364">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相符</w:t>
                  </w:r>
                </w:p>
              </w:tc>
            </w:tr>
            <w:tr w14:paraId="6BAD6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2" w:type="pct"/>
                  <w:vAlign w:val="center"/>
                </w:tcPr>
                <w:p w14:paraId="517B9DF7">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w:t>
                  </w:r>
                </w:p>
              </w:tc>
              <w:tc>
                <w:tcPr>
                  <w:tcW w:w="424" w:type="pct"/>
                  <w:vAlign w:val="center"/>
                </w:tcPr>
                <w:p w14:paraId="6213D5FA">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资源</w:t>
                  </w:r>
                  <w:r>
                    <w:rPr>
                      <w:rFonts w:hint="eastAsia"/>
                      <w:bCs/>
                      <w:color w:val="000000" w:themeColor="text1"/>
                      <w:szCs w:val="21"/>
                      <w:lang w:val="en-US" w:eastAsia="zh-CN"/>
                      <w14:textFill>
                        <w14:solidFill>
                          <w14:schemeClr w14:val="tx1"/>
                        </w14:solidFill>
                      </w14:textFill>
                    </w:rPr>
                    <w:t>开发</w:t>
                  </w:r>
                  <w:r>
                    <w:rPr>
                      <w:bCs/>
                      <w:color w:val="000000" w:themeColor="text1"/>
                      <w:szCs w:val="21"/>
                      <w14:textFill>
                        <w14:solidFill>
                          <w14:schemeClr w14:val="tx1"/>
                        </w14:solidFill>
                      </w14:textFill>
                    </w:rPr>
                    <w:t>效率要求</w:t>
                  </w:r>
                </w:p>
              </w:tc>
              <w:tc>
                <w:tcPr>
                  <w:tcW w:w="1925" w:type="pct"/>
                  <w:vAlign w:val="center"/>
                </w:tcPr>
                <w:p w14:paraId="5C05DA4C">
                  <w:pPr>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（1）单位工业用地工业增加值近期≥9亿元/km</w:t>
                  </w:r>
                  <w:r>
                    <w:rPr>
                      <w:rFonts w:hint="eastAsia"/>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、远期≥22亿元/km</w:t>
                  </w:r>
                  <w:r>
                    <w:rPr>
                      <w:rFonts w:hint="eastAsia"/>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。（2）单位工业增加值新鲜水耗近期≤9m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/万元、远期≤8m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/万元。（3）单位地区生产总值综合能耗近期≤0.2吨标煤/万元、远期≤0.18吨标煤/万元。（4）需自建燃煤设施的项目。</w:t>
                  </w:r>
                </w:p>
              </w:tc>
              <w:tc>
                <w:tcPr>
                  <w:tcW w:w="1967" w:type="pct"/>
                  <w:vAlign w:val="center"/>
                </w:tcPr>
                <w:p w14:paraId="64111238">
                  <w:pPr>
                    <w:jc w:val="left"/>
                    <w:rPr>
                      <w:rFonts w:hint="eastAsia"/>
                      <w:bCs/>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1）</w:t>
                  </w:r>
                  <w:r>
                    <w:rPr>
                      <w:color w:val="000000" w:themeColor="text1"/>
                      <w:szCs w:val="21"/>
                      <w14:textFill>
                        <w14:solidFill>
                          <w14:schemeClr w14:val="tx1"/>
                        </w14:solidFill>
                      </w14:textFill>
                    </w:rPr>
                    <w:t>本项目</w:t>
                  </w:r>
                  <w:r>
                    <w:rPr>
                      <w:rFonts w:hint="eastAsia"/>
                      <w:bCs/>
                      <w:color w:val="000000" w:themeColor="text1"/>
                      <w:szCs w:val="21"/>
                      <w14:textFill>
                        <w14:solidFill>
                          <w14:schemeClr w14:val="tx1"/>
                        </w14:solidFill>
                      </w14:textFill>
                    </w:rPr>
                    <w:t>所在地用地规划为工业用地</w:t>
                  </w:r>
                  <w:r>
                    <w:rPr>
                      <w:rFonts w:hint="eastAsia"/>
                      <w:bCs/>
                      <w:color w:val="000000" w:themeColor="text1"/>
                      <w:szCs w:val="21"/>
                      <w:lang w:eastAsia="zh-CN"/>
                      <w14:textFill>
                        <w14:solidFill>
                          <w14:schemeClr w14:val="tx1"/>
                        </w14:solidFill>
                      </w14:textFill>
                    </w:rPr>
                    <w:t>。</w:t>
                  </w:r>
                </w:p>
                <w:p w14:paraId="007B885D">
                  <w:pPr>
                    <w:jc w:val="left"/>
                    <w:rPr>
                      <w:rFonts w:hint="eastAsia"/>
                      <w:bCs/>
                      <w:color w:val="000000" w:themeColor="text1"/>
                      <w:szCs w:val="21"/>
                      <w14:textFill>
                        <w14:solidFill>
                          <w14:schemeClr w14:val="tx1"/>
                        </w14:solidFill>
                      </w14:textFill>
                    </w:rPr>
                  </w:pP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2）</w:t>
                  </w:r>
                  <w:r>
                    <w:rPr>
                      <w:rFonts w:hint="eastAsia"/>
                      <w:bCs/>
                      <w:color w:val="000000" w:themeColor="text1"/>
                      <w:szCs w:val="21"/>
                      <w14:textFill>
                        <w14:solidFill>
                          <w14:schemeClr w14:val="tx1"/>
                        </w14:solidFill>
                      </w14:textFill>
                    </w:rPr>
                    <w:t>本项目</w:t>
                  </w:r>
                  <w:r>
                    <w:rPr>
                      <w:rFonts w:hint="eastAsia"/>
                      <w:bCs/>
                      <w:color w:val="000000" w:themeColor="text1"/>
                      <w:szCs w:val="21"/>
                      <w:lang w:val="en-US" w:eastAsia="zh-CN"/>
                      <w14:textFill>
                        <w14:solidFill>
                          <w14:schemeClr w14:val="tx1"/>
                        </w14:solidFill>
                      </w14:textFill>
                    </w:rPr>
                    <w:t>用水量为</w:t>
                  </w:r>
                  <w:r>
                    <w:rPr>
                      <w:rFonts w:hint="eastAsia" w:cs="Times New Roman"/>
                      <w:color w:val="000000" w:themeColor="text1"/>
                      <w:szCs w:val="21"/>
                      <w:highlight w:val="none"/>
                      <w:lang w:val="en-US" w:eastAsia="zh-CN"/>
                      <w14:textFill>
                        <w14:solidFill>
                          <w14:schemeClr w14:val="tx1"/>
                        </w14:solidFill>
                      </w14:textFill>
                    </w:rPr>
                    <w:t>891.0002</w:t>
                  </w:r>
                  <w:r>
                    <w:rPr>
                      <w:rFonts w:hint="default" w:ascii="Times New Roman" w:hAnsi="Times New Roman" w:cs="Times New Roman"/>
                      <w:color w:val="000000" w:themeColor="text1"/>
                      <w:szCs w:val="21"/>
                      <w:highlight w:val="none"/>
                      <w14:textFill>
                        <w14:solidFill>
                          <w14:schemeClr w14:val="tx1"/>
                        </w14:solidFill>
                      </w14:textFill>
                    </w:rPr>
                    <w:t>m</w:t>
                  </w:r>
                  <w:r>
                    <w:rPr>
                      <w:rFonts w:hint="default" w:ascii="Times New Roman" w:hAnsi="Times New Roman" w:cs="Times New Roman"/>
                      <w:color w:val="000000" w:themeColor="text1"/>
                      <w:szCs w:val="21"/>
                      <w:highlight w:val="none"/>
                      <w:vertAlign w:val="superscript"/>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/a</w:t>
                  </w:r>
                  <w:r>
                    <w:rPr>
                      <w:rFonts w:hint="eastAsia"/>
                      <w:bCs/>
                      <w:color w:val="000000" w:themeColor="text1"/>
                      <w:szCs w:val="21"/>
                      <w14:textFill>
                        <w14:solidFill>
                          <w14:schemeClr w14:val="tx1"/>
                        </w14:solidFill>
                      </w14:textFill>
                    </w:rPr>
                    <w:t>。</w:t>
                  </w:r>
                </w:p>
                <w:p w14:paraId="075A6078">
                  <w:pPr>
                    <w:jc w:val="left"/>
                    <w:rPr>
                      <w:rFonts w:hint="eastAsia"/>
                      <w:bCs/>
                      <w:color w:val="000000" w:themeColor="text1"/>
                      <w:szCs w:val="21"/>
                      <w:lang w:val="en-US" w:eastAsia="zh-CN"/>
                      <w14:textFill>
                        <w14:solidFill>
                          <w14:schemeClr w14:val="tx1"/>
                        </w14:solidFill>
                      </w14:textFill>
                    </w:rPr>
                  </w:pP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3）本项目仅使用电能，用电量为</w:t>
                  </w:r>
                  <w:r>
                    <w:rPr>
                      <w:rFonts w:hint="eastAsia" w:cs="Times New Roman"/>
                      <w:color w:val="000000" w:themeColor="text1"/>
                      <w:szCs w:val="21"/>
                      <w:highlight w:val="none"/>
                      <w:lang w:val="en-US" w:eastAsia="zh-CN"/>
                      <w14:textFill>
                        <w14:solidFill>
                          <w14:schemeClr w14:val="tx1"/>
                        </w14:solidFill>
                      </w14:textFill>
                    </w:rPr>
                    <w:t>200</w:t>
                  </w:r>
                  <w:r>
                    <w:rPr>
                      <w:rFonts w:hint="eastAsia" w:ascii="Times New Roman" w:hAnsi="Times New Roman" w:cs="Times New Roman"/>
                      <w:color w:val="000000" w:themeColor="text1"/>
                      <w:szCs w:val="21"/>
                      <w:highlight w:val="none"/>
                      <w:lang w:val="en-US" w:eastAsia="zh-CN"/>
                      <w14:textFill>
                        <w14:solidFill>
                          <w14:schemeClr w14:val="tx1"/>
                        </w14:solidFill>
                      </w14:textFill>
                    </w:rPr>
                    <w:t>万</w:t>
                  </w:r>
                  <w:r>
                    <w:rPr>
                      <w:rFonts w:hint="default" w:ascii="Times New Roman" w:hAnsi="Times New Roman" w:cs="Times New Roman"/>
                      <w:color w:val="000000" w:themeColor="text1"/>
                      <w:szCs w:val="21"/>
                      <w:highlight w:val="none"/>
                      <w14:textFill>
                        <w14:solidFill>
                          <w14:schemeClr w14:val="tx1"/>
                        </w14:solidFill>
                      </w14:textFill>
                    </w:rPr>
                    <w:t>度/a</w:t>
                  </w:r>
                  <w:r>
                    <w:rPr>
                      <w:rFonts w:hint="eastAsia"/>
                      <w:bCs/>
                      <w:color w:val="000000" w:themeColor="text1"/>
                      <w:szCs w:val="21"/>
                      <w:lang w:val="en-US" w:eastAsia="zh-CN"/>
                      <w14:textFill>
                        <w14:solidFill>
                          <w14:schemeClr w14:val="tx1"/>
                        </w14:solidFill>
                      </w14:textFill>
                    </w:rPr>
                    <w:t>。</w:t>
                  </w:r>
                </w:p>
                <w:p w14:paraId="672916E2">
                  <w:pPr>
                    <w:jc w:val="left"/>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（4）本项目不属于</w:t>
                  </w:r>
                  <w:r>
                    <w:rPr>
                      <w:rFonts w:hint="eastAsia"/>
                      <w:bCs/>
                      <w:color w:val="000000" w:themeColor="text1"/>
                      <w:szCs w:val="21"/>
                      <w14:textFill>
                        <w14:solidFill>
                          <w14:schemeClr w14:val="tx1"/>
                        </w14:solidFill>
                      </w14:textFill>
                    </w:rPr>
                    <w:t>自建燃煤设施的项目</w:t>
                  </w:r>
                  <w:r>
                    <w:rPr>
                      <w:color w:val="000000" w:themeColor="text1"/>
                      <w:szCs w:val="21"/>
                      <w14:textFill>
                        <w14:solidFill>
                          <w14:schemeClr w14:val="tx1"/>
                        </w14:solidFill>
                      </w14:textFill>
                    </w:rPr>
                    <w:t>。</w:t>
                  </w:r>
                </w:p>
              </w:tc>
              <w:tc>
                <w:tcPr>
                  <w:tcW w:w="419" w:type="pct"/>
                  <w:vAlign w:val="center"/>
                </w:tcPr>
                <w:p w14:paraId="7DCF5C17">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相符</w:t>
                  </w:r>
                </w:p>
              </w:tc>
            </w:tr>
          </w:tbl>
          <w:p w14:paraId="525DC204">
            <w:pPr>
              <w:jc w:val="both"/>
              <w:rPr>
                <w:b/>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5050790" cy="3576955"/>
                  <wp:effectExtent l="0" t="0" r="16510" b="444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2"/>
                          <a:stretch>
                            <a:fillRect/>
                          </a:stretch>
                        </pic:blipFill>
                        <pic:spPr>
                          <a:xfrm>
                            <a:off x="0" y="0"/>
                            <a:ext cx="5050790" cy="3576955"/>
                          </a:xfrm>
                          <a:prstGeom prst="rect">
                            <a:avLst/>
                          </a:prstGeom>
                          <a:noFill/>
                          <a:ln>
                            <a:noFill/>
                          </a:ln>
                        </pic:spPr>
                      </pic:pic>
                    </a:graphicData>
                  </a:graphic>
                </wp:inline>
              </w:drawing>
            </w:r>
          </w:p>
          <w:p w14:paraId="29929DA9">
            <w:pPr>
              <w:jc w:val="center"/>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图1.1-2 本项目所在地管控单元图（图源：苏州市生态环境管控单元图）</w:t>
            </w:r>
          </w:p>
          <w:p w14:paraId="66501BB2">
            <w:pPr>
              <w:ind w:firstLine="422"/>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表1.1-</w:t>
            </w:r>
            <w:r>
              <w:rPr>
                <w:rFonts w:hint="eastAsia"/>
                <w:b/>
                <w:color w:val="000000" w:themeColor="text1"/>
                <w:szCs w:val="21"/>
                <w:lang w:val="en-US" w:eastAsia="zh-CN"/>
                <w14:textFill>
                  <w14:solidFill>
                    <w14:schemeClr w14:val="tx1"/>
                  </w14:solidFill>
                </w14:textFill>
              </w:rPr>
              <w:t>5</w:t>
            </w:r>
            <w:r>
              <w:rPr>
                <w:b/>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 xml:space="preserve"> </w:t>
            </w:r>
            <w:r>
              <w:rPr>
                <w:rFonts w:hint="eastAsia"/>
                <w:b/>
                <w:color w:val="000000" w:themeColor="text1"/>
                <w:szCs w:val="21"/>
                <w:lang w:val="en-US" w:eastAsia="zh-CN"/>
                <w14:textFill>
                  <w14:solidFill>
                    <w14:schemeClr w14:val="tx1"/>
                  </w14:solidFill>
                </w14:textFill>
              </w:rPr>
              <w:t>常熟高新技术产业开发区区域管控要求</w:t>
            </w:r>
            <w:r>
              <w:rPr>
                <w:b/>
                <w:color w:val="000000" w:themeColor="text1"/>
                <w:szCs w:val="21"/>
                <w14:textFill>
                  <w14:solidFill>
                    <w14:schemeClr w14:val="tx1"/>
                  </w14:solidFill>
                </w14:textFill>
              </w:rPr>
              <w:t>相符性分析表</w:t>
            </w:r>
          </w:p>
          <w:tbl>
            <w:tblPr>
              <w:tblStyle w:val="22"/>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7"/>
              <w:gridCol w:w="675"/>
              <w:gridCol w:w="3066"/>
              <w:gridCol w:w="3133"/>
              <w:gridCol w:w="667"/>
            </w:tblGrid>
            <w:tr w14:paraId="6CAFB0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2" w:type="pct"/>
                  <w:vAlign w:val="center"/>
                </w:tcPr>
                <w:p w14:paraId="47777AC7">
                  <w:pPr>
                    <w:ind w:firstLine="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424" w:type="pct"/>
                  <w:vAlign w:val="center"/>
                </w:tcPr>
                <w:p w14:paraId="1BA07F00">
                  <w:pPr>
                    <w:ind w:firstLine="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管控</w:t>
                  </w:r>
                </w:p>
                <w:p w14:paraId="72DD6BE8">
                  <w:pPr>
                    <w:ind w:firstLine="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类别</w:t>
                  </w:r>
                </w:p>
              </w:tc>
              <w:tc>
                <w:tcPr>
                  <w:tcW w:w="1925" w:type="pct"/>
                  <w:vAlign w:val="center"/>
                </w:tcPr>
                <w:p w14:paraId="199DB085">
                  <w:pPr>
                    <w:ind w:firstLine="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重点</w:t>
                  </w:r>
                  <w:r>
                    <w:rPr>
                      <w:rFonts w:hint="eastAsia"/>
                      <w:b/>
                      <w:color w:val="000000" w:themeColor="text1"/>
                      <w:szCs w:val="21"/>
                      <w:lang w:val="en-US" w:eastAsia="zh-CN"/>
                      <w14:textFill>
                        <w14:solidFill>
                          <w14:schemeClr w14:val="tx1"/>
                        </w14:solidFill>
                      </w14:textFill>
                    </w:rPr>
                    <w:t>管控</w:t>
                  </w:r>
                  <w:r>
                    <w:rPr>
                      <w:b/>
                      <w:color w:val="000000" w:themeColor="text1"/>
                      <w:szCs w:val="21"/>
                      <w14:textFill>
                        <w14:solidFill>
                          <w14:schemeClr w14:val="tx1"/>
                        </w14:solidFill>
                      </w14:textFill>
                    </w:rPr>
                    <w:t>单元生态环境准入</w:t>
                  </w:r>
                </w:p>
                <w:p w14:paraId="14B45D48">
                  <w:pPr>
                    <w:ind w:firstLine="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清单</w:t>
                  </w:r>
                </w:p>
              </w:tc>
              <w:tc>
                <w:tcPr>
                  <w:tcW w:w="1967" w:type="pct"/>
                  <w:vAlign w:val="center"/>
                </w:tcPr>
                <w:p w14:paraId="403B9498">
                  <w:pPr>
                    <w:ind w:firstLine="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本项目</w:t>
                  </w:r>
                </w:p>
              </w:tc>
              <w:tc>
                <w:tcPr>
                  <w:tcW w:w="419" w:type="pct"/>
                  <w:vAlign w:val="center"/>
                </w:tcPr>
                <w:p w14:paraId="70EB2DFA">
                  <w:pPr>
                    <w:ind w:firstLine="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相符性</w:t>
                  </w:r>
                </w:p>
              </w:tc>
            </w:tr>
            <w:tr w14:paraId="2750F0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9" w:hRule="atLeast"/>
              </w:trPr>
              <w:tc>
                <w:tcPr>
                  <w:tcW w:w="262" w:type="pct"/>
                  <w:vAlign w:val="center"/>
                </w:tcPr>
                <w:p w14:paraId="03421A97">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424" w:type="pct"/>
                  <w:vAlign w:val="center"/>
                </w:tcPr>
                <w:p w14:paraId="206B7711">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空间布局约束</w:t>
                  </w:r>
                </w:p>
              </w:tc>
              <w:tc>
                <w:tcPr>
                  <w:tcW w:w="1925" w:type="pct"/>
                  <w:vAlign w:val="center"/>
                </w:tcPr>
                <w:p w14:paraId="013E3FB8">
                  <w:pPr>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（1）按照按照《自然资源部 生态环境部 国家林业和草原局关于加强生态保护红线管理的通知（试行）》（自然资发〔2022〕142号）、《省政府关于印发江苏省生态空间管控区域规划的通知》（苏政发〔2020〕1号）、《关于进一步加强生态保护红线监督管理的通知》（苏自然函（2023）880号）、《苏州市国土空间总体规划（2021-2035 年）》，坚持节约优先、保护优先、自然恢复为主的方针，以改善生态环境质量为核心，以保障和维护生态功能为主线，统筹山水林田湖草一体化保护和修复，严守生态保护红线，实行最严格的生态空间管控制度，确保全市生态功能不降低、面积不减少、性质不改变，切实维护生态安全。</w:t>
                  </w:r>
                </w:p>
                <w:p w14:paraId="55D1BD2F">
                  <w:pPr>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（2）全市太湖、阳澄湖保护区执行《江苏省太湖水污染防治条例》、《苏州市阳澄湖水源水质保护条例》等文件要求。</w:t>
                  </w:r>
                </w:p>
                <w:p w14:paraId="72038721">
                  <w:pPr>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（3）严格执行《〈长江经济带发展负面清单指南（试行，2022 年版）&gt;江苏省实施细则》（苏长江办发〔2022〕55号）中相关要求。</w:t>
                  </w:r>
                </w:p>
                <w:p w14:paraId="1ED0ED85">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（4）禁止引进列入《苏州市产业发展导向目录》禁止类、淘汰类的产业。</w:t>
                  </w:r>
                </w:p>
              </w:tc>
              <w:tc>
                <w:tcPr>
                  <w:tcW w:w="1967" w:type="pct"/>
                  <w:vAlign w:val="center"/>
                </w:tcPr>
                <w:p w14:paraId="7B2498D8">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r>
                    <w:rPr>
                      <w:rFonts w:hint="eastAsia"/>
                      <w:bCs/>
                      <w:color w:val="000000" w:themeColor="text1"/>
                      <w:szCs w:val="21"/>
                      <w14:textFill>
                        <w14:solidFill>
                          <w14:schemeClr w14:val="tx1"/>
                        </w14:solidFill>
                      </w14:textFill>
                    </w:rPr>
                    <w:t>本项目所在地为工业用地，</w:t>
                  </w:r>
                  <w:r>
                    <w:rPr>
                      <w:bCs/>
                      <w:color w:val="000000" w:themeColor="text1"/>
                      <w:szCs w:val="21"/>
                      <w14:textFill>
                        <w14:solidFill>
                          <w14:schemeClr w14:val="tx1"/>
                        </w14:solidFill>
                      </w14:textFill>
                    </w:rPr>
                    <w:t>不占用国家级生态保护红线、生态空间管控区域以及永久基本农田</w:t>
                  </w:r>
                  <w:r>
                    <w:rPr>
                      <w:rFonts w:hint="eastAsia"/>
                      <w:bCs/>
                      <w:color w:val="000000" w:themeColor="text1"/>
                      <w:szCs w:val="21"/>
                      <w14:textFill>
                        <w14:solidFill>
                          <w14:schemeClr w14:val="tx1"/>
                        </w14:solidFill>
                      </w14:textFill>
                    </w:rPr>
                    <w:t>。</w:t>
                  </w:r>
                </w:p>
                <w:p w14:paraId="5959D22F">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（2）本项目</w:t>
                  </w:r>
                  <w:r>
                    <w:rPr>
                      <w:rFonts w:hint="eastAsia"/>
                      <w:bCs/>
                      <w:color w:val="000000" w:themeColor="text1"/>
                      <w:szCs w:val="21"/>
                      <w:lang w:val="en-US" w:eastAsia="zh-CN"/>
                      <w14:textFill>
                        <w14:solidFill>
                          <w14:schemeClr w14:val="tx1"/>
                        </w14:solidFill>
                      </w14:textFill>
                    </w:rPr>
                    <w:t>位于</w:t>
                  </w:r>
                  <w:r>
                    <w:rPr>
                      <w:bCs/>
                      <w:color w:val="000000" w:themeColor="text1"/>
                      <w:szCs w:val="21"/>
                      <w14:textFill>
                        <w14:solidFill>
                          <w14:schemeClr w14:val="tx1"/>
                        </w14:solidFill>
                      </w14:textFill>
                    </w:rPr>
                    <w:t>《阳澄湖水源水质保护条例》</w:t>
                  </w:r>
                  <w:r>
                    <w:rPr>
                      <w:rFonts w:hint="eastAsia"/>
                      <w:bCs/>
                      <w:color w:val="000000" w:themeColor="text1"/>
                      <w:szCs w:val="21"/>
                      <w:lang w:val="en-US" w:eastAsia="zh-CN"/>
                      <w14:textFill>
                        <w14:solidFill>
                          <w14:schemeClr w14:val="tx1"/>
                        </w14:solidFill>
                      </w14:textFill>
                    </w:rPr>
                    <w:t>三级保护区</w:t>
                  </w:r>
                  <w:r>
                    <w:rPr>
                      <w:rFonts w:hint="eastAsia"/>
                      <w:bCs/>
                      <w:color w:val="000000" w:themeColor="text1"/>
                      <w:szCs w:val="21"/>
                      <w14:textFill>
                        <w14:solidFill>
                          <w14:schemeClr w14:val="tx1"/>
                        </w14:solidFill>
                      </w14:textFill>
                    </w:rPr>
                    <w:t>内</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符合三级保护区内的</w:t>
                  </w:r>
                  <w:r>
                    <w:rPr>
                      <w:bCs/>
                      <w:color w:val="000000" w:themeColor="text1"/>
                      <w:szCs w:val="21"/>
                      <w14:textFill>
                        <w14:solidFill>
                          <w14:schemeClr w14:val="tx1"/>
                        </w14:solidFill>
                      </w14:textFill>
                    </w:rPr>
                    <w:t>相关管控要求</w:t>
                  </w:r>
                  <w:r>
                    <w:rPr>
                      <w:rFonts w:hint="eastAsia"/>
                      <w:bCs/>
                      <w:color w:val="000000" w:themeColor="text1"/>
                      <w:szCs w:val="21"/>
                      <w:lang w:eastAsia="zh-CN"/>
                      <w14:textFill>
                        <w14:solidFill>
                          <w14:schemeClr w14:val="tx1"/>
                        </w14:solidFill>
                      </w14:textFill>
                    </w:rPr>
                    <w:t>，</w:t>
                  </w:r>
                  <w:r>
                    <w:rPr>
                      <w:bCs/>
                      <w:color w:val="000000" w:themeColor="text1"/>
                      <w:szCs w:val="21"/>
                      <w14:textFill>
                        <w14:solidFill>
                          <w14:schemeClr w14:val="tx1"/>
                        </w14:solidFill>
                      </w14:textFill>
                    </w:rPr>
                    <w:t>本项目位于太湖流域三级保护区内</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满足</w:t>
                  </w:r>
                  <w:r>
                    <w:rPr>
                      <w:rFonts w:hint="eastAsia"/>
                      <w:bCs/>
                      <w:color w:val="000000" w:themeColor="text1"/>
                      <w:szCs w:val="21"/>
                      <w14:textFill>
                        <w14:solidFill>
                          <w14:schemeClr w14:val="tx1"/>
                        </w14:solidFill>
                      </w14:textFill>
                    </w:rPr>
                    <w:t>《江苏省太湖水污染防治条例》</w:t>
                  </w:r>
                  <w:r>
                    <w:rPr>
                      <w:rFonts w:hint="eastAsia"/>
                      <w:bCs/>
                      <w:color w:val="000000" w:themeColor="text1"/>
                      <w:szCs w:val="21"/>
                      <w:lang w:val="en-US" w:eastAsia="zh-CN"/>
                      <w14:textFill>
                        <w14:solidFill>
                          <w14:schemeClr w14:val="tx1"/>
                        </w14:solidFill>
                      </w14:textFill>
                    </w:rPr>
                    <w:t>相关要求</w:t>
                  </w:r>
                  <w:r>
                    <w:rPr>
                      <w:bCs/>
                      <w:color w:val="000000" w:themeColor="text1"/>
                      <w:szCs w:val="21"/>
                      <w14:textFill>
                        <w14:solidFill>
                          <w14:schemeClr w14:val="tx1"/>
                        </w14:solidFill>
                      </w14:textFill>
                    </w:rPr>
                    <w:t>。</w:t>
                  </w:r>
                </w:p>
                <w:p w14:paraId="5B9C232A">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（3）本项目符合</w:t>
                  </w:r>
                  <w:r>
                    <w:rPr>
                      <w:rFonts w:hint="eastAsia"/>
                      <w:bCs/>
                      <w:color w:val="000000" w:themeColor="text1"/>
                      <w:szCs w:val="21"/>
                      <w14:textFill>
                        <w14:solidFill>
                          <w14:schemeClr w14:val="tx1"/>
                        </w14:solidFill>
                      </w14:textFill>
                    </w:rPr>
                    <w:t>《〈长江经济带发展负面清单指南（试行，2022 年版）&gt;江苏省实施细则》（苏长江办发〔2022〕55号）</w:t>
                  </w:r>
                  <w:r>
                    <w:rPr>
                      <w:bCs/>
                      <w:color w:val="000000" w:themeColor="text1"/>
                      <w:szCs w:val="21"/>
                      <w14:textFill>
                        <w14:solidFill>
                          <w14:schemeClr w14:val="tx1"/>
                        </w14:solidFill>
                      </w14:textFill>
                    </w:rPr>
                    <w:t>中的管控要求。</w:t>
                  </w:r>
                </w:p>
                <w:p w14:paraId="4173766C">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（4）本项目</w:t>
                  </w:r>
                  <w:r>
                    <w:rPr>
                      <w:rFonts w:hint="eastAsia"/>
                      <w:bCs/>
                      <w:color w:val="000000" w:themeColor="text1"/>
                      <w:szCs w:val="21"/>
                      <w:lang w:val="en-US" w:eastAsia="zh-CN"/>
                      <w14:textFill>
                        <w14:solidFill>
                          <w14:schemeClr w14:val="tx1"/>
                        </w14:solidFill>
                      </w14:textFill>
                    </w:rPr>
                    <w:t>不属于</w:t>
                  </w:r>
                  <w:r>
                    <w:rPr>
                      <w:rFonts w:hint="eastAsia"/>
                      <w:bCs/>
                      <w:color w:val="000000" w:themeColor="text1"/>
                      <w:szCs w:val="21"/>
                      <w14:textFill>
                        <w14:solidFill>
                          <w14:schemeClr w14:val="tx1"/>
                        </w14:solidFill>
                      </w14:textFill>
                    </w:rPr>
                    <w:t>《苏州市产业发展导向目录（2007年本）》中的</w:t>
                  </w:r>
                  <w:r>
                    <w:rPr>
                      <w:color w:val="000000" w:themeColor="text1"/>
                      <w14:textFill>
                        <w14:solidFill>
                          <w14:schemeClr w14:val="tx1"/>
                        </w14:solidFill>
                      </w14:textFill>
                    </w:rPr>
                    <w:t>限制类、禁止类和淘汰类</w:t>
                  </w:r>
                  <w:r>
                    <w:rPr>
                      <w:rFonts w:hint="eastAsia"/>
                      <w:color w:val="000000" w:themeColor="text1"/>
                      <w14:textFill>
                        <w14:solidFill>
                          <w14:schemeClr w14:val="tx1"/>
                        </w14:solidFill>
                      </w14:textFill>
                    </w:rPr>
                    <w:t>产业</w:t>
                  </w:r>
                  <w:r>
                    <w:rPr>
                      <w:bCs/>
                      <w:color w:val="000000" w:themeColor="text1"/>
                      <w:szCs w:val="21"/>
                      <w14:textFill>
                        <w14:solidFill>
                          <w14:schemeClr w14:val="tx1"/>
                        </w14:solidFill>
                      </w14:textFill>
                    </w:rPr>
                    <w:t>。</w:t>
                  </w:r>
                </w:p>
              </w:tc>
              <w:tc>
                <w:tcPr>
                  <w:tcW w:w="419" w:type="pct"/>
                  <w:vAlign w:val="center"/>
                </w:tcPr>
                <w:p w14:paraId="4C6EAADC">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相符</w:t>
                  </w:r>
                </w:p>
              </w:tc>
            </w:tr>
            <w:tr w14:paraId="12EF5C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2" w:type="pct"/>
                  <w:vAlign w:val="center"/>
                </w:tcPr>
                <w:p w14:paraId="2E295503">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p>
              </w:tc>
              <w:tc>
                <w:tcPr>
                  <w:tcW w:w="424" w:type="pct"/>
                  <w:vAlign w:val="center"/>
                </w:tcPr>
                <w:p w14:paraId="325BB7DF">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污染物排放管控</w:t>
                  </w:r>
                </w:p>
              </w:tc>
              <w:tc>
                <w:tcPr>
                  <w:tcW w:w="1925" w:type="pct"/>
                  <w:vAlign w:val="center"/>
                </w:tcPr>
                <w:p w14:paraId="12B1BDA8">
                  <w:pPr>
                    <w:jc w:val="left"/>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（1）坚持生态环境质量只能更好、不能变坏，实施污染物总量控制，以环境容量定产业、定项目、定规模，确保开发建设行为不突破生态环境承载力。</w:t>
                  </w:r>
                </w:p>
                <w:p w14:paraId="5DFEB640">
                  <w:pPr>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（2）2025年苏州市主要污染物排放量达到省定要求。</w:t>
                  </w:r>
                </w:p>
              </w:tc>
              <w:tc>
                <w:tcPr>
                  <w:tcW w:w="1967" w:type="pct"/>
                  <w:vAlign w:val="center"/>
                </w:tcPr>
                <w:p w14:paraId="62A8D865">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（1）本项目废气污染物总量在</w:t>
                  </w:r>
                  <w:r>
                    <w:rPr>
                      <w:rFonts w:hint="eastAsia"/>
                      <w:bCs/>
                      <w:color w:val="000000" w:themeColor="text1"/>
                      <w:szCs w:val="21"/>
                      <w14:textFill>
                        <w14:solidFill>
                          <w14:schemeClr w14:val="tx1"/>
                        </w14:solidFill>
                      </w14:textFill>
                    </w:rPr>
                    <w:t>常熟高新技术开发区</w:t>
                  </w:r>
                  <w:r>
                    <w:rPr>
                      <w:bCs/>
                      <w:color w:val="000000" w:themeColor="text1"/>
                      <w:szCs w:val="21"/>
                      <w14:textFill>
                        <w14:solidFill>
                          <w14:schemeClr w14:val="tx1"/>
                        </w14:solidFill>
                      </w14:textFill>
                    </w:rPr>
                    <w:t>内平衡。</w:t>
                  </w:r>
                </w:p>
                <w:p w14:paraId="28AC2DF6">
                  <w:pPr>
                    <w:rPr>
                      <w:rFonts w:hint="default" w:eastAsia="宋体"/>
                      <w:bCs/>
                      <w:color w:val="000000" w:themeColor="text1"/>
                      <w:szCs w:val="21"/>
                      <w:lang w:val="en-US" w:eastAsia="zh-CN"/>
                      <w14:textFill>
                        <w14:solidFill>
                          <w14:schemeClr w14:val="tx1"/>
                        </w14:solidFill>
                      </w14:textFill>
                    </w:rPr>
                  </w:pPr>
                  <w:r>
                    <w:rPr>
                      <w:bCs/>
                      <w:color w:val="000000" w:themeColor="text1"/>
                      <w:szCs w:val="21"/>
                      <w14:textFill>
                        <w14:solidFill>
                          <w14:schemeClr w14:val="tx1"/>
                        </w14:solidFill>
                      </w14:textFill>
                    </w:rPr>
                    <w:t>（2）本项目废气污染物经处理后可减少排放总量，不会降低区域环境质量</w:t>
                  </w:r>
                  <w:r>
                    <w:rPr>
                      <w:rFonts w:hint="eastAsia"/>
                      <w:bCs/>
                      <w:color w:val="000000" w:themeColor="text1"/>
                      <w:szCs w:val="21"/>
                      <w14:textFill>
                        <w14:solidFill>
                          <w14:schemeClr w14:val="tx1"/>
                        </w14:solidFill>
                      </w14:textFill>
                    </w:rPr>
                    <w:t>。</w:t>
                  </w:r>
                </w:p>
              </w:tc>
              <w:tc>
                <w:tcPr>
                  <w:tcW w:w="419" w:type="pct"/>
                  <w:vAlign w:val="center"/>
                </w:tcPr>
                <w:p w14:paraId="112422F3">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相符</w:t>
                  </w:r>
                </w:p>
              </w:tc>
            </w:tr>
            <w:tr w14:paraId="05DC0A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2" w:type="pct"/>
                  <w:vAlign w:val="center"/>
                </w:tcPr>
                <w:p w14:paraId="17C9BF95">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w:t>
                  </w:r>
                </w:p>
              </w:tc>
              <w:tc>
                <w:tcPr>
                  <w:tcW w:w="424" w:type="pct"/>
                  <w:vAlign w:val="center"/>
                </w:tcPr>
                <w:p w14:paraId="27045528">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环境风险防控</w:t>
                  </w:r>
                </w:p>
              </w:tc>
              <w:tc>
                <w:tcPr>
                  <w:tcW w:w="3200" w:type="dxa"/>
                  <w:vAlign w:val="center"/>
                </w:tcPr>
                <w:p w14:paraId="2A868B97">
                  <w:pPr>
                    <w:jc w:val="left"/>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（1）强化饮用水水源环境风险管控。县级以上城市全部建成应急水源或双源供水。</w:t>
                  </w:r>
                </w:p>
                <w:p w14:paraId="2693FD9E">
                  <w:pPr>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（2）落实《苏州市突发环境事件应急预案》。完善市、县级市（区）两级突发环境事件应急响应体系，定期组织演练，提高应急处置能力。</w:t>
                  </w:r>
                </w:p>
              </w:tc>
              <w:tc>
                <w:tcPr>
                  <w:tcW w:w="3271" w:type="dxa"/>
                  <w:vAlign w:val="center"/>
                </w:tcPr>
                <w:p w14:paraId="7B82EC0D">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（1）本项目环境风险较小，且不在饮用水水源保护区内。</w:t>
                  </w:r>
                </w:p>
                <w:p w14:paraId="0B7EF7D8">
                  <w:pPr>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r>
                    <w:rPr>
                      <w:rFonts w:hint="eastAsia"/>
                      <w:color w:val="000000" w:themeColor="text1"/>
                      <w:kern w:val="0"/>
                      <w:szCs w:val="21"/>
                      <w14:textFill>
                        <w14:solidFill>
                          <w14:schemeClr w14:val="tx1"/>
                        </w14:solidFill>
                      </w14:textFill>
                    </w:rPr>
                    <w:t>本项目建成后，建立与高新区联动的环境风险防范、环境管理等体系，落实环境监测计划</w:t>
                  </w:r>
                  <w:r>
                    <w:rPr>
                      <w:rFonts w:hint="eastAsia"/>
                      <w:bCs/>
                      <w:color w:val="000000" w:themeColor="text1"/>
                      <w:szCs w:val="21"/>
                      <w14:textFill>
                        <w14:solidFill>
                          <w14:schemeClr w14:val="tx1"/>
                        </w14:solidFill>
                      </w14:textFill>
                    </w:rPr>
                    <w:t>。</w:t>
                  </w:r>
                </w:p>
              </w:tc>
              <w:tc>
                <w:tcPr>
                  <w:tcW w:w="419" w:type="pct"/>
                  <w:vAlign w:val="center"/>
                </w:tcPr>
                <w:p w14:paraId="0AB02FBC">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相符</w:t>
                  </w:r>
                </w:p>
              </w:tc>
            </w:tr>
            <w:tr w14:paraId="6AF7E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2" w:type="pct"/>
                  <w:vAlign w:val="center"/>
                </w:tcPr>
                <w:p w14:paraId="7915E928">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w:t>
                  </w:r>
                </w:p>
              </w:tc>
              <w:tc>
                <w:tcPr>
                  <w:tcW w:w="424" w:type="pct"/>
                  <w:vAlign w:val="center"/>
                </w:tcPr>
                <w:p w14:paraId="1AAC8D1C">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资源</w:t>
                  </w:r>
                  <w:r>
                    <w:rPr>
                      <w:rFonts w:hint="eastAsia"/>
                      <w:bCs/>
                      <w:color w:val="000000" w:themeColor="text1"/>
                      <w:szCs w:val="21"/>
                      <w:lang w:val="en-US" w:eastAsia="zh-CN"/>
                      <w14:textFill>
                        <w14:solidFill>
                          <w14:schemeClr w14:val="tx1"/>
                        </w14:solidFill>
                      </w14:textFill>
                    </w:rPr>
                    <w:t>开发</w:t>
                  </w:r>
                  <w:r>
                    <w:rPr>
                      <w:bCs/>
                      <w:color w:val="000000" w:themeColor="text1"/>
                      <w:szCs w:val="21"/>
                      <w14:textFill>
                        <w14:solidFill>
                          <w14:schemeClr w14:val="tx1"/>
                        </w14:solidFill>
                      </w14:textFill>
                    </w:rPr>
                    <w:t>效率要求</w:t>
                  </w:r>
                </w:p>
              </w:tc>
              <w:tc>
                <w:tcPr>
                  <w:tcW w:w="1925" w:type="pct"/>
                  <w:vAlign w:val="center"/>
                </w:tcPr>
                <w:p w14:paraId="7288CD79">
                  <w:pPr>
                    <w:jc w:val="left"/>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（1）2025年苏州市用水总量不得超过103亿立方米。</w:t>
                  </w:r>
                </w:p>
                <w:p w14:paraId="39826CB0">
                  <w:pPr>
                    <w:jc w:val="left"/>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（2）2025年，苏州市耕地保有量完成国家下达任务。</w:t>
                  </w:r>
                </w:p>
                <w:p w14:paraId="4CD06F32">
                  <w:pPr>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（3）禁燃区禁止新建、扩建燃用高污染燃料的项目和设施，已建成的应逐步或依法限期改用天然气、电或者其他清洁能源。</w:t>
                  </w:r>
                </w:p>
              </w:tc>
              <w:tc>
                <w:tcPr>
                  <w:tcW w:w="1967" w:type="pct"/>
                  <w:vAlign w:val="center"/>
                </w:tcPr>
                <w:p w14:paraId="4D024F35">
                  <w:pPr>
                    <w:jc w:val="left"/>
                    <w:rPr>
                      <w:rFonts w:hint="eastAsia"/>
                      <w:bCs/>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1）</w:t>
                  </w:r>
                  <w:r>
                    <w:rPr>
                      <w:rFonts w:hint="eastAsia"/>
                      <w:bCs/>
                      <w:color w:val="000000" w:themeColor="text1"/>
                      <w:szCs w:val="21"/>
                      <w14:textFill>
                        <w14:solidFill>
                          <w14:schemeClr w14:val="tx1"/>
                        </w14:solidFill>
                      </w14:textFill>
                    </w:rPr>
                    <w:t>本项目</w:t>
                  </w:r>
                  <w:r>
                    <w:rPr>
                      <w:rFonts w:hint="eastAsia"/>
                      <w:bCs/>
                      <w:color w:val="000000" w:themeColor="text1"/>
                      <w:szCs w:val="21"/>
                      <w:lang w:val="en-US" w:eastAsia="zh-CN"/>
                      <w14:textFill>
                        <w14:solidFill>
                          <w14:schemeClr w14:val="tx1"/>
                        </w14:solidFill>
                      </w14:textFill>
                    </w:rPr>
                    <w:t>用水量为</w:t>
                  </w:r>
                  <w:r>
                    <w:rPr>
                      <w:rFonts w:hint="eastAsia" w:cs="Times New Roman"/>
                      <w:color w:val="000000" w:themeColor="text1"/>
                      <w:szCs w:val="21"/>
                      <w:highlight w:val="none"/>
                      <w:lang w:val="en-US" w:eastAsia="zh-CN"/>
                      <w14:textFill>
                        <w14:solidFill>
                          <w14:schemeClr w14:val="tx1"/>
                        </w14:solidFill>
                      </w14:textFill>
                    </w:rPr>
                    <w:t>891.0002</w:t>
                  </w:r>
                  <w:r>
                    <w:rPr>
                      <w:rFonts w:hint="default" w:ascii="Times New Roman" w:hAnsi="Times New Roman" w:cs="Times New Roman"/>
                      <w:color w:val="000000" w:themeColor="text1"/>
                      <w:szCs w:val="21"/>
                      <w:highlight w:val="none"/>
                      <w14:textFill>
                        <w14:solidFill>
                          <w14:schemeClr w14:val="tx1"/>
                        </w14:solidFill>
                      </w14:textFill>
                    </w:rPr>
                    <w:t>m</w:t>
                  </w:r>
                  <w:r>
                    <w:rPr>
                      <w:rFonts w:hint="default" w:ascii="Times New Roman" w:hAnsi="Times New Roman" w:cs="Times New Roman"/>
                      <w:color w:val="000000" w:themeColor="text1"/>
                      <w:szCs w:val="21"/>
                      <w:highlight w:val="none"/>
                      <w:vertAlign w:val="superscript"/>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/a</w:t>
                  </w:r>
                  <w:r>
                    <w:rPr>
                      <w:rFonts w:hint="eastAsia"/>
                      <w:bCs/>
                      <w:color w:val="000000" w:themeColor="text1"/>
                      <w:szCs w:val="21"/>
                      <w:lang w:eastAsia="zh-CN"/>
                      <w14:textFill>
                        <w14:solidFill>
                          <w14:schemeClr w14:val="tx1"/>
                        </w14:solidFill>
                      </w14:textFill>
                    </w:rPr>
                    <w:t>。</w:t>
                  </w:r>
                </w:p>
                <w:p w14:paraId="6021B724">
                  <w:pPr>
                    <w:jc w:val="left"/>
                    <w:rPr>
                      <w:rFonts w:hint="eastAsia"/>
                      <w:bCs/>
                      <w:color w:val="000000" w:themeColor="text1"/>
                      <w:szCs w:val="21"/>
                      <w14:textFill>
                        <w14:solidFill>
                          <w14:schemeClr w14:val="tx1"/>
                        </w14:solidFill>
                      </w14:textFill>
                    </w:rPr>
                  </w:pP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2）</w:t>
                  </w:r>
                  <w:r>
                    <w:rPr>
                      <w:rFonts w:hint="eastAsia"/>
                      <w:bCs/>
                      <w:color w:val="000000" w:themeColor="text1"/>
                      <w:szCs w:val="21"/>
                      <w14:textFill>
                        <w14:solidFill>
                          <w14:schemeClr w14:val="tx1"/>
                        </w14:solidFill>
                      </w14:textFill>
                    </w:rPr>
                    <w:t>本项目</w:t>
                  </w:r>
                  <w:r>
                    <w:rPr>
                      <w:rFonts w:hint="eastAsia"/>
                      <w:bCs/>
                      <w:color w:val="000000" w:themeColor="text1"/>
                      <w:szCs w:val="21"/>
                      <w:lang w:val="en-US" w:eastAsia="zh-CN"/>
                      <w14:textFill>
                        <w14:solidFill>
                          <w14:schemeClr w14:val="tx1"/>
                        </w14:solidFill>
                      </w14:textFill>
                    </w:rPr>
                    <w:t>所在地为工业用地，不占用耕地</w:t>
                  </w:r>
                  <w:r>
                    <w:rPr>
                      <w:rFonts w:hint="eastAsia"/>
                      <w:bCs/>
                      <w:color w:val="000000" w:themeColor="text1"/>
                      <w:szCs w:val="21"/>
                      <w14:textFill>
                        <w14:solidFill>
                          <w14:schemeClr w14:val="tx1"/>
                        </w14:solidFill>
                      </w14:textFill>
                    </w:rPr>
                    <w:t>。</w:t>
                  </w:r>
                </w:p>
                <w:p w14:paraId="5D7EAED8">
                  <w:pPr>
                    <w:jc w:val="left"/>
                    <w:rPr>
                      <w:bCs/>
                      <w:color w:val="000000" w:themeColor="text1"/>
                      <w:szCs w:val="21"/>
                      <w14:textFill>
                        <w14:solidFill>
                          <w14:schemeClr w14:val="tx1"/>
                        </w14:solidFill>
                      </w14:textFill>
                    </w:rPr>
                  </w:pP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3）本项目仅使用电能，用电量为</w:t>
                  </w:r>
                  <w:r>
                    <w:rPr>
                      <w:rFonts w:hint="eastAsia" w:cs="Times New Roman"/>
                      <w:color w:val="000000" w:themeColor="text1"/>
                      <w:szCs w:val="21"/>
                      <w:highlight w:val="none"/>
                      <w:lang w:val="en-US" w:eastAsia="zh-CN"/>
                      <w14:textFill>
                        <w14:solidFill>
                          <w14:schemeClr w14:val="tx1"/>
                        </w14:solidFill>
                      </w14:textFill>
                    </w:rPr>
                    <w:t>200</w:t>
                  </w:r>
                  <w:r>
                    <w:rPr>
                      <w:rFonts w:hint="eastAsia" w:ascii="Times New Roman" w:hAnsi="Times New Roman" w:cs="Times New Roman"/>
                      <w:color w:val="000000" w:themeColor="text1"/>
                      <w:szCs w:val="21"/>
                      <w:highlight w:val="none"/>
                      <w:lang w:val="en-US" w:eastAsia="zh-CN"/>
                      <w14:textFill>
                        <w14:solidFill>
                          <w14:schemeClr w14:val="tx1"/>
                        </w14:solidFill>
                      </w14:textFill>
                    </w:rPr>
                    <w:t>万</w:t>
                  </w:r>
                  <w:r>
                    <w:rPr>
                      <w:rFonts w:hint="default" w:ascii="Times New Roman" w:hAnsi="Times New Roman" w:cs="Times New Roman"/>
                      <w:color w:val="000000" w:themeColor="text1"/>
                      <w:szCs w:val="21"/>
                      <w:highlight w:val="none"/>
                      <w14:textFill>
                        <w14:solidFill>
                          <w14:schemeClr w14:val="tx1"/>
                        </w14:solidFill>
                      </w14:textFill>
                    </w:rPr>
                    <w:t>度/a</w:t>
                  </w:r>
                  <w:r>
                    <w:rPr>
                      <w:rFonts w:hint="eastAsia"/>
                      <w:bCs/>
                      <w:color w:val="000000" w:themeColor="text1"/>
                      <w:szCs w:val="21"/>
                      <w:lang w:val="en-US" w:eastAsia="zh-CN"/>
                      <w14:textFill>
                        <w14:solidFill>
                          <w14:schemeClr w14:val="tx1"/>
                        </w14:solidFill>
                      </w14:textFill>
                    </w:rPr>
                    <w:t>。</w:t>
                  </w:r>
                </w:p>
              </w:tc>
              <w:tc>
                <w:tcPr>
                  <w:tcW w:w="419" w:type="pct"/>
                  <w:vAlign w:val="center"/>
                </w:tcPr>
                <w:p w14:paraId="18BEADA9">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相符</w:t>
                  </w:r>
                </w:p>
              </w:tc>
            </w:tr>
          </w:tbl>
          <w:p w14:paraId="6B29E7AB">
            <w:pPr>
              <w:autoSpaceDE w:val="0"/>
              <w:autoSpaceDN w:val="0"/>
              <w:adjustRightInd w:val="0"/>
              <w:snapToGrid w:val="0"/>
              <w:spacing w:line="360" w:lineRule="auto"/>
              <w:ind w:firstLine="422" w:firstLineChars="200"/>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（2）环境质量底线</w:t>
            </w:r>
          </w:p>
          <w:p w14:paraId="6A1985D2">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根据《</w:t>
            </w:r>
            <w:r>
              <w:rPr>
                <w:rFonts w:hint="eastAsia"/>
                <w:color w:val="000000" w:themeColor="text1"/>
                <w:kern w:val="0"/>
                <w14:textFill>
                  <w14:solidFill>
                    <w14:schemeClr w14:val="tx1"/>
                  </w14:solidFill>
                </w14:textFill>
              </w:rPr>
              <w:t>2023年度常熟</w:t>
            </w:r>
            <w:r>
              <w:rPr>
                <w:rFonts w:hint="eastAsia"/>
                <w:color w:val="000000" w:themeColor="text1"/>
                <w:kern w:val="0"/>
                <w:szCs w:val="21"/>
                <w14:textFill>
                  <w14:solidFill>
                    <w14:schemeClr w14:val="tx1"/>
                  </w14:solidFill>
                </w14:textFill>
              </w:rPr>
              <w:t>市生态环境质量报告》可知，</w:t>
            </w:r>
            <w:r>
              <w:rPr>
                <w:color w:val="000000" w:themeColor="text1"/>
                <w:kern w:val="0"/>
                <w14:textFill>
                  <w14:solidFill>
                    <w14:schemeClr w14:val="tx1"/>
                  </w14:solidFill>
                </w14:textFill>
              </w:rPr>
              <w:t>202</w:t>
            </w:r>
            <w:r>
              <w:rPr>
                <w:rFonts w:hint="eastAsia"/>
                <w:color w:val="000000" w:themeColor="text1"/>
                <w:kern w:val="0"/>
                <w14:textFill>
                  <w14:solidFill>
                    <w14:schemeClr w14:val="tx1"/>
                  </w14:solidFill>
                </w14:textFill>
              </w:rPr>
              <w:t>3</w:t>
            </w:r>
            <w:r>
              <w:rPr>
                <w:color w:val="000000" w:themeColor="text1"/>
                <w:kern w:val="0"/>
                <w14:textFill>
                  <w14:solidFill>
                    <w14:schemeClr w14:val="tx1"/>
                  </w14:solidFill>
                </w14:textFill>
              </w:rPr>
              <w:t>年常熟市城区环境空气质量中SO</w:t>
            </w:r>
            <w:r>
              <w:rPr>
                <w:color w:val="000000" w:themeColor="text1"/>
                <w:kern w:val="0"/>
                <w:vertAlign w:val="subscript"/>
                <w14:textFill>
                  <w14:solidFill>
                    <w14:schemeClr w14:val="tx1"/>
                  </w14:solidFill>
                </w14:textFill>
              </w:rPr>
              <w:t>2</w:t>
            </w:r>
            <w:r>
              <w:rPr>
                <w:color w:val="000000" w:themeColor="text1"/>
                <w:kern w:val="0"/>
                <w14:textFill>
                  <w14:solidFill>
                    <w14:schemeClr w14:val="tx1"/>
                  </w14:solidFill>
                </w14:textFill>
              </w:rPr>
              <w:t>、NO</w:t>
            </w:r>
            <w:r>
              <w:rPr>
                <w:color w:val="000000" w:themeColor="text1"/>
                <w:kern w:val="0"/>
                <w:vertAlign w:val="subscript"/>
                <w14:textFill>
                  <w14:solidFill>
                    <w14:schemeClr w14:val="tx1"/>
                  </w14:solidFill>
                </w14:textFill>
              </w:rPr>
              <w:t>2</w:t>
            </w:r>
            <w:r>
              <w:rPr>
                <w:color w:val="000000" w:themeColor="text1"/>
                <w:kern w:val="0"/>
                <w14:textFill>
                  <w14:solidFill>
                    <w14:schemeClr w14:val="tx1"/>
                  </w14:solidFill>
                </w14:textFill>
              </w:rPr>
              <w:t>、PM</w:t>
            </w:r>
            <w:r>
              <w:rPr>
                <w:color w:val="000000" w:themeColor="text1"/>
                <w:kern w:val="0"/>
                <w:vertAlign w:val="subscript"/>
                <w14:textFill>
                  <w14:solidFill>
                    <w14:schemeClr w14:val="tx1"/>
                  </w14:solidFill>
                </w14:textFill>
              </w:rPr>
              <w:t>10</w:t>
            </w:r>
            <w:r>
              <w:rPr>
                <w:color w:val="000000" w:themeColor="text1"/>
                <w:kern w:val="0"/>
                <w14:textFill>
                  <w14:solidFill>
                    <w14:schemeClr w14:val="tx1"/>
                  </w14:solidFill>
                </w14:textFill>
              </w:rPr>
              <w:t>、PM</w:t>
            </w:r>
            <w:r>
              <w:rPr>
                <w:color w:val="000000" w:themeColor="text1"/>
                <w:kern w:val="0"/>
                <w:vertAlign w:val="subscript"/>
                <w14:textFill>
                  <w14:solidFill>
                    <w14:schemeClr w14:val="tx1"/>
                  </w14:solidFill>
                </w14:textFill>
              </w:rPr>
              <w:t>2.5</w:t>
            </w:r>
            <w:r>
              <w:rPr>
                <w:rFonts w:hint="eastAsia"/>
                <w:color w:val="000000" w:themeColor="text1"/>
                <w:kern w:val="0"/>
                <w14:textFill>
                  <w14:solidFill>
                    <w14:schemeClr w14:val="tx1"/>
                  </w14:solidFill>
                </w14:textFill>
              </w:rPr>
              <w:t>、CO均达到国家二级标准，O</w:t>
            </w:r>
            <w:r>
              <w:rPr>
                <w:rFonts w:hint="eastAsia"/>
                <w:color w:val="000000" w:themeColor="text1"/>
                <w:kern w:val="0"/>
                <w:vertAlign w:val="subscript"/>
                <w14:textFill>
                  <w14:solidFill>
                    <w14:schemeClr w14:val="tx1"/>
                  </w14:solidFill>
                </w14:textFill>
              </w:rPr>
              <w:t>3</w:t>
            </w:r>
            <w:r>
              <w:rPr>
                <w:rFonts w:hint="eastAsia"/>
                <w:color w:val="000000" w:themeColor="text1"/>
                <w:kern w:val="0"/>
                <w14:textFill>
                  <w14:solidFill>
                    <w14:schemeClr w14:val="tx1"/>
                  </w14:solidFill>
                </w14:textFill>
              </w:rPr>
              <w:t>未达标，属于不达标区</w:t>
            </w:r>
            <w:r>
              <w:rPr>
                <w:rFonts w:hint="eastAsia"/>
                <w:color w:val="000000" w:themeColor="text1"/>
                <w:kern w:val="0"/>
                <w:szCs w:val="21"/>
                <w14:textFill>
                  <w14:solidFill>
                    <w14:schemeClr w14:val="tx1"/>
                  </w14:solidFill>
                </w14:textFill>
              </w:rPr>
              <w:t>。</w:t>
            </w:r>
            <w:r>
              <w:rPr>
                <w:rFonts w:hint="eastAsia"/>
                <w:color w:val="000000" w:themeColor="text1"/>
                <w:kern w:val="0"/>
                <w14:textFill>
                  <w14:solidFill>
                    <w14:schemeClr w14:val="tx1"/>
                  </w14:solidFill>
                </w14:textFill>
              </w:rPr>
              <w:t>根据</w:t>
            </w:r>
            <w:r>
              <w:rPr>
                <w:rFonts w:hint="eastAsia"/>
                <w:b w:val="0"/>
                <w:bCs w:val="0"/>
                <w:color w:val="000000" w:themeColor="text1"/>
                <w:sz w:val="21"/>
                <w:szCs w:val="21"/>
                <w14:textFill>
                  <w14:solidFill>
                    <w14:schemeClr w14:val="tx1"/>
                  </w14:solidFill>
                </w14:textFill>
              </w:rPr>
              <w:t>《苏州市空气质量持续改善行动计划实施方案》(2024年8月)</w:t>
            </w:r>
            <w:r>
              <w:rPr>
                <w:rFonts w:hint="eastAsia"/>
                <w:bCs/>
                <w:color w:val="000000" w:themeColor="text1"/>
                <w:kern w:val="0"/>
                <w:szCs w:val="21"/>
                <w14:textFill>
                  <w14:solidFill>
                    <w14:schemeClr w14:val="tx1"/>
                  </w14:solidFill>
                </w14:textFill>
              </w:rPr>
              <w:t>，</w:t>
            </w:r>
            <w:r>
              <w:rPr>
                <w:rFonts w:hint="eastAsia"/>
                <w:color w:val="000000" w:themeColor="text1"/>
                <w:sz w:val="21"/>
                <w:szCs w:val="21"/>
                <w:lang w:eastAsia="zh-CN"/>
                <w14:textFill>
                  <w14:solidFill>
                    <w14:schemeClr w14:val="tx1"/>
                  </w14:solidFill>
                </w14:textFill>
              </w:rPr>
              <w:t>力争到</w:t>
            </w:r>
            <w:r>
              <w:rPr>
                <w:rFonts w:hint="eastAsia"/>
                <w:color w:val="000000" w:themeColor="text1"/>
                <w:sz w:val="21"/>
                <w:szCs w:val="21"/>
                <w14:textFill>
                  <w14:solidFill>
                    <w14:schemeClr w14:val="tx1"/>
                  </w14:solidFill>
                </w14:textFill>
              </w:rPr>
              <w:t>2025年，全市PM</w:t>
            </w:r>
            <w:r>
              <w:rPr>
                <w:rFonts w:hint="eastAsia"/>
                <w:color w:val="000000" w:themeColor="text1"/>
                <w:sz w:val="21"/>
                <w:szCs w:val="21"/>
                <w:vertAlign w:val="subscript"/>
                <w14:textFill>
                  <w14:solidFill>
                    <w14:schemeClr w14:val="tx1"/>
                  </w14:solidFill>
                </w14:textFill>
              </w:rPr>
              <w:t>2.5</w:t>
            </w:r>
            <w:r>
              <w:rPr>
                <w:rFonts w:hint="eastAsia"/>
                <w:color w:val="000000" w:themeColor="text1"/>
                <w:sz w:val="21"/>
                <w:szCs w:val="21"/>
                <w14:textFill>
                  <w14:solidFill>
                    <w14:schemeClr w14:val="tx1"/>
                  </w14:solidFill>
                </w14:textFill>
              </w:rPr>
              <w:t>浓度稳定在30微克/立方米以下，重度及以上污染天数控制在1天以内；氮氧化物和VOCs排放总量比2020年分别下降10%以上，完成省下达的减排目标</w:t>
            </w:r>
            <w:r>
              <w:rPr>
                <w:rFonts w:hint="eastAsia"/>
                <w:color w:val="000000" w:themeColor="text1"/>
                <w:kern w:val="0"/>
                <w14:textFill>
                  <w14:solidFill>
                    <w14:schemeClr w14:val="tx1"/>
                  </w14:solidFill>
                </w14:textFill>
              </w:rPr>
              <w:t>；</w:t>
            </w:r>
            <w:r>
              <w:rPr>
                <w:color w:val="000000" w:themeColor="text1"/>
                <w:szCs w:val="21"/>
                <w14:textFill>
                  <w14:solidFill>
                    <w14:schemeClr w14:val="tx1"/>
                  </w14:solidFill>
                </w14:textFill>
              </w:rPr>
              <w:t>根据国务院关于印发《空气质量持续改善行动计划》的通知（国发〔2023〕24号），目标到2025年，全国地级及以上城市PM</w:t>
            </w:r>
            <w:r>
              <w:rPr>
                <w:color w:val="000000" w:themeColor="text1"/>
                <w:szCs w:val="21"/>
                <w:vertAlign w:val="subscript"/>
                <w14:textFill>
                  <w14:solidFill>
                    <w14:schemeClr w14:val="tx1"/>
                  </w14:solidFill>
                </w14:textFill>
              </w:rPr>
              <w:t>2.5</w:t>
            </w:r>
            <w:r>
              <w:rPr>
                <w:color w:val="000000" w:themeColor="text1"/>
                <w:szCs w:val="21"/>
                <w14:textFill>
                  <w14:solidFill>
                    <w14:schemeClr w14:val="tx1"/>
                  </w14:solidFill>
                </w14:textFill>
              </w:rPr>
              <w:t>浓度比2020年下降10%，重度及以上污染天数比率控制在1%以内；氮氧化物和VOCs排放总量比2020年分别下降10%以上，长三角地区PM</w:t>
            </w:r>
            <w:r>
              <w:rPr>
                <w:color w:val="000000" w:themeColor="text1"/>
                <w:szCs w:val="21"/>
                <w:vertAlign w:val="subscript"/>
                <w14:textFill>
                  <w14:solidFill>
                    <w14:schemeClr w14:val="tx1"/>
                  </w14:solidFill>
                </w14:textFill>
              </w:rPr>
              <w:t>2.5</w:t>
            </w:r>
            <w:r>
              <w:rPr>
                <w:color w:val="000000" w:themeColor="text1"/>
                <w:szCs w:val="21"/>
                <w14:textFill>
                  <w14:solidFill>
                    <w14:schemeClr w14:val="tx1"/>
                  </w14:solidFill>
                </w14:textFill>
              </w:rPr>
              <w:t>浓度总体达标</w:t>
            </w:r>
            <w:r>
              <w:rPr>
                <w:rFonts w:hint="eastAsia"/>
                <w:color w:val="000000" w:themeColor="text1"/>
                <w:kern w:val="0"/>
                <w:szCs w:val="21"/>
                <w14:textFill>
                  <w14:solidFill>
                    <w14:schemeClr w14:val="tx1"/>
                  </w14:solidFill>
                </w14:textFill>
              </w:rPr>
              <w:t>。</w:t>
            </w:r>
          </w:p>
          <w:p w14:paraId="7C533F58">
            <w:pPr>
              <w:adjustRightInd w:val="0"/>
              <w:snapToGrid w:val="0"/>
              <w:spacing w:line="360" w:lineRule="auto"/>
              <w:ind w:firstLine="420" w:firstLineChars="200"/>
              <w:rPr>
                <w:color w:val="000000" w:themeColor="text1"/>
                <w:szCs w:val="21"/>
                <w14:textFill>
                  <w14:solidFill>
                    <w14:schemeClr w14:val="tx1"/>
                  </w14:solidFill>
                </w14:textFill>
              </w:rPr>
            </w:pPr>
            <w:r>
              <w:rPr>
                <w:bCs/>
                <w:color w:val="000000" w:themeColor="text1"/>
                <w14:textFill>
                  <w14:solidFill>
                    <w14:schemeClr w14:val="tx1"/>
                  </w14:solidFill>
                </w14:textFill>
              </w:rPr>
              <w:t>常熟市</w:t>
            </w:r>
            <w:r>
              <w:rPr>
                <w:rFonts w:hint="eastAsia"/>
                <w:color w:val="000000" w:themeColor="text1"/>
                <w14:textFill>
                  <w14:solidFill>
                    <w14:schemeClr w14:val="tx1"/>
                  </w14:solidFill>
                </w14:textFill>
              </w:rPr>
              <w:t>工业</w:t>
            </w:r>
            <w:r>
              <w:rPr>
                <w:color w:val="000000" w:themeColor="text1"/>
                <w14:textFill>
                  <w14:solidFill>
                    <w14:schemeClr w14:val="tx1"/>
                  </w14:solidFill>
                </w14:textFill>
              </w:rPr>
              <w:t>区</w:t>
            </w:r>
            <w:r>
              <w:rPr>
                <w:rFonts w:hint="eastAsia"/>
                <w:bCs/>
                <w:color w:val="000000" w:themeColor="text1"/>
                <w14:textFill>
                  <w14:solidFill>
                    <w14:schemeClr w14:val="tx1"/>
                  </w14:solidFill>
                </w14:textFill>
              </w:rPr>
              <w:t>昼间</w:t>
            </w:r>
            <w:r>
              <w:rPr>
                <w:bCs/>
                <w:color w:val="000000" w:themeColor="text1"/>
                <w14:textFill>
                  <w14:solidFill>
                    <w14:schemeClr w14:val="tx1"/>
                  </w14:solidFill>
                </w14:textFill>
              </w:rPr>
              <w:t>噪声监测结果达到《声环境质量标准》（GB3096-2008）中的</w:t>
            </w:r>
            <w:r>
              <w:rPr>
                <w:rFonts w:hint="eastAsia"/>
                <w:bCs/>
                <w:color w:val="000000" w:themeColor="text1"/>
                <w14:textFill>
                  <w14:solidFill>
                    <w14:schemeClr w14:val="tx1"/>
                  </w14:solidFill>
                </w14:textFill>
              </w:rPr>
              <w:t>3</w:t>
            </w:r>
            <w:r>
              <w:rPr>
                <w:bCs/>
                <w:color w:val="000000" w:themeColor="text1"/>
                <w14:textFill>
                  <w14:solidFill>
                    <w14:schemeClr w14:val="tx1"/>
                  </w14:solidFill>
                </w14:textFill>
              </w:rPr>
              <w:t>类标准</w:t>
            </w:r>
            <w:r>
              <w:rPr>
                <w:rFonts w:hint="eastAsia"/>
                <w:bCs/>
                <w:color w:val="000000" w:themeColor="text1"/>
                <w14:textFill>
                  <w14:solidFill>
                    <w14:schemeClr w14:val="tx1"/>
                  </w14:solidFill>
                </w14:textFill>
              </w:rPr>
              <w:t>；</w:t>
            </w:r>
            <w:r>
              <w:rPr>
                <w:rFonts w:hint="eastAsia"/>
                <w:color w:val="000000" w:themeColor="text1"/>
                <w:szCs w:val="21"/>
                <w14:textFill>
                  <w14:solidFill>
                    <w14:schemeClr w14:val="tx1"/>
                  </w14:solidFill>
                </w14:textFill>
              </w:rPr>
              <w:t>纳污水体大滃水质达到《地表水环境质量标准》（GB3838</w:t>
            </w:r>
            <w:r>
              <w:rPr>
                <w:color w:val="000000" w:themeColor="text1"/>
                <w:szCs w:val="21"/>
                <w14:textFill>
                  <w14:solidFill>
                    <w14:schemeClr w14:val="tx1"/>
                  </w14:solidFill>
                </w14:textFill>
              </w:rPr>
              <w:t>-2002）</w:t>
            </w:r>
            <w:r>
              <w:rPr>
                <w:rFonts w:hint="default" w:ascii="Times New Roman" w:hAnsi="Times New Roman" w:cs="Times New Roman"/>
                <w:color w:val="000000" w:themeColor="text1"/>
                <w:szCs w:val="21"/>
                <w:lang w:val="en-US" w:eastAsia="zh-CN"/>
                <w14:textFill>
                  <w14:solidFill>
                    <w14:schemeClr w14:val="tx1"/>
                  </w14:solidFill>
                </w14:textFill>
              </w:rPr>
              <w:t>Ⅲ</w:t>
            </w:r>
            <w:r>
              <w:rPr>
                <w:color w:val="000000" w:themeColor="text1"/>
                <w:szCs w:val="21"/>
                <w14:textFill>
                  <w14:solidFill>
                    <w14:schemeClr w14:val="tx1"/>
                  </w14:solidFill>
                </w14:textFill>
              </w:rPr>
              <w:t>类标准</w:t>
            </w:r>
            <w:r>
              <w:rPr>
                <w:bCs/>
                <w:color w:val="000000" w:themeColor="text1"/>
                <w14:textFill>
                  <w14:solidFill>
                    <w14:schemeClr w14:val="tx1"/>
                  </w14:solidFill>
                </w14:textFill>
              </w:rPr>
              <w:t>。</w:t>
            </w:r>
          </w:p>
          <w:p w14:paraId="178B470D">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本项目建设后会产生一定的污染物，在采取相应的污染防治措施后，各类污染物均能够达标排放，不会对周边环境造成不良影响，不会改变区域功能区质量要求，能够维持环境功能区质量现状，不会突破当地的环境质量底线。</w:t>
            </w:r>
          </w:p>
          <w:p w14:paraId="22CF8DCD">
            <w:pPr>
              <w:autoSpaceDE w:val="0"/>
              <w:autoSpaceDN w:val="0"/>
              <w:adjustRightInd w:val="0"/>
              <w:snapToGrid w:val="0"/>
              <w:spacing w:line="360" w:lineRule="auto"/>
              <w:ind w:firstLine="422" w:firstLineChars="200"/>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（3）资源利用上线</w:t>
            </w:r>
          </w:p>
          <w:p w14:paraId="65F0718E">
            <w:pPr>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本项目用水取自当地市政供水管网，用水量</w:t>
            </w:r>
            <w:r>
              <w:rPr>
                <w:rFonts w:hint="eastAsia"/>
                <w:color w:val="000000" w:themeColor="text1"/>
                <w:szCs w:val="21"/>
                <w:lang w:val="en-US" w:eastAsia="zh-CN"/>
                <w14:textFill>
                  <w14:solidFill>
                    <w14:schemeClr w14:val="tx1"/>
                  </w14:solidFill>
                </w14:textFill>
              </w:rPr>
              <w:t>891.0002</w:t>
            </w:r>
            <w:r>
              <w:rPr>
                <w:rFonts w:hint="eastAsia"/>
                <w:color w:val="000000" w:themeColor="text1"/>
                <w:szCs w:val="21"/>
                <w14:textFill>
                  <w14:solidFill>
                    <w14:schemeClr w14:val="tx1"/>
                  </w14:solidFill>
                </w14:textFill>
              </w:rPr>
              <w:t>t/a，不会对当地自来水供应状况产生明显影响。</w:t>
            </w:r>
            <w:r>
              <w:rPr>
                <w:color w:val="000000" w:themeColor="text1"/>
                <w:szCs w:val="21"/>
                <w14:textFill>
                  <w14:solidFill>
                    <w14:schemeClr w14:val="tx1"/>
                  </w14:solidFill>
                </w14:textFill>
              </w:rPr>
              <w:t>本项目用电来源于区域电网，用电量</w:t>
            </w:r>
            <w:r>
              <w:rPr>
                <w:rFonts w:hint="eastAsia"/>
                <w:color w:val="000000" w:themeColor="text1"/>
                <w:szCs w:val="21"/>
                <w:lang w:val="en-US" w:eastAsia="zh-CN"/>
                <w14:textFill>
                  <w14:solidFill>
                    <w14:schemeClr w14:val="tx1"/>
                  </w14:solidFill>
                </w14:textFill>
              </w:rPr>
              <w:t>200</w:t>
            </w:r>
            <w:r>
              <w:rPr>
                <w:rFonts w:hint="eastAsia"/>
                <w:color w:val="000000" w:themeColor="text1"/>
                <w:szCs w:val="21"/>
                <w14:textFill>
                  <w14:solidFill>
                    <w14:schemeClr w14:val="tx1"/>
                  </w14:solidFill>
                </w14:textFill>
              </w:rPr>
              <w:t>万</w:t>
            </w:r>
            <w:r>
              <w:rPr>
                <w:color w:val="000000" w:themeColor="text1"/>
                <w:szCs w:val="21"/>
                <w14:textFill>
                  <w14:solidFill>
                    <w14:schemeClr w14:val="tx1"/>
                  </w14:solidFill>
                </w14:textFill>
              </w:rPr>
              <w:t>度/年，不会超出当地用电负荷。本项目</w:t>
            </w:r>
            <w:r>
              <w:rPr>
                <w:rFonts w:hint="eastAsia"/>
                <w:color w:val="000000" w:themeColor="text1"/>
                <w:szCs w:val="21"/>
                <w:lang w:val="en-US" w:eastAsia="zh-CN"/>
                <w14:textFill>
                  <w14:solidFill>
                    <w14:schemeClr w14:val="tx1"/>
                  </w14:solidFill>
                </w14:textFill>
              </w:rPr>
              <w:t>利用</w:t>
            </w:r>
            <w:r>
              <w:rPr>
                <w:rFonts w:hint="eastAsia"/>
                <w:color w:val="000000" w:themeColor="text1"/>
                <w:szCs w:val="21"/>
                <w14:textFill>
                  <w14:solidFill>
                    <w14:schemeClr w14:val="tx1"/>
                  </w14:solidFill>
                </w14:textFill>
              </w:rPr>
              <w:t>建筑面积</w:t>
            </w:r>
            <w:r>
              <w:rPr>
                <w:rFonts w:hint="eastAsia"/>
                <w:bCs/>
                <w:color w:val="000000" w:themeColor="text1"/>
                <w:szCs w:val="21"/>
                <w:lang w:val="en-US" w:eastAsia="zh-CN"/>
                <w14:textFill>
                  <w14:solidFill>
                    <w14:schemeClr w14:val="tx1"/>
                  </w14:solidFill>
                </w14:textFill>
              </w:rPr>
              <w:t>3526.28</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进行建设</w:t>
            </w:r>
            <w:r>
              <w:rPr>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不新增用地，</w:t>
            </w:r>
            <w:r>
              <w:rPr>
                <w:color w:val="000000" w:themeColor="text1"/>
                <w:szCs w:val="21"/>
                <w14:textFill>
                  <w14:solidFill>
                    <w14:schemeClr w14:val="tx1"/>
                  </w14:solidFill>
                </w14:textFill>
              </w:rPr>
              <w:t>土地</w:t>
            </w:r>
            <w:r>
              <w:rPr>
                <w:rFonts w:hint="eastAsia"/>
                <w:color w:val="000000" w:themeColor="text1"/>
                <w:szCs w:val="21"/>
                <w14:textFill>
                  <w14:solidFill>
                    <w14:schemeClr w14:val="tx1"/>
                  </w14:solidFill>
                </w14:textFill>
              </w:rPr>
              <w:t>性质</w:t>
            </w:r>
            <w:r>
              <w:rPr>
                <w:color w:val="000000" w:themeColor="text1"/>
                <w:szCs w:val="21"/>
                <w14:textFill>
                  <w14:solidFill>
                    <w14:schemeClr w14:val="tx1"/>
                  </w14:solidFill>
                </w14:textFill>
              </w:rPr>
              <w:t>为</w:t>
            </w:r>
            <w:r>
              <w:rPr>
                <w:rFonts w:hint="eastAsia"/>
                <w:color w:val="000000" w:themeColor="text1"/>
                <w:szCs w:val="21"/>
                <w14:textFill>
                  <w14:solidFill>
                    <w14:schemeClr w14:val="tx1"/>
                  </w14:solidFill>
                </w14:textFill>
              </w:rPr>
              <w:t>工业</w:t>
            </w:r>
            <w:r>
              <w:rPr>
                <w:color w:val="000000" w:themeColor="text1"/>
                <w:szCs w:val="21"/>
                <w14:textFill>
                  <w14:solidFill>
                    <w14:schemeClr w14:val="tx1"/>
                  </w14:solidFill>
                </w14:textFill>
              </w:rPr>
              <w:t>用地</w:t>
            </w:r>
            <w:r>
              <w:rPr>
                <w:rFonts w:hint="eastAsia"/>
                <w:color w:val="000000" w:themeColor="text1"/>
                <w:kern w:val="0"/>
                <w:szCs w:val="21"/>
                <w14:textFill>
                  <w14:solidFill>
                    <w14:schemeClr w14:val="tx1"/>
                  </w14:solidFill>
                </w14:textFill>
              </w:rPr>
              <w:t>。</w:t>
            </w:r>
          </w:p>
          <w:p w14:paraId="581BADC2">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因此，本项目的建设不会达到资源利用上线。</w:t>
            </w:r>
          </w:p>
          <w:p w14:paraId="4508D48B">
            <w:pPr>
              <w:autoSpaceDE w:val="0"/>
              <w:autoSpaceDN w:val="0"/>
              <w:adjustRightInd w:val="0"/>
              <w:snapToGrid w:val="0"/>
              <w:spacing w:line="360" w:lineRule="auto"/>
              <w:ind w:firstLine="422" w:firstLineChars="200"/>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（4）生态环境准入负面清单</w:t>
            </w:r>
          </w:p>
          <w:p w14:paraId="16DDF563">
            <w:pPr>
              <w:spacing w:line="360" w:lineRule="auto"/>
              <w:ind w:firstLine="420" w:firstLineChars="200"/>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①阳澄湖</w:t>
            </w:r>
            <w:r>
              <w:rPr>
                <w:rFonts w:hint="default" w:ascii="Times New Roman" w:hAnsi="Times New Roman" w:eastAsia="宋体" w:cs="Times New Roman"/>
                <w:bCs/>
                <w:color w:val="000000" w:themeColor="text1"/>
                <w:szCs w:val="21"/>
                <w:lang w:val="en-US" w:eastAsia="zh-CN"/>
                <w14:textFill>
                  <w14:solidFill>
                    <w14:schemeClr w14:val="tx1"/>
                  </w14:solidFill>
                </w14:textFill>
              </w:rPr>
              <w:t>政策相符性分析</w:t>
            </w:r>
          </w:p>
          <w:p w14:paraId="39DE7DAC">
            <w:pPr>
              <w:spacing w:line="360" w:lineRule="auto"/>
              <w:ind w:firstLine="420" w:firstLineChars="200"/>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根据《苏州市阳澄湖水源水质保护条例</w:t>
            </w:r>
            <w:r>
              <w:rPr>
                <w:rFonts w:hint="eastAsia" w:ascii="Times New Roman" w:hAnsi="Times New Roman" w:eastAsia="宋体" w:cs="Times New Roman"/>
                <w:bCs/>
                <w:color w:val="000000" w:themeColor="text1"/>
                <w:szCs w:val="21"/>
                <w:lang w:val="en-US" w:eastAsia="zh-CN"/>
                <w14:textFill>
                  <w14:solidFill>
                    <w14:schemeClr w14:val="tx1"/>
                  </w14:solidFill>
                </w14:textFill>
              </w:rPr>
              <w:t>（2018年修改）</w:t>
            </w:r>
            <w:r>
              <w:rPr>
                <w:rFonts w:hint="default" w:ascii="Times New Roman" w:hAnsi="Times New Roman" w:eastAsia="宋体" w:cs="Times New Roman"/>
                <w:bCs/>
                <w:color w:val="000000" w:themeColor="text1"/>
                <w:szCs w:val="21"/>
                <w:lang w:val="en-US" w:eastAsia="zh-CN"/>
                <w14:textFill>
                  <w14:solidFill>
                    <w14:schemeClr w14:val="tx1"/>
                  </w14:solidFill>
                </w14:textFill>
              </w:rPr>
              <w:t>》</w:t>
            </w:r>
            <w:r>
              <w:rPr>
                <w:rFonts w:hint="eastAsia" w:ascii="Times New Roman" w:hAnsi="Times New Roman" w:eastAsia="宋体" w:cs="Times New Roman"/>
                <w:bCs/>
                <w:color w:val="000000" w:themeColor="text1"/>
                <w:szCs w:val="21"/>
                <w:lang w:val="en-US" w:eastAsia="zh-CN"/>
                <w14:textFill>
                  <w14:solidFill>
                    <w14:schemeClr w14:val="tx1"/>
                  </w14:solidFill>
                </w14:textFill>
              </w:rPr>
              <w:t>的</w:t>
            </w:r>
            <w:r>
              <w:rPr>
                <w:rFonts w:hint="default" w:ascii="Times New Roman" w:hAnsi="Times New Roman" w:eastAsia="宋体" w:cs="Times New Roman"/>
                <w:bCs/>
                <w:color w:val="000000" w:themeColor="text1"/>
                <w:szCs w:val="21"/>
                <w:lang w:val="en-US" w:eastAsia="zh-CN"/>
                <w14:textFill>
                  <w14:solidFill>
                    <w14:schemeClr w14:val="tx1"/>
                  </w14:solidFill>
                </w14:textFill>
              </w:rPr>
              <w:t>要求，</w:t>
            </w:r>
            <w:r>
              <w:rPr>
                <w:rFonts w:hint="eastAsia" w:ascii="Times New Roman" w:hAnsi="Times New Roman" w:eastAsia="宋体" w:cs="Times New Roman"/>
                <w:bCs/>
                <w:color w:val="000000" w:themeColor="text1"/>
                <w:szCs w:val="21"/>
                <w:lang w:val="en-US" w:eastAsia="zh-CN"/>
                <w14:textFill>
                  <w14:solidFill>
                    <w14:schemeClr w14:val="tx1"/>
                  </w14:solidFill>
                </w14:textFill>
              </w:rPr>
              <w:t>三级</w:t>
            </w:r>
            <w:r>
              <w:rPr>
                <w:rFonts w:hint="default" w:ascii="Times New Roman" w:hAnsi="Times New Roman" w:eastAsia="宋体" w:cs="Times New Roman"/>
                <w:bCs/>
                <w:color w:val="000000" w:themeColor="text1"/>
                <w:szCs w:val="21"/>
                <w:lang w:val="en-US" w:eastAsia="zh-CN"/>
                <w14:textFill>
                  <w14:solidFill>
                    <w14:schemeClr w14:val="tx1"/>
                  </w14:solidFill>
                </w14:textFill>
              </w:rPr>
              <w:t>保护区内禁止建设化工、制革、制药、造纸、电镀（含线路板蚀刻）、印染、洗毛、酿造、冶炼（含焦化）、炼油、化学品贮存和危险废物贮存、处置、利用项目，禁止在距二级保护区</w:t>
            </w:r>
            <w:r>
              <w:rPr>
                <w:rFonts w:hint="eastAsia" w:ascii="Times New Roman" w:hAnsi="Times New Roman" w:eastAsia="宋体" w:cs="Times New Roman"/>
                <w:bCs/>
                <w:color w:val="000000" w:themeColor="text1"/>
                <w:szCs w:val="21"/>
                <w:lang w:val="en-US" w:eastAsia="zh-CN"/>
                <w14:textFill>
                  <w14:solidFill>
                    <w14:schemeClr w14:val="tx1"/>
                  </w14:solidFill>
                </w14:textFill>
              </w:rPr>
              <w:t>一千</w:t>
            </w:r>
            <w:r>
              <w:rPr>
                <w:rFonts w:hint="default" w:ascii="Times New Roman" w:hAnsi="Times New Roman" w:eastAsia="宋体" w:cs="Times New Roman"/>
                <w:bCs/>
                <w:color w:val="000000" w:themeColor="text1"/>
                <w:szCs w:val="21"/>
                <w:lang w:val="en-US" w:eastAsia="zh-CN"/>
                <w14:textFill>
                  <w14:solidFill>
                    <w14:schemeClr w14:val="tx1"/>
                  </w14:solidFill>
                </w14:textFill>
              </w:rPr>
              <w:t>米内增设排污口。</w:t>
            </w:r>
          </w:p>
          <w:p w14:paraId="5128E7FF">
            <w:pPr>
              <w:spacing w:line="360" w:lineRule="auto"/>
              <w:ind w:firstLine="420" w:firstLineChars="200"/>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本项目位于</w:t>
            </w:r>
            <w:r>
              <w:rPr>
                <w:rFonts w:hint="eastAsia"/>
                <w:color w:val="000000" w:themeColor="text1"/>
                <w:szCs w:val="21"/>
                <w14:textFill>
                  <w14:solidFill>
                    <w14:schemeClr w14:val="tx1"/>
                  </w14:solidFill>
                </w14:textFill>
              </w:rPr>
              <w:t>常熟市东南街道</w:t>
            </w:r>
            <w:r>
              <w:rPr>
                <w:rFonts w:hint="eastAsia"/>
                <w:color w:val="000000" w:themeColor="text1"/>
                <w:szCs w:val="21"/>
                <w:lang w:val="en-US" w:eastAsia="zh-CN"/>
                <w14:textFill>
                  <w14:solidFill>
                    <w14:schemeClr w14:val="tx1"/>
                  </w14:solidFill>
                </w14:textFill>
              </w:rPr>
              <w:t>银环路28-1号10幢102</w:t>
            </w:r>
            <w:r>
              <w:rPr>
                <w:rFonts w:hint="default" w:ascii="Times New Roman" w:hAnsi="Times New Roman" w:eastAsia="宋体" w:cs="Times New Roman"/>
                <w:bCs/>
                <w:color w:val="000000" w:themeColor="text1"/>
                <w:szCs w:val="21"/>
                <w:lang w:val="en-US" w:eastAsia="zh-CN"/>
                <w14:textFill>
                  <w14:solidFill>
                    <w14:schemeClr w14:val="tx1"/>
                  </w14:solidFill>
                </w14:textFill>
              </w:rPr>
              <w:t>，</w:t>
            </w:r>
            <w:r>
              <w:rPr>
                <w:rFonts w:hint="eastAsia" w:ascii="Times New Roman" w:hAnsi="Times New Roman" w:eastAsia="宋体" w:cs="Times New Roman"/>
                <w:bCs/>
                <w:color w:val="000000" w:themeColor="text1"/>
                <w:szCs w:val="21"/>
                <w:lang w:val="en-US" w:eastAsia="zh-CN"/>
                <w14:textFill>
                  <w14:solidFill>
                    <w14:schemeClr w14:val="tx1"/>
                  </w14:solidFill>
                </w14:textFill>
              </w:rPr>
              <w:t>属于</w:t>
            </w:r>
            <w:r>
              <w:rPr>
                <w:rFonts w:hint="default" w:ascii="Times New Roman" w:hAnsi="Times New Roman" w:eastAsia="宋体" w:cs="Times New Roman"/>
                <w:bCs/>
                <w:color w:val="000000" w:themeColor="text1"/>
                <w:szCs w:val="21"/>
                <w:lang w:val="en-US" w:eastAsia="zh-CN"/>
                <w14:textFill>
                  <w14:solidFill>
                    <w14:schemeClr w14:val="tx1"/>
                  </w14:solidFill>
                </w14:textFill>
              </w:rPr>
              <w:t>苏州市阳澄湖水源水质</w:t>
            </w:r>
            <w:r>
              <w:rPr>
                <w:rFonts w:hint="eastAsia" w:ascii="Times New Roman" w:hAnsi="Times New Roman" w:eastAsia="宋体" w:cs="Times New Roman"/>
                <w:bCs/>
                <w:color w:val="000000" w:themeColor="text1"/>
                <w:szCs w:val="21"/>
                <w:lang w:val="en-US" w:eastAsia="zh-CN"/>
                <w14:textFill>
                  <w14:solidFill>
                    <w14:schemeClr w14:val="tx1"/>
                  </w14:solidFill>
                </w14:textFill>
              </w:rPr>
              <w:t>三级</w:t>
            </w:r>
            <w:r>
              <w:rPr>
                <w:rFonts w:hint="default" w:ascii="Times New Roman" w:hAnsi="Times New Roman" w:eastAsia="宋体" w:cs="Times New Roman"/>
                <w:bCs/>
                <w:color w:val="000000" w:themeColor="text1"/>
                <w:szCs w:val="21"/>
                <w:lang w:val="en-US" w:eastAsia="zh-CN"/>
                <w14:textFill>
                  <w14:solidFill>
                    <w14:schemeClr w14:val="tx1"/>
                  </w14:solidFill>
                </w14:textFill>
              </w:rPr>
              <w:t>保护区，距离保护区</w:t>
            </w:r>
            <w:r>
              <w:rPr>
                <w:rFonts w:hint="eastAsia" w:ascii="Times New Roman" w:hAnsi="Times New Roman" w:eastAsia="宋体" w:cs="Times New Roman"/>
                <w:bCs/>
                <w:color w:val="000000" w:themeColor="text1"/>
                <w:szCs w:val="21"/>
                <w:lang w:val="en-US" w:eastAsia="zh-CN"/>
                <w14:textFill>
                  <w14:solidFill>
                    <w14:schemeClr w14:val="tx1"/>
                  </w14:solidFill>
                </w14:textFill>
              </w:rPr>
              <w:t>12.5km</w:t>
            </w:r>
            <w:r>
              <w:rPr>
                <w:rFonts w:hint="default" w:ascii="Times New Roman" w:hAnsi="Times New Roman" w:eastAsia="宋体" w:cs="Times New Roman"/>
                <w:bCs/>
                <w:color w:val="000000" w:themeColor="text1"/>
                <w:szCs w:val="21"/>
                <w:lang w:val="en-US" w:eastAsia="zh-CN"/>
                <w14:textFill>
                  <w14:solidFill>
                    <w14:schemeClr w14:val="tx1"/>
                  </w14:solidFill>
                </w14:textFill>
              </w:rPr>
              <w:t>。本项目</w:t>
            </w:r>
            <w:r>
              <w:rPr>
                <w:rFonts w:hint="eastAsia" w:ascii="Times New Roman" w:hAnsi="Times New Roman" w:eastAsia="宋体" w:cs="Times New Roman"/>
                <w:bCs/>
                <w:color w:val="000000" w:themeColor="text1"/>
                <w:szCs w:val="21"/>
                <w:lang w:val="en-US" w:eastAsia="zh-CN"/>
                <w14:textFill>
                  <w14:solidFill>
                    <w14:schemeClr w14:val="tx1"/>
                  </w14:solidFill>
                </w14:textFill>
              </w:rPr>
              <w:t>行业类别为</w:t>
            </w:r>
            <w:r>
              <w:rPr>
                <w:rFonts w:hint="eastAsia"/>
                <w:color w:val="000000" w:themeColor="text1"/>
                <w:szCs w:val="21"/>
                <w:lang w:val="en-US" w:eastAsia="zh-CN"/>
                <w14:textFill>
                  <w14:solidFill>
                    <w14:schemeClr w14:val="tx1"/>
                  </w14:solidFill>
                </w14:textFill>
              </w:rPr>
              <w:t>橡胶和塑料制品业</w:t>
            </w:r>
            <w:r>
              <w:rPr>
                <w:rFonts w:hint="eastAsia" w:ascii="Times New Roman" w:hAnsi="Times New Roman" w:eastAsia="宋体" w:cs="Times New Roman"/>
                <w:bCs/>
                <w:color w:val="000000" w:themeColor="text1"/>
                <w:szCs w:val="21"/>
                <w:lang w:val="en-US" w:eastAsia="zh-CN"/>
                <w14:textFill>
                  <w14:solidFill>
                    <w14:schemeClr w14:val="tx1"/>
                  </w14:solidFill>
                </w14:textFill>
              </w:rPr>
              <w:t>，不涉及入河排污口，</w:t>
            </w:r>
            <w:r>
              <w:rPr>
                <w:rFonts w:hint="default" w:ascii="Times New Roman" w:hAnsi="Times New Roman" w:eastAsia="宋体" w:cs="Times New Roman"/>
                <w:bCs/>
                <w:color w:val="000000" w:themeColor="text1"/>
                <w:szCs w:val="21"/>
                <w:lang w:val="en-US" w:eastAsia="zh-CN"/>
                <w14:textFill>
                  <w14:solidFill>
                    <w14:schemeClr w14:val="tx1"/>
                  </w14:solidFill>
                </w14:textFill>
              </w:rPr>
              <w:t>符合条例要求。</w:t>
            </w:r>
          </w:p>
          <w:p w14:paraId="39C67136">
            <w:pPr>
              <w:spacing w:line="360" w:lineRule="auto"/>
              <w:ind w:firstLine="420" w:firstLineChars="200"/>
              <w:rPr>
                <w:rFonts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②</w:t>
            </w:r>
            <w:r>
              <w:rPr>
                <w:rFonts w:ascii="Times New Roman" w:hAnsi="Times New Roman" w:eastAsia="宋体" w:cs="Times New Roman"/>
                <w:bCs/>
                <w:color w:val="000000" w:themeColor="text1"/>
                <w:szCs w:val="21"/>
                <w14:textFill>
                  <w14:solidFill>
                    <w14:schemeClr w14:val="tx1"/>
                  </w14:solidFill>
                </w14:textFill>
              </w:rPr>
              <w:t>负面清单相符性分析</w:t>
            </w:r>
          </w:p>
          <w:p w14:paraId="6402C3C3">
            <w:pPr>
              <w:spacing w:line="360" w:lineRule="auto"/>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Ⅰ、长江经济带发展负面清单</w:t>
            </w:r>
          </w:p>
          <w:p w14:paraId="05898DAD">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对照《长江经济带发展负面清单指南（试行，2022年版）》江苏省实施细则条款中的要求</w:t>
            </w:r>
            <w:r>
              <w:rPr>
                <w:bCs/>
                <w:color w:val="000000" w:themeColor="text1"/>
                <w:szCs w:val="21"/>
                <w14:textFill>
                  <w14:solidFill>
                    <w14:schemeClr w14:val="tx1"/>
                  </w14:solidFill>
                </w14:textFill>
              </w:rPr>
              <w:t>，本项目符合其中的管控要求，具体管控要求及对照分析见表1.1-</w:t>
            </w:r>
            <w:r>
              <w:rPr>
                <w:rFonts w:hint="eastAsia"/>
                <w:bCs/>
                <w:color w:val="000000" w:themeColor="text1"/>
                <w:szCs w:val="21"/>
                <w:lang w:val="en-US" w:eastAsia="zh-CN"/>
                <w14:textFill>
                  <w14:solidFill>
                    <w14:schemeClr w14:val="tx1"/>
                  </w14:solidFill>
                </w14:textFill>
              </w:rPr>
              <w:t>6</w:t>
            </w:r>
            <w:r>
              <w:rPr>
                <w:bCs/>
                <w:color w:val="000000" w:themeColor="text1"/>
                <w:szCs w:val="21"/>
                <w14:textFill>
                  <w14:solidFill>
                    <w14:schemeClr w14:val="tx1"/>
                  </w14:solidFill>
                </w14:textFill>
              </w:rPr>
              <w:t>。</w:t>
            </w:r>
          </w:p>
          <w:p w14:paraId="38E8F38A">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表1.1-</w:t>
            </w:r>
            <w:r>
              <w:rPr>
                <w:rFonts w:hint="eastAsia"/>
                <w:b/>
                <w:bCs/>
                <w:color w:val="000000" w:themeColor="text1"/>
                <w:szCs w:val="21"/>
                <w:lang w:val="en-US" w:eastAsia="zh-CN"/>
                <w14:textFill>
                  <w14:solidFill>
                    <w14:schemeClr w14:val="tx1"/>
                  </w14:solidFill>
                </w14:textFill>
              </w:rPr>
              <w:t>6</w:t>
            </w:r>
            <w:r>
              <w:rPr>
                <w:rFonts w:hint="eastAsia"/>
                <w:b/>
                <w:bCs/>
                <w:color w:val="000000" w:themeColor="text1"/>
                <w:szCs w:val="21"/>
                <w14:textFill>
                  <w14:solidFill>
                    <w14:schemeClr w14:val="tx1"/>
                  </w14:solidFill>
                </w14:textFill>
              </w:rPr>
              <w:t xml:space="preserve"> 《长江经济带发展负面清单指南（试行，2022年版）》江苏省实施细则条款相符性分析表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30" w:type="dxa"/>
                <w:bottom w:w="0" w:type="dxa"/>
                <w:right w:w="30" w:type="dxa"/>
              </w:tblCellMar>
            </w:tblPr>
            <w:tblGrid>
              <w:gridCol w:w="6905"/>
              <w:gridCol w:w="553"/>
              <w:gridCol w:w="508"/>
            </w:tblGrid>
            <w:tr w14:paraId="694144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tblHeader/>
                <w:jc w:val="center"/>
              </w:trPr>
              <w:tc>
                <w:tcPr>
                  <w:tcW w:w="4333" w:type="pct"/>
                  <w:noWrap/>
                  <w:vAlign w:val="center"/>
                </w:tcPr>
                <w:p w14:paraId="19BABD52">
                  <w:pPr>
                    <w:snapToGrid w:val="0"/>
                    <w:jc w:val="center"/>
                    <w:rPr>
                      <w:b/>
                      <w:bCs/>
                      <w:color w:val="000000" w:themeColor="text1"/>
                      <w:szCs w:val="21"/>
                      <w14:textFill>
                        <w14:solidFill>
                          <w14:schemeClr w14:val="tx1"/>
                        </w14:solidFill>
                      </w14:textFill>
                    </w:rPr>
                  </w:pPr>
                  <w:r>
                    <w:rPr>
                      <w:b/>
                      <w:color w:val="000000" w:themeColor="text1"/>
                      <w:szCs w:val="21"/>
                      <w:shd w:val="clear" w:color="auto" w:fill="FFFFFF"/>
                      <w14:textFill>
                        <w14:solidFill>
                          <w14:schemeClr w14:val="tx1"/>
                        </w14:solidFill>
                      </w14:textFill>
                    </w:rPr>
                    <w:t>文件相关内容</w:t>
                  </w:r>
                </w:p>
              </w:tc>
              <w:tc>
                <w:tcPr>
                  <w:tcW w:w="347" w:type="pct"/>
                  <w:noWrap/>
                  <w:vAlign w:val="center"/>
                </w:tcPr>
                <w:p w14:paraId="43E2241D">
                  <w:pPr>
                    <w:snapToGrid w:val="0"/>
                    <w:jc w:val="center"/>
                    <w:rPr>
                      <w:b/>
                      <w:color w:val="000000" w:themeColor="text1"/>
                      <w:szCs w:val="21"/>
                      <w:shd w:val="clear" w:color="auto" w:fill="FFFFFF"/>
                      <w14:textFill>
                        <w14:solidFill>
                          <w14:schemeClr w14:val="tx1"/>
                        </w14:solidFill>
                      </w14:textFill>
                    </w:rPr>
                  </w:pPr>
                  <w:r>
                    <w:rPr>
                      <w:rFonts w:hint="eastAsia"/>
                      <w:b/>
                      <w:color w:val="000000" w:themeColor="text1"/>
                      <w:szCs w:val="21"/>
                      <w:shd w:val="clear" w:color="auto" w:fill="FFFFFF"/>
                      <w14:textFill>
                        <w14:solidFill>
                          <w14:schemeClr w14:val="tx1"/>
                        </w14:solidFill>
                      </w14:textFill>
                    </w:rPr>
                    <w:t>本项目</w:t>
                  </w:r>
                </w:p>
              </w:tc>
              <w:tc>
                <w:tcPr>
                  <w:tcW w:w="319" w:type="pct"/>
                  <w:tcBorders>
                    <w:left w:val="single" w:color="auto" w:sz="4" w:space="0"/>
                  </w:tcBorders>
                  <w:noWrap/>
                  <w:vAlign w:val="center"/>
                </w:tcPr>
                <w:p w14:paraId="0ECF27BE">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相符性</w:t>
                  </w:r>
                </w:p>
              </w:tc>
            </w:tr>
            <w:tr w14:paraId="067DAB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4333" w:type="pct"/>
                  <w:tcBorders>
                    <w:right w:val="single" w:color="auto" w:sz="4" w:space="0"/>
                  </w:tcBorders>
                  <w:noWrap/>
                  <w:vAlign w:val="center"/>
                </w:tcPr>
                <w:p w14:paraId="3F66E7D4">
                  <w:pPr>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1、禁止建设不符合国家港口布局规划和《江苏省沿江沿海港口布局规划（2015-2030年）》《江苏省内河港口布局规划（2017-2035年）》以及我省有关港口总体规划的码头项目，禁止建设未纳入《长江干线过江通道布局规划》的过长江通道项目。</w:t>
                  </w:r>
                </w:p>
              </w:tc>
              <w:tc>
                <w:tcPr>
                  <w:tcW w:w="347" w:type="pct"/>
                  <w:tcBorders>
                    <w:right w:val="single" w:color="auto" w:sz="4" w:space="0"/>
                  </w:tcBorders>
                  <w:noWrap/>
                  <w:vAlign w:val="center"/>
                </w:tcPr>
                <w:p w14:paraId="23F7023E">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不涉及</w:t>
                  </w:r>
                </w:p>
              </w:tc>
              <w:tc>
                <w:tcPr>
                  <w:tcW w:w="319" w:type="pct"/>
                  <w:tcBorders>
                    <w:left w:val="single" w:color="auto" w:sz="4" w:space="0"/>
                  </w:tcBorders>
                  <w:noWrap/>
                  <w:vAlign w:val="center"/>
                </w:tcPr>
                <w:p w14:paraId="4132C50B">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73F901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4333" w:type="pct"/>
                  <w:tcBorders>
                    <w:right w:val="single" w:color="auto" w:sz="4" w:space="0"/>
                  </w:tcBorders>
                  <w:noWrap/>
                  <w:vAlign w:val="center"/>
                </w:tcPr>
                <w:p w14:paraId="7B77DF54">
                  <w:pPr>
                    <w:autoSpaceDE w:val="0"/>
                    <w:autoSpaceDN w:val="0"/>
                    <w:adjustRightInd w:val="0"/>
                    <w:snapToGrid w:val="0"/>
                    <w:rPr>
                      <w:color w:val="000000" w:themeColor="text1"/>
                      <w:szCs w:val="21"/>
                      <w:shd w:val="clear" w:color="auto" w:fill="FFFFFF"/>
                      <w14:textFill>
                        <w14:solidFill>
                          <w14:schemeClr w14:val="tx1"/>
                        </w14:solidFill>
                      </w14:textFill>
                    </w:rPr>
                  </w:pPr>
                  <w:r>
                    <w:rPr>
                      <w:color w:val="000000" w:themeColor="text1"/>
                      <w:szCs w:val="21"/>
                      <w:shd w:val="clear" w:color="auto" w:fill="FFFFFF"/>
                      <w14:textFill>
                        <w14:solidFill>
                          <w14:schemeClr w14:val="tx1"/>
                        </w14:solidFill>
                      </w14:textFill>
                    </w:rPr>
                    <w:t>2、严格执行《中华人民共和国自然保护区条例》</w:t>
                  </w:r>
                  <w:r>
                    <w:rPr>
                      <w:rFonts w:hint="eastAsia"/>
                      <w:color w:val="000000" w:themeColor="text1"/>
                      <w:szCs w:val="21"/>
                      <w:shd w:val="clear" w:color="auto" w:fill="FFFFFF"/>
                      <w14:textFill>
                        <w14:solidFill>
                          <w14:schemeClr w14:val="tx1"/>
                        </w14:solidFill>
                      </w14:textFill>
                    </w:rPr>
                    <w:t>，</w:t>
                  </w:r>
                  <w:r>
                    <w:rPr>
                      <w:color w:val="000000" w:themeColor="text1"/>
                      <w:szCs w:val="21"/>
                      <w:shd w:val="clear" w:color="auto" w:fill="FFFFFF"/>
                      <w14:textFill>
                        <w14:solidFill>
                          <w14:schemeClr w14:val="tx1"/>
                        </w14:solidFill>
                      </w14:textFill>
                    </w:rPr>
                    <w:t>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自然保护区、风景名胜区由省林业局会同有关方面界定并落实管控责任。</w:t>
                  </w:r>
                </w:p>
              </w:tc>
              <w:tc>
                <w:tcPr>
                  <w:tcW w:w="347" w:type="pct"/>
                  <w:tcBorders>
                    <w:right w:val="single" w:color="auto" w:sz="4" w:space="0"/>
                  </w:tcBorders>
                  <w:noWrap/>
                  <w:vAlign w:val="center"/>
                </w:tcPr>
                <w:p w14:paraId="3CADE45F">
                  <w:pPr>
                    <w:autoSpaceDE w:val="0"/>
                    <w:autoSpaceDN w:val="0"/>
                    <w:adjustRightInd w:val="0"/>
                    <w:snapToGrid w:val="0"/>
                    <w:jc w:val="center"/>
                    <w:rPr>
                      <w:color w:val="000000" w:themeColor="text1"/>
                      <w:szCs w:val="21"/>
                      <w:shd w:val="clear" w:color="auto" w:fill="FFFFFF"/>
                      <w14:textFill>
                        <w14:solidFill>
                          <w14:schemeClr w14:val="tx1"/>
                        </w14:solidFill>
                      </w14:textFill>
                    </w:rPr>
                  </w:pPr>
                  <w:r>
                    <w:rPr>
                      <w:rFonts w:hint="eastAsia"/>
                      <w:color w:val="000000" w:themeColor="text1"/>
                      <w:szCs w:val="21"/>
                      <w14:textFill>
                        <w14:solidFill>
                          <w14:schemeClr w14:val="tx1"/>
                        </w14:solidFill>
                      </w14:textFill>
                    </w:rPr>
                    <w:t>不涉及</w:t>
                  </w:r>
                </w:p>
              </w:tc>
              <w:tc>
                <w:tcPr>
                  <w:tcW w:w="319" w:type="pct"/>
                  <w:tcBorders>
                    <w:left w:val="single" w:color="auto" w:sz="4" w:space="0"/>
                  </w:tcBorders>
                  <w:noWrap/>
                  <w:vAlign w:val="center"/>
                </w:tcPr>
                <w:p w14:paraId="7624C2E3">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137F36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4333" w:type="pct"/>
                  <w:tcBorders>
                    <w:right w:val="single" w:color="auto" w:sz="4" w:space="0"/>
                  </w:tcBorders>
                  <w:noWrap/>
                  <w:vAlign w:val="center"/>
                </w:tcPr>
                <w:p w14:paraId="7C8A75C3">
                  <w:pPr>
                    <w:autoSpaceDE w:val="0"/>
                    <w:autoSpaceDN w:val="0"/>
                    <w:adjustRightInd w:val="0"/>
                    <w:snapToGrid w:val="0"/>
                    <w:rPr>
                      <w:color w:val="000000" w:themeColor="text1"/>
                      <w:szCs w:val="21"/>
                      <w:shd w:val="clear" w:color="auto" w:fill="FFFFFF"/>
                      <w14:textFill>
                        <w14:solidFill>
                          <w14:schemeClr w14:val="tx1"/>
                        </w14:solidFill>
                      </w14:textFill>
                    </w:rPr>
                  </w:pPr>
                  <w:r>
                    <w:rPr>
                      <w:color w:val="000000" w:themeColor="text1"/>
                      <w:szCs w:val="21"/>
                      <w:shd w:val="clear" w:color="auto" w:fill="FFFFFF"/>
                      <w14:textFill>
                        <w14:solidFill>
                          <w14:schemeClr w14:val="tx1"/>
                        </w14:solidFill>
                      </w14:textFill>
                    </w:rPr>
                    <w:t>3、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347" w:type="pct"/>
                  <w:tcBorders>
                    <w:right w:val="single" w:color="auto" w:sz="4" w:space="0"/>
                  </w:tcBorders>
                  <w:noWrap/>
                  <w:vAlign w:val="center"/>
                </w:tcPr>
                <w:p w14:paraId="47CA45C0">
                  <w:pPr>
                    <w:autoSpaceDE w:val="0"/>
                    <w:autoSpaceDN w:val="0"/>
                    <w:adjustRightInd w:val="0"/>
                    <w:snapToGrid w:val="0"/>
                    <w:jc w:val="center"/>
                    <w:rPr>
                      <w:color w:val="000000" w:themeColor="text1"/>
                      <w:szCs w:val="21"/>
                      <w:shd w:val="clear" w:color="auto" w:fill="FFFFFF"/>
                      <w14:textFill>
                        <w14:solidFill>
                          <w14:schemeClr w14:val="tx1"/>
                        </w14:solidFill>
                      </w14:textFill>
                    </w:rPr>
                  </w:pPr>
                  <w:r>
                    <w:rPr>
                      <w:rFonts w:hint="eastAsia"/>
                      <w:color w:val="000000" w:themeColor="text1"/>
                      <w:szCs w:val="21"/>
                      <w14:textFill>
                        <w14:solidFill>
                          <w14:schemeClr w14:val="tx1"/>
                        </w14:solidFill>
                      </w14:textFill>
                    </w:rPr>
                    <w:t>不涉及</w:t>
                  </w:r>
                </w:p>
              </w:tc>
              <w:tc>
                <w:tcPr>
                  <w:tcW w:w="319" w:type="pct"/>
                  <w:tcBorders>
                    <w:left w:val="single" w:color="auto" w:sz="4" w:space="0"/>
                  </w:tcBorders>
                  <w:noWrap/>
                  <w:vAlign w:val="center"/>
                </w:tcPr>
                <w:p w14:paraId="7145D7F9">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5F295B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4333" w:type="pct"/>
                  <w:tcBorders>
                    <w:right w:val="single" w:color="auto" w:sz="4" w:space="0"/>
                  </w:tcBorders>
                  <w:noWrap/>
                  <w:vAlign w:val="center"/>
                </w:tcPr>
                <w:p w14:paraId="7BB7936B">
                  <w:pPr>
                    <w:autoSpaceDE w:val="0"/>
                    <w:autoSpaceDN w:val="0"/>
                    <w:adjustRightInd w:val="0"/>
                    <w:snapToGrid w:val="0"/>
                    <w:rPr>
                      <w:color w:val="000000" w:themeColor="text1"/>
                      <w:szCs w:val="21"/>
                      <w:shd w:val="clear" w:color="auto" w:fill="FFFFFF"/>
                      <w14:textFill>
                        <w14:solidFill>
                          <w14:schemeClr w14:val="tx1"/>
                        </w14:solidFill>
                      </w14:textFill>
                    </w:rPr>
                  </w:pPr>
                  <w:r>
                    <w:rPr>
                      <w:color w:val="000000" w:themeColor="text1"/>
                      <w:szCs w:val="21"/>
                      <w:shd w:val="clear" w:color="auto" w:fill="FFFFFF"/>
                      <w14:textFill>
                        <w14:solidFill>
                          <w14:schemeClr w14:val="tx1"/>
                        </w14:solidFill>
                      </w14:textFill>
                    </w:rPr>
                    <w:t>4、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水产种质资源保护区、国家湿地公园分别由省农业农村厅、省林业局会同有关方面界定并落实管控责任。</w:t>
                  </w:r>
                </w:p>
              </w:tc>
              <w:tc>
                <w:tcPr>
                  <w:tcW w:w="347" w:type="pct"/>
                  <w:tcBorders>
                    <w:right w:val="single" w:color="auto" w:sz="4" w:space="0"/>
                  </w:tcBorders>
                  <w:noWrap/>
                  <w:vAlign w:val="center"/>
                </w:tcPr>
                <w:p w14:paraId="54402904">
                  <w:pPr>
                    <w:autoSpaceDE w:val="0"/>
                    <w:autoSpaceDN w:val="0"/>
                    <w:adjustRightInd w:val="0"/>
                    <w:snapToGrid w:val="0"/>
                    <w:jc w:val="center"/>
                    <w:rPr>
                      <w:color w:val="000000" w:themeColor="text1"/>
                      <w:szCs w:val="21"/>
                      <w:shd w:val="clear" w:color="auto" w:fill="FFFFFF"/>
                      <w14:textFill>
                        <w14:solidFill>
                          <w14:schemeClr w14:val="tx1"/>
                        </w14:solidFill>
                      </w14:textFill>
                    </w:rPr>
                  </w:pPr>
                  <w:r>
                    <w:rPr>
                      <w:rFonts w:hint="eastAsia"/>
                      <w:color w:val="000000" w:themeColor="text1"/>
                      <w:szCs w:val="21"/>
                      <w14:textFill>
                        <w14:solidFill>
                          <w14:schemeClr w14:val="tx1"/>
                        </w14:solidFill>
                      </w14:textFill>
                    </w:rPr>
                    <w:t>不涉及</w:t>
                  </w:r>
                </w:p>
              </w:tc>
              <w:tc>
                <w:tcPr>
                  <w:tcW w:w="319" w:type="pct"/>
                  <w:tcBorders>
                    <w:left w:val="single" w:color="auto" w:sz="4" w:space="0"/>
                  </w:tcBorders>
                  <w:noWrap/>
                  <w:vAlign w:val="center"/>
                </w:tcPr>
                <w:p w14:paraId="1D95593D">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47D64A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4333" w:type="pct"/>
                  <w:tcBorders>
                    <w:right w:val="single" w:color="auto" w:sz="4" w:space="0"/>
                  </w:tcBorders>
                  <w:noWrap/>
                  <w:vAlign w:val="center"/>
                </w:tcPr>
                <w:p w14:paraId="3B06B985">
                  <w:pPr>
                    <w:autoSpaceDE w:val="0"/>
                    <w:autoSpaceDN w:val="0"/>
                    <w:adjustRightInd w:val="0"/>
                    <w:snapToGrid w:val="0"/>
                    <w:rPr>
                      <w:color w:val="000000" w:themeColor="text1"/>
                      <w:szCs w:val="21"/>
                      <w:shd w:val="clear" w:color="auto" w:fill="FFFFFF"/>
                      <w14:textFill>
                        <w14:solidFill>
                          <w14:schemeClr w14:val="tx1"/>
                        </w14:solidFill>
                      </w14:textFill>
                    </w:rPr>
                  </w:pPr>
                  <w:r>
                    <w:rPr>
                      <w:color w:val="000000" w:themeColor="text1"/>
                      <w:szCs w:val="21"/>
                      <w:shd w:val="clear" w:color="auto" w:fill="FFFFFF"/>
                      <w14:textFill>
                        <w14:solidFill>
                          <w14:schemeClr w14:val="tx1"/>
                        </w14:solidFill>
                      </w14:textFill>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347" w:type="pct"/>
                  <w:tcBorders>
                    <w:right w:val="single" w:color="auto" w:sz="4" w:space="0"/>
                  </w:tcBorders>
                  <w:noWrap/>
                  <w:vAlign w:val="center"/>
                </w:tcPr>
                <w:p w14:paraId="02963AA0">
                  <w:pPr>
                    <w:autoSpaceDE w:val="0"/>
                    <w:autoSpaceDN w:val="0"/>
                    <w:adjustRightInd w:val="0"/>
                    <w:snapToGrid w:val="0"/>
                    <w:jc w:val="center"/>
                    <w:rPr>
                      <w:color w:val="000000" w:themeColor="text1"/>
                      <w:szCs w:val="21"/>
                      <w:shd w:val="clear" w:color="auto" w:fill="FFFFFF"/>
                      <w14:textFill>
                        <w14:solidFill>
                          <w14:schemeClr w14:val="tx1"/>
                        </w14:solidFill>
                      </w14:textFill>
                    </w:rPr>
                  </w:pPr>
                  <w:r>
                    <w:rPr>
                      <w:rFonts w:hint="eastAsia"/>
                      <w:color w:val="000000" w:themeColor="text1"/>
                      <w:szCs w:val="21"/>
                      <w14:textFill>
                        <w14:solidFill>
                          <w14:schemeClr w14:val="tx1"/>
                        </w14:solidFill>
                      </w14:textFill>
                    </w:rPr>
                    <w:t>不涉及</w:t>
                  </w:r>
                </w:p>
              </w:tc>
              <w:tc>
                <w:tcPr>
                  <w:tcW w:w="319" w:type="pct"/>
                  <w:tcBorders>
                    <w:left w:val="single" w:color="auto" w:sz="4" w:space="0"/>
                  </w:tcBorders>
                  <w:noWrap/>
                  <w:vAlign w:val="center"/>
                </w:tcPr>
                <w:p w14:paraId="1CFD66A1">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5AD713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4333" w:type="pct"/>
                  <w:tcBorders>
                    <w:right w:val="single" w:color="auto" w:sz="4" w:space="0"/>
                  </w:tcBorders>
                  <w:noWrap/>
                  <w:vAlign w:val="center"/>
                </w:tcPr>
                <w:p w14:paraId="4BE27DD0">
                  <w:pPr>
                    <w:rPr>
                      <w:color w:val="000000" w:themeColor="text1"/>
                      <w:szCs w:val="21"/>
                      <w:shd w:val="clear" w:color="auto" w:fill="FFFFFF"/>
                      <w14:textFill>
                        <w14:solidFill>
                          <w14:schemeClr w14:val="tx1"/>
                        </w14:solidFill>
                      </w14:textFill>
                    </w:rPr>
                  </w:pPr>
                  <w:r>
                    <w:rPr>
                      <w:color w:val="000000" w:themeColor="text1"/>
                      <w:szCs w:val="21"/>
                      <w:shd w:val="clear" w:color="auto" w:fill="FFFFFF"/>
                      <w14:textFill>
                        <w14:solidFill>
                          <w14:schemeClr w14:val="tx1"/>
                        </w14:solidFill>
                      </w14:textFill>
                    </w:rPr>
                    <w:t>6、禁止未经许可在长江干支流及湖泊新设、改设或扩大排污口。</w:t>
                  </w:r>
                </w:p>
              </w:tc>
              <w:tc>
                <w:tcPr>
                  <w:tcW w:w="347" w:type="pct"/>
                  <w:tcBorders>
                    <w:right w:val="single" w:color="auto" w:sz="4" w:space="0"/>
                  </w:tcBorders>
                  <w:noWrap/>
                  <w:vAlign w:val="center"/>
                </w:tcPr>
                <w:p w14:paraId="6F7A6374">
                  <w:pPr>
                    <w:jc w:val="center"/>
                    <w:rPr>
                      <w:color w:val="000000" w:themeColor="text1"/>
                      <w:szCs w:val="21"/>
                      <w:shd w:val="clear" w:color="auto" w:fill="FFFFFF"/>
                      <w14:textFill>
                        <w14:solidFill>
                          <w14:schemeClr w14:val="tx1"/>
                        </w14:solidFill>
                      </w14:textFill>
                    </w:rPr>
                  </w:pPr>
                  <w:r>
                    <w:rPr>
                      <w:rFonts w:hint="eastAsia"/>
                      <w:color w:val="000000" w:themeColor="text1"/>
                      <w:szCs w:val="21"/>
                      <w14:textFill>
                        <w14:solidFill>
                          <w14:schemeClr w14:val="tx1"/>
                        </w14:solidFill>
                      </w14:textFill>
                    </w:rPr>
                    <w:t>不涉及</w:t>
                  </w:r>
                </w:p>
              </w:tc>
              <w:tc>
                <w:tcPr>
                  <w:tcW w:w="319" w:type="pct"/>
                  <w:tcBorders>
                    <w:left w:val="single" w:color="auto" w:sz="4" w:space="0"/>
                  </w:tcBorders>
                  <w:noWrap/>
                  <w:vAlign w:val="center"/>
                </w:tcPr>
                <w:p w14:paraId="59E2DFC3">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29397C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4333" w:type="pct"/>
                  <w:tcBorders>
                    <w:right w:val="single" w:color="auto" w:sz="4" w:space="0"/>
                  </w:tcBorders>
                  <w:noWrap/>
                  <w:vAlign w:val="center"/>
                </w:tcPr>
                <w:p w14:paraId="33F99618">
                  <w:pPr>
                    <w:rPr>
                      <w:color w:val="000000" w:themeColor="text1"/>
                      <w:szCs w:val="21"/>
                      <w14:textFill>
                        <w14:solidFill>
                          <w14:schemeClr w14:val="tx1"/>
                        </w14:solidFill>
                      </w14:textFill>
                    </w:rPr>
                  </w:pPr>
                  <w:r>
                    <w:rPr>
                      <w:color w:val="000000" w:themeColor="text1"/>
                      <w:szCs w:val="21"/>
                      <w14:textFill>
                        <w14:solidFill>
                          <w14:schemeClr w14:val="tx1"/>
                        </w14:solidFill>
                      </w14:textFill>
                    </w:rPr>
                    <w:t>7、禁止长江干流、长江口、34个列入《率先全面禁捕的长江流域水生生物保护区名录》的水生生物保护区以及省规定的其它禁渔水域开展生产性捕捞。</w:t>
                  </w:r>
                </w:p>
              </w:tc>
              <w:tc>
                <w:tcPr>
                  <w:tcW w:w="347" w:type="pct"/>
                  <w:tcBorders>
                    <w:right w:val="single" w:color="auto" w:sz="4" w:space="0"/>
                  </w:tcBorders>
                  <w:noWrap/>
                  <w:vAlign w:val="center"/>
                </w:tcPr>
                <w:p w14:paraId="2FCB8C4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不涉及</w:t>
                  </w:r>
                </w:p>
              </w:tc>
              <w:tc>
                <w:tcPr>
                  <w:tcW w:w="319" w:type="pct"/>
                  <w:tcBorders>
                    <w:left w:val="single" w:color="auto" w:sz="4" w:space="0"/>
                  </w:tcBorders>
                  <w:noWrap/>
                  <w:vAlign w:val="center"/>
                </w:tcPr>
                <w:p w14:paraId="49F8FF84">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531977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4333" w:type="pct"/>
                  <w:tcBorders>
                    <w:right w:val="single" w:color="auto" w:sz="4" w:space="0"/>
                  </w:tcBorders>
                  <w:noWrap/>
                  <w:vAlign w:val="center"/>
                </w:tcPr>
                <w:p w14:paraId="15FB1B97">
                  <w:pPr>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8、禁止在距离长江干支流岸线一公里范围内新建、扩建化工园区和化工项目。长江干支流一公里按照长江干支流岸线边界（即水利部门河道管理范围边界）向陆域纵深一公里执行。</w:t>
                  </w:r>
                </w:p>
              </w:tc>
              <w:tc>
                <w:tcPr>
                  <w:tcW w:w="347" w:type="pct"/>
                  <w:tcBorders>
                    <w:right w:val="single" w:color="auto" w:sz="4" w:space="0"/>
                  </w:tcBorders>
                  <w:noWrap/>
                  <w:vAlign w:val="center"/>
                </w:tcPr>
                <w:p w14:paraId="7EEC8985">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不涉及</w:t>
                  </w:r>
                </w:p>
              </w:tc>
              <w:tc>
                <w:tcPr>
                  <w:tcW w:w="319" w:type="pct"/>
                  <w:tcBorders>
                    <w:left w:val="single" w:color="auto" w:sz="4" w:space="0"/>
                  </w:tcBorders>
                  <w:noWrap/>
                  <w:vAlign w:val="center"/>
                </w:tcPr>
                <w:p w14:paraId="09C7A7EA">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768581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4333" w:type="pct"/>
                  <w:tcBorders>
                    <w:right w:val="single" w:color="auto" w:sz="4" w:space="0"/>
                  </w:tcBorders>
                  <w:noWrap/>
                  <w:vAlign w:val="center"/>
                </w:tcPr>
                <w:p w14:paraId="55DD19E3">
                  <w:pPr>
                    <w:rPr>
                      <w:color w:val="000000" w:themeColor="text1"/>
                      <w:szCs w:val="21"/>
                      <w14:textFill>
                        <w14:solidFill>
                          <w14:schemeClr w14:val="tx1"/>
                        </w14:solidFill>
                      </w14:textFill>
                    </w:rPr>
                  </w:pPr>
                  <w:r>
                    <w:rPr>
                      <w:color w:val="000000" w:themeColor="text1"/>
                      <w:szCs w:val="21"/>
                      <w14:textFill>
                        <w14:solidFill>
                          <w14:schemeClr w14:val="tx1"/>
                        </w14:solidFill>
                      </w14:textFill>
                    </w:rPr>
                    <w:t>9、禁止在长江干流岸线三公里范围内新建、改建、扩建尾矿库、冶炼渣库和磷石膏库，以提升安全、生态环境保护水平为目的的改建除外。</w:t>
                  </w:r>
                </w:p>
              </w:tc>
              <w:tc>
                <w:tcPr>
                  <w:tcW w:w="347" w:type="pct"/>
                  <w:tcBorders>
                    <w:right w:val="single" w:color="auto" w:sz="4" w:space="0"/>
                  </w:tcBorders>
                  <w:noWrap/>
                  <w:vAlign w:val="center"/>
                </w:tcPr>
                <w:p w14:paraId="55E4959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不涉及</w:t>
                  </w:r>
                </w:p>
              </w:tc>
              <w:tc>
                <w:tcPr>
                  <w:tcW w:w="319" w:type="pct"/>
                  <w:tcBorders>
                    <w:left w:val="single" w:color="auto" w:sz="4" w:space="0"/>
                  </w:tcBorders>
                  <w:noWrap/>
                  <w:vAlign w:val="center"/>
                </w:tcPr>
                <w:p w14:paraId="2C9EEECB">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544FCF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4333" w:type="pct"/>
                  <w:tcBorders>
                    <w:right w:val="single" w:color="auto" w:sz="4" w:space="0"/>
                  </w:tcBorders>
                  <w:noWrap/>
                  <w:vAlign w:val="center"/>
                </w:tcPr>
                <w:p w14:paraId="761E9AAF">
                  <w:pPr>
                    <w:rPr>
                      <w:color w:val="000000" w:themeColor="text1"/>
                      <w:szCs w:val="21"/>
                      <w14:textFill>
                        <w14:solidFill>
                          <w14:schemeClr w14:val="tx1"/>
                        </w14:solidFill>
                      </w14:textFill>
                    </w:rPr>
                  </w:pPr>
                  <w:r>
                    <w:rPr>
                      <w:color w:val="000000" w:themeColor="text1"/>
                      <w:szCs w:val="21"/>
                      <w14:textFill>
                        <w14:solidFill>
                          <w14:schemeClr w14:val="tx1"/>
                        </w14:solidFill>
                      </w14:textFill>
                    </w:rPr>
                    <w:t>10、禁止在太湖流域一、二、三级保护区内开展《江苏省太湖水污染防治条例》禁止的投资建设活动。</w:t>
                  </w:r>
                </w:p>
              </w:tc>
              <w:tc>
                <w:tcPr>
                  <w:tcW w:w="347" w:type="pct"/>
                  <w:tcBorders>
                    <w:right w:val="single" w:color="auto" w:sz="4" w:space="0"/>
                  </w:tcBorders>
                  <w:noWrap/>
                  <w:vAlign w:val="center"/>
                </w:tcPr>
                <w:p w14:paraId="1DE380D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不涉及</w:t>
                  </w:r>
                </w:p>
              </w:tc>
              <w:tc>
                <w:tcPr>
                  <w:tcW w:w="319" w:type="pct"/>
                  <w:tcBorders>
                    <w:left w:val="single" w:color="auto" w:sz="4" w:space="0"/>
                  </w:tcBorders>
                  <w:noWrap/>
                  <w:vAlign w:val="center"/>
                </w:tcPr>
                <w:p w14:paraId="7E8BF886">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28D07B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4333" w:type="pct"/>
                  <w:tcBorders>
                    <w:right w:val="single" w:color="auto" w:sz="4" w:space="0"/>
                  </w:tcBorders>
                  <w:noWrap/>
                  <w:vAlign w:val="center"/>
                </w:tcPr>
                <w:p w14:paraId="7F963F13">
                  <w:pPr>
                    <w:rPr>
                      <w:color w:val="000000" w:themeColor="text1"/>
                      <w:szCs w:val="21"/>
                      <w14:textFill>
                        <w14:solidFill>
                          <w14:schemeClr w14:val="tx1"/>
                        </w14:solidFill>
                      </w14:textFill>
                    </w:rPr>
                  </w:pPr>
                  <w:r>
                    <w:rPr>
                      <w:color w:val="000000" w:themeColor="text1"/>
                      <w:szCs w:val="21"/>
                      <w14:textFill>
                        <w14:solidFill>
                          <w14:schemeClr w14:val="tx1"/>
                        </w14:solidFill>
                      </w14:textFill>
                    </w:rPr>
                    <w:t>11、禁止在沿江地区新建、扩建未纳入国家和省布局规划的燃煤发电项目。</w:t>
                  </w:r>
                </w:p>
              </w:tc>
              <w:tc>
                <w:tcPr>
                  <w:tcW w:w="347" w:type="pct"/>
                  <w:tcBorders>
                    <w:right w:val="single" w:color="auto" w:sz="4" w:space="0"/>
                  </w:tcBorders>
                  <w:noWrap/>
                  <w:vAlign w:val="center"/>
                </w:tcPr>
                <w:p w14:paraId="3125029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不涉及</w:t>
                  </w:r>
                </w:p>
              </w:tc>
              <w:tc>
                <w:tcPr>
                  <w:tcW w:w="319" w:type="pct"/>
                  <w:tcBorders>
                    <w:left w:val="single" w:color="auto" w:sz="4" w:space="0"/>
                  </w:tcBorders>
                  <w:noWrap/>
                  <w:vAlign w:val="center"/>
                </w:tcPr>
                <w:p w14:paraId="431CE53E">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4E7B5B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4333" w:type="pct"/>
                  <w:tcBorders>
                    <w:right w:val="single" w:color="auto" w:sz="4" w:space="0"/>
                  </w:tcBorders>
                  <w:noWrap/>
                  <w:vAlign w:val="center"/>
                </w:tcPr>
                <w:p w14:paraId="3B8F2EAD">
                  <w:pPr>
                    <w:rPr>
                      <w:color w:val="000000" w:themeColor="text1"/>
                      <w:szCs w:val="21"/>
                      <w14:textFill>
                        <w14:solidFill>
                          <w14:schemeClr w14:val="tx1"/>
                        </w14:solidFill>
                      </w14:textFill>
                    </w:rPr>
                  </w:pPr>
                  <w:r>
                    <w:rPr>
                      <w:color w:val="000000" w:themeColor="text1"/>
                      <w:szCs w:val="21"/>
                      <w14:textFill>
                        <w14:solidFill>
                          <w14:schemeClr w14:val="tx1"/>
                        </w14:solidFill>
                      </w14:textFill>
                    </w:rPr>
                    <w:t>12、禁止在合规园区外新建、扩建钢铁、石化、化工、焦化、建材、有色、制浆造纸等高污染项目。合规园区名录按照《〈长江经济带发展负面清单指南（试行，2022年版）〉江苏省实施细则合规园区名录》执行。</w:t>
                  </w:r>
                </w:p>
              </w:tc>
              <w:tc>
                <w:tcPr>
                  <w:tcW w:w="347" w:type="pct"/>
                  <w:tcBorders>
                    <w:right w:val="single" w:color="auto" w:sz="4" w:space="0"/>
                  </w:tcBorders>
                  <w:noWrap/>
                  <w:vAlign w:val="center"/>
                </w:tcPr>
                <w:p w14:paraId="4BB3422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不涉及</w:t>
                  </w:r>
                </w:p>
              </w:tc>
              <w:tc>
                <w:tcPr>
                  <w:tcW w:w="319" w:type="pct"/>
                  <w:tcBorders>
                    <w:left w:val="single" w:color="auto" w:sz="4" w:space="0"/>
                  </w:tcBorders>
                  <w:noWrap/>
                  <w:vAlign w:val="center"/>
                </w:tcPr>
                <w:p w14:paraId="2C36A668">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5D5D4C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4333" w:type="pct"/>
                  <w:tcBorders>
                    <w:right w:val="single" w:color="auto" w:sz="4" w:space="0"/>
                  </w:tcBorders>
                  <w:noWrap/>
                  <w:vAlign w:val="center"/>
                </w:tcPr>
                <w:p w14:paraId="3C5B2C3E">
                  <w:pPr>
                    <w:rPr>
                      <w:color w:val="000000" w:themeColor="text1"/>
                      <w:szCs w:val="21"/>
                      <w14:textFill>
                        <w14:solidFill>
                          <w14:schemeClr w14:val="tx1"/>
                        </w14:solidFill>
                      </w14:textFill>
                    </w:rPr>
                  </w:pPr>
                  <w:r>
                    <w:rPr>
                      <w:color w:val="000000" w:themeColor="text1"/>
                      <w:szCs w:val="21"/>
                      <w14:textFill>
                        <w14:solidFill>
                          <w14:schemeClr w14:val="tx1"/>
                        </w14:solidFill>
                      </w14:textFill>
                    </w:rPr>
                    <w:t>13、禁止在取消化工定位的园区（集中区）内新建化工项目。</w:t>
                  </w:r>
                </w:p>
              </w:tc>
              <w:tc>
                <w:tcPr>
                  <w:tcW w:w="347" w:type="pct"/>
                  <w:tcBorders>
                    <w:right w:val="single" w:color="auto" w:sz="4" w:space="0"/>
                  </w:tcBorders>
                  <w:noWrap/>
                  <w:vAlign w:val="center"/>
                </w:tcPr>
                <w:p w14:paraId="3C92C36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不涉及</w:t>
                  </w:r>
                </w:p>
              </w:tc>
              <w:tc>
                <w:tcPr>
                  <w:tcW w:w="319" w:type="pct"/>
                  <w:tcBorders>
                    <w:left w:val="single" w:color="auto" w:sz="4" w:space="0"/>
                  </w:tcBorders>
                  <w:noWrap/>
                  <w:vAlign w:val="center"/>
                </w:tcPr>
                <w:p w14:paraId="1E9DAF1C">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06172B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4333" w:type="pct"/>
                  <w:tcBorders>
                    <w:right w:val="single" w:color="auto" w:sz="4" w:space="0"/>
                  </w:tcBorders>
                  <w:noWrap/>
                  <w:vAlign w:val="center"/>
                </w:tcPr>
                <w:p w14:paraId="1E134A38">
                  <w:pPr>
                    <w:rPr>
                      <w:color w:val="000000" w:themeColor="text1"/>
                      <w:szCs w:val="21"/>
                      <w14:textFill>
                        <w14:solidFill>
                          <w14:schemeClr w14:val="tx1"/>
                        </w14:solidFill>
                      </w14:textFill>
                    </w:rPr>
                  </w:pPr>
                  <w:r>
                    <w:rPr>
                      <w:color w:val="000000" w:themeColor="text1"/>
                      <w:szCs w:val="21"/>
                      <w14:textFill>
                        <w14:solidFill>
                          <w14:schemeClr w14:val="tx1"/>
                        </w14:solidFill>
                      </w14:textFill>
                    </w:rPr>
                    <w:t>14、禁止在化工企业周边建设不符合安全距离规定的劳动密集型的非化工项目和其他人员密集的公共设施项目。</w:t>
                  </w:r>
                </w:p>
              </w:tc>
              <w:tc>
                <w:tcPr>
                  <w:tcW w:w="347" w:type="pct"/>
                  <w:tcBorders>
                    <w:right w:val="single" w:color="auto" w:sz="4" w:space="0"/>
                  </w:tcBorders>
                  <w:noWrap/>
                  <w:vAlign w:val="center"/>
                </w:tcPr>
                <w:p w14:paraId="228590B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不涉及</w:t>
                  </w:r>
                </w:p>
              </w:tc>
              <w:tc>
                <w:tcPr>
                  <w:tcW w:w="319" w:type="pct"/>
                  <w:tcBorders>
                    <w:left w:val="single" w:color="auto" w:sz="4" w:space="0"/>
                  </w:tcBorders>
                  <w:noWrap/>
                  <w:vAlign w:val="center"/>
                </w:tcPr>
                <w:p w14:paraId="7ED8FE33">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46B528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4333" w:type="pct"/>
                  <w:tcBorders>
                    <w:right w:val="single" w:color="auto" w:sz="4" w:space="0"/>
                  </w:tcBorders>
                  <w:noWrap/>
                  <w:vAlign w:val="center"/>
                </w:tcPr>
                <w:p w14:paraId="20CE48B2">
                  <w:pPr>
                    <w:rPr>
                      <w:color w:val="000000" w:themeColor="text1"/>
                      <w:szCs w:val="21"/>
                      <w14:textFill>
                        <w14:solidFill>
                          <w14:schemeClr w14:val="tx1"/>
                        </w14:solidFill>
                      </w14:textFill>
                    </w:rPr>
                  </w:pPr>
                  <w:r>
                    <w:rPr>
                      <w:color w:val="000000" w:themeColor="text1"/>
                      <w:szCs w:val="21"/>
                      <w14:textFill>
                        <w14:solidFill>
                          <w14:schemeClr w14:val="tx1"/>
                        </w14:solidFill>
                      </w14:textFill>
                    </w:rPr>
                    <w:t>15、禁止新建、扩建不符合国家和省产业政策的尿素、磷铵、电石、烧碱、聚氯乙烯、纯碱等行业新增产能项目。</w:t>
                  </w:r>
                </w:p>
              </w:tc>
              <w:tc>
                <w:tcPr>
                  <w:tcW w:w="347" w:type="pct"/>
                  <w:tcBorders>
                    <w:right w:val="single" w:color="auto" w:sz="4" w:space="0"/>
                  </w:tcBorders>
                  <w:noWrap/>
                  <w:vAlign w:val="center"/>
                </w:tcPr>
                <w:p w14:paraId="4D0EA58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不涉及</w:t>
                  </w:r>
                </w:p>
              </w:tc>
              <w:tc>
                <w:tcPr>
                  <w:tcW w:w="319" w:type="pct"/>
                  <w:tcBorders>
                    <w:left w:val="single" w:color="auto" w:sz="4" w:space="0"/>
                  </w:tcBorders>
                  <w:noWrap/>
                  <w:vAlign w:val="center"/>
                </w:tcPr>
                <w:p w14:paraId="0B0D4807">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1CF1F1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4333" w:type="pct"/>
                  <w:tcBorders>
                    <w:right w:val="single" w:color="auto" w:sz="4" w:space="0"/>
                  </w:tcBorders>
                  <w:noWrap/>
                  <w:vAlign w:val="center"/>
                </w:tcPr>
                <w:p w14:paraId="40E20369">
                  <w:pPr>
                    <w:rPr>
                      <w:color w:val="000000" w:themeColor="text1"/>
                      <w:szCs w:val="21"/>
                      <w14:textFill>
                        <w14:solidFill>
                          <w14:schemeClr w14:val="tx1"/>
                        </w14:solidFill>
                      </w14:textFill>
                    </w:rPr>
                  </w:pPr>
                  <w:r>
                    <w:rPr>
                      <w:color w:val="000000" w:themeColor="text1"/>
                      <w:szCs w:val="21"/>
                      <w14:textFill>
                        <w14:solidFill>
                          <w14:schemeClr w14:val="tx1"/>
                        </w14:solidFill>
                      </w14:textFill>
                    </w:rPr>
                    <w:t>16、禁止新建、改建、扩建高毒、高残留以及对环境影响大的农药原药（化学合成类）项目，禁止新建、扩建不符合国家和省产业政策的农药、医药和染料中间体化工项目。</w:t>
                  </w:r>
                </w:p>
              </w:tc>
              <w:tc>
                <w:tcPr>
                  <w:tcW w:w="347" w:type="pct"/>
                  <w:tcBorders>
                    <w:right w:val="single" w:color="auto" w:sz="4" w:space="0"/>
                  </w:tcBorders>
                  <w:noWrap/>
                  <w:vAlign w:val="center"/>
                </w:tcPr>
                <w:p w14:paraId="3E912C9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不涉及</w:t>
                  </w:r>
                </w:p>
              </w:tc>
              <w:tc>
                <w:tcPr>
                  <w:tcW w:w="319" w:type="pct"/>
                  <w:tcBorders>
                    <w:left w:val="single" w:color="auto" w:sz="4" w:space="0"/>
                  </w:tcBorders>
                  <w:noWrap/>
                  <w:vAlign w:val="center"/>
                </w:tcPr>
                <w:p w14:paraId="71173663">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7741A9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4333" w:type="pct"/>
                  <w:tcBorders>
                    <w:right w:val="single" w:color="auto" w:sz="4" w:space="0"/>
                  </w:tcBorders>
                  <w:noWrap/>
                  <w:vAlign w:val="center"/>
                </w:tcPr>
                <w:p w14:paraId="1819D539">
                  <w:pPr>
                    <w:rPr>
                      <w:color w:val="000000" w:themeColor="text1"/>
                      <w:szCs w:val="21"/>
                      <w14:textFill>
                        <w14:solidFill>
                          <w14:schemeClr w14:val="tx1"/>
                        </w14:solidFill>
                      </w14:textFill>
                    </w:rPr>
                  </w:pPr>
                  <w:r>
                    <w:rPr>
                      <w:color w:val="000000" w:themeColor="text1"/>
                      <w:szCs w:val="21"/>
                      <w14:textFill>
                        <w14:solidFill>
                          <w14:schemeClr w14:val="tx1"/>
                        </w14:solidFill>
                      </w14:textFill>
                    </w:rPr>
                    <w:t>17、禁止新建、扩建不符合国家石化、现代煤化工等产业布局规划的项目，禁止新建独立焦化项目。</w:t>
                  </w:r>
                </w:p>
              </w:tc>
              <w:tc>
                <w:tcPr>
                  <w:tcW w:w="347" w:type="pct"/>
                  <w:tcBorders>
                    <w:right w:val="single" w:color="auto" w:sz="4" w:space="0"/>
                  </w:tcBorders>
                  <w:noWrap/>
                  <w:vAlign w:val="center"/>
                </w:tcPr>
                <w:p w14:paraId="0CCBDE6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不涉及</w:t>
                  </w:r>
                </w:p>
              </w:tc>
              <w:tc>
                <w:tcPr>
                  <w:tcW w:w="319" w:type="pct"/>
                  <w:tcBorders>
                    <w:left w:val="single" w:color="auto" w:sz="4" w:space="0"/>
                  </w:tcBorders>
                  <w:noWrap/>
                  <w:vAlign w:val="center"/>
                </w:tcPr>
                <w:p w14:paraId="4CBF5605">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55A9B6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4333" w:type="pct"/>
                  <w:tcBorders>
                    <w:right w:val="single" w:color="auto" w:sz="4" w:space="0"/>
                  </w:tcBorders>
                  <w:noWrap/>
                  <w:vAlign w:val="center"/>
                </w:tcPr>
                <w:p w14:paraId="52F44688">
                  <w:pPr>
                    <w:rPr>
                      <w:color w:val="000000" w:themeColor="text1"/>
                      <w:szCs w:val="21"/>
                      <w14:textFill>
                        <w14:solidFill>
                          <w14:schemeClr w14:val="tx1"/>
                        </w14:solidFill>
                      </w14:textFill>
                    </w:rPr>
                  </w:pPr>
                  <w:r>
                    <w:rPr>
                      <w:color w:val="000000" w:themeColor="text1"/>
                      <w:szCs w:val="21"/>
                      <w14:textFill>
                        <w14:solidFill>
                          <w14:schemeClr w14:val="tx1"/>
                        </w14:solidFill>
                      </w14:textFill>
                    </w:rPr>
                    <w:t>18、禁止新建、扩建国家《产业结构调整指导目录》《江苏省产业结构调整限制</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淘汰和禁止目录》明确的限制类、淘汰类、禁止类项目，法律法规和相关政策明令禁止的落后产能项目，以及明令淘汰的安全生产落后工艺及装备项目。</w:t>
                  </w:r>
                </w:p>
              </w:tc>
              <w:tc>
                <w:tcPr>
                  <w:tcW w:w="347" w:type="pct"/>
                  <w:tcBorders>
                    <w:right w:val="single" w:color="auto" w:sz="4" w:space="0"/>
                  </w:tcBorders>
                  <w:noWrap/>
                  <w:vAlign w:val="center"/>
                </w:tcPr>
                <w:p w14:paraId="1928AB0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不涉及</w:t>
                  </w:r>
                </w:p>
              </w:tc>
              <w:tc>
                <w:tcPr>
                  <w:tcW w:w="319" w:type="pct"/>
                  <w:tcBorders>
                    <w:left w:val="single" w:color="auto" w:sz="4" w:space="0"/>
                  </w:tcBorders>
                  <w:noWrap/>
                  <w:vAlign w:val="center"/>
                </w:tcPr>
                <w:p w14:paraId="5D91326E">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6FD531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4333" w:type="pct"/>
                  <w:tcBorders>
                    <w:right w:val="single" w:color="auto" w:sz="4" w:space="0"/>
                  </w:tcBorders>
                  <w:noWrap/>
                  <w:vAlign w:val="center"/>
                </w:tcPr>
                <w:p w14:paraId="26E87BE8">
                  <w:pPr>
                    <w:rPr>
                      <w:color w:val="000000" w:themeColor="text1"/>
                      <w:szCs w:val="21"/>
                      <w14:textFill>
                        <w14:solidFill>
                          <w14:schemeClr w14:val="tx1"/>
                        </w14:solidFill>
                      </w14:textFill>
                    </w:rPr>
                  </w:pPr>
                  <w:r>
                    <w:rPr>
                      <w:color w:val="000000" w:themeColor="text1"/>
                      <w:szCs w:val="21"/>
                      <w14:textFill>
                        <w14:solidFill>
                          <w14:schemeClr w14:val="tx1"/>
                        </w14:solidFill>
                      </w14:textFill>
                    </w:rPr>
                    <w:t>19、禁止新建、扩建不符合国家产能置换要求的严重过剩产能行业的项目。禁止新建、扩建不符合要求的高耗能高排放项目。</w:t>
                  </w:r>
                </w:p>
              </w:tc>
              <w:tc>
                <w:tcPr>
                  <w:tcW w:w="347" w:type="pct"/>
                  <w:tcBorders>
                    <w:right w:val="single" w:color="auto" w:sz="4" w:space="0"/>
                  </w:tcBorders>
                  <w:noWrap/>
                  <w:vAlign w:val="center"/>
                </w:tcPr>
                <w:p w14:paraId="352AF2D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不涉及</w:t>
                  </w:r>
                </w:p>
              </w:tc>
              <w:tc>
                <w:tcPr>
                  <w:tcW w:w="319" w:type="pct"/>
                  <w:tcBorders>
                    <w:left w:val="single" w:color="auto" w:sz="4" w:space="0"/>
                  </w:tcBorders>
                  <w:noWrap/>
                  <w:vAlign w:val="center"/>
                </w:tcPr>
                <w:p w14:paraId="4D22F30C">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6AF948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4333" w:type="pct"/>
                  <w:tcBorders>
                    <w:right w:val="single" w:color="auto" w:sz="4" w:space="0"/>
                  </w:tcBorders>
                  <w:noWrap/>
                  <w:vAlign w:val="center"/>
                </w:tcPr>
                <w:p w14:paraId="66C3462D">
                  <w:pPr>
                    <w:rPr>
                      <w:color w:val="000000" w:themeColor="text1"/>
                      <w:szCs w:val="21"/>
                      <w14:textFill>
                        <w14:solidFill>
                          <w14:schemeClr w14:val="tx1"/>
                        </w14:solidFill>
                      </w14:textFill>
                    </w:rPr>
                  </w:pPr>
                  <w:r>
                    <w:rPr>
                      <w:color w:val="000000" w:themeColor="text1"/>
                      <w:szCs w:val="21"/>
                      <w14:textFill>
                        <w14:solidFill>
                          <w14:schemeClr w14:val="tx1"/>
                        </w14:solidFill>
                      </w14:textFill>
                    </w:rPr>
                    <w:t>20、法律法规及相关政策文件有更加严格规定的从其规定。</w:t>
                  </w:r>
                </w:p>
              </w:tc>
              <w:tc>
                <w:tcPr>
                  <w:tcW w:w="347" w:type="pct"/>
                  <w:tcBorders>
                    <w:right w:val="single" w:color="auto" w:sz="4" w:space="0"/>
                  </w:tcBorders>
                  <w:noWrap/>
                  <w:vAlign w:val="center"/>
                </w:tcPr>
                <w:p w14:paraId="3A6FDD1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不涉及</w:t>
                  </w:r>
                </w:p>
              </w:tc>
              <w:tc>
                <w:tcPr>
                  <w:tcW w:w="319" w:type="pct"/>
                  <w:tcBorders>
                    <w:left w:val="single" w:color="auto" w:sz="4" w:space="0"/>
                  </w:tcBorders>
                  <w:noWrap/>
                  <w:vAlign w:val="center"/>
                </w:tcPr>
                <w:p w14:paraId="387B460E">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bl>
          <w:p w14:paraId="5C1F0FD0">
            <w:pPr>
              <w:spacing w:line="42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Ⅱ、常熟高新技术产业开发区生态环境准入清单</w:t>
            </w:r>
          </w:p>
          <w:p w14:paraId="6A4238F0">
            <w:pPr>
              <w:spacing w:line="420" w:lineRule="exact"/>
              <w:ind w:firstLine="420" w:firstLineChars="200"/>
              <w:rPr>
                <w:b/>
                <w:color w:val="000000" w:themeColor="text1"/>
                <w:szCs w:val="21"/>
                <w14:textFill>
                  <w14:solidFill>
                    <w14:schemeClr w14:val="tx1"/>
                  </w14:solidFill>
                </w14:textFill>
              </w:rPr>
            </w:pPr>
            <w:r>
              <w:rPr>
                <w:bCs/>
                <w:color w:val="000000" w:themeColor="text1"/>
                <w:szCs w:val="21"/>
                <w14:textFill>
                  <w14:solidFill>
                    <w14:schemeClr w14:val="tx1"/>
                  </w14:solidFill>
                </w14:textFill>
              </w:rPr>
              <w:t>根据《常熟高新技术产业开发区发展总体规划（2016~2030）环境影响报告书》制定的生态环境准入清单见下表。</w:t>
            </w:r>
          </w:p>
          <w:p w14:paraId="39206B15">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表1.1-</w:t>
            </w:r>
            <w:r>
              <w:rPr>
                <w:rFonts w:hint="eastAsia"/>
                <w:b/>
                <w:color w:val="000000" w:themeColor="text1"/>
                <w:szCs w:val="21"/>
                <w:lang w:val="en-US" w:eastAsia="zh-CN"/>
                <w14:textFill>
                  <w14:solidFill>
                    <w14:schemeClr w14:val="tx1"/>
                  </w14:solidFill>
                </w14:textFill>
              </w:rPr>
              <w:t>7</w:t>
            </w:r>
            <w:r>
              <w:rPr>
                <w:rFonts w:hint="eastAsia"/>
                <w:b/>
                <w:color w:val="000000" w:themeColor="text1"/>
                <w:szCs w:val="21"/>
                <w14:textFill>
                  <w14:solidFill>
                    <w14:schemeClr w14:val="tx1"/>
                  </w14:solidFill>
                </w14:textFill>
              </w:rPr>
              <w:t xml:space="preserve">  常熟高新技术产业开发区生态环境准入清单</w:t>
            </w:r>
            <w:r>
              <w:rPr>
                <w:rFonts w:hint="eastAsia"/>
                <w:b/>
                <w:bCs/>
                <w:color w:val="000000" w:themeColor="text1"/>
                <w:szCs w:val="21"/>
                <w14:textFill>
                  <w14:solidFill>
                    <w14:schemeClr w14:val="tx1"/>
                  </w14:solidFill>
                </w14:textFill>
              </w:rPr>
              <w:t>相符性分析表</w:t>
            </w:r>
          </w:p>
          <w:tbl>
            <w:tblPr>
              <w:tblStyle w:val="22"/>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4065"/>
              <w:gridCol w:w="1860"/>
              <w:gridCol w:w="913"/>
            </w:tblGrid>
            <w:tr w14:paraId="6AD39F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7" w:type="dxa"/>
                  <w:noWrap/>
                  <w:vAlign w:val="center"/>
                </w:tcPr>
                <w:p w14:paraId="185F7287">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清单类型</w:t>
                  </w:r>
                </w:p>
              </w:tc>
              <w:tc>
                <w:tcPr>
                  <w:tcW w:w="4065" w:type="dxa"/>
                  <w:noWrap/>
                  <w:vAlign w:val="center"/>
                </w:tcPr>
                <w:p w14:paraId="525C7CD7">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类别</w:t>
                  </w:r>
                </w:p>
              </w:tc>
              <w:tc>
                <w:tcPr>
                  <w:tcW w:w="1860" w:type="dxa"/>
                  <w:noWrap/>
                  <w:vAlign w:val="center"/>
                </w:tcPr>
                <w:p w14:paraId="47DFCACF">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本项目</w:t>
                  </w:r>
                </w:p>
              </w:tc>
              <w:tc>
                <w:tcPr>
                  <w:tcW w:w="913" w:type="dxa"/>
                  <w:noWrap/>
                  <w:vAlign w:val="center"/>
                </w:tcPr>
                <w:p w14:paraId="1DF0A773">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相符性</w:t>
                  </w:r>
                </w:p>
              </w:tc>
            </w:tr>
            <w:tr w14:paraId="68D2F7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7" w:type="dxa"/>
                  <w:noWrap/>
                  <w:vAlign w:val="center"/>
                </w:tcPr>
                <w:p w14:paraId="4128A5A6">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行业准入</w:t>
                  </w:r>
                </w:p>
                <w:p w14:paraId="34A10F51">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（限制禁止类）</w:t>
                  </w:r>
                </w:p>
              </w:tc>
              <w:tc>
                <w:tcPr>
                  <w:tcW w:w="4065" w:type="dxa"/>
                  <w:noWrap/>
                  <w:vAlign w:val="center"/>
                </w:tcPr>
                <w:p w14:paraId="54FA8672">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1.装备制造产业：禁止建设高挥发性有机物含量溶剂、胶黏剂的项目；纯电镀项目</w:t>
                  </w:r>
                  <w:r>
                    <w:rPr>
                      <w:rFonts w:hint="eastAsia"/>
                      <w:bCs/>
                      <w:color w:val="000000" w:themeColor="text1"/>
                      <w:szCs w:val="21"/>
                      <w14:textFill>
                        <w14:solidFill>
                          <w14:schemeClr w14:val="tx1"/>
                        </w14:solidFill>
                      </w14:textFill>
                    </w:rPr>
                    <w:t>。</w:t>
                  </w:r>
                </w:p>
                <w:p w14:paraId="505F6F86">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2.汽车及零部件产业：禁止建设高挥发性有机物含量溶剂、胶黏剂的项目</w:t>
                  </w:r>
                  <w:r>
                    <w:rPr>
                      <w:rFonts w:hint="eastAsia"/>
                      <w:bCs/>
                      <w:color w:val="000000" w:themeColor="text1"/>
                      <w:szCs w:val="21"/>
                      <w14:textFill>
                        <w14:solidFill>
                          <w14:schemeClr w14:val="tx1"/>
                        </w14:solidFill>
                      </w14:textFill>
                    </w:rPr>
                    <w:t>。</w:t>
                  </w:r>
                </w:p>
                <w:p w14:paraId="56B2F3F5">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3.电子信息产业：禁止建设纯电镀项目</w:t>
                  </w:r>
                  <w:r>
                    <w:rPr>
                      <w:rFonts w:hint="eastAsia"/>
                      <w:bCs/>
                      <w:color w:val="000000" w:themeColor="text1"/>
                      <w:szCs w:val="21"/>
                      <w14:textFill>
                        <w14:solidFill>
                          <w14:schemeClr w14:val="tx1"/>
                        </w14:solidFill>
                      </w14:textFill>
                    </w:rPr>
                    <w:t>。</w:t>
                  </w:r>
                </w:p>
                <w:p w14:paraId="3096F846">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4.新建、改建、扩建化学制浆造纸、制革、酿造、染料、印染、电镀及其他排放含氮磷等污染物的企业和项目（战略性新兴产业及现有含氮磷污染物项目改建需实施氮磷污染物年排放总量减量替代）。</w:t>
                  </w:r>
                </w:p>
              </w:tc>
              <w:tc>
                <w:tcPr>
                  <w:tcW w:w="1860" w:type="dxa"/>
                  <w:noWrap/>
                  <w:vAlign w:val="center"/>
                </w:tcPr>
                <w:p w14:paraId="1FF034BE">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本项目行业类别为</w:t>
                  </w:r>
                  <w:r>
                    <w:rPr>
                      <w:rFonts w:hint="eastAsia"/>
                      <w:color w:val="000000" w:themeColor="text1"/>
                      <w:szCs w:val="21"/>
                      <w14:textFill>
                        <w14:solidFill>
                          <w14:schemeClr w14:val="tx1"/>
                        </w14:solidFill>
                      </w14:textFill>
                    </w:rPr>
                    <w:t>C2929塑料零件及塑料制品制造</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产品为医药冷链盒、医用水箱、汽车风管、工具箱</w:t>
                  </w:r>
                  <w:r>
                    <w:rPr>
                      <w:rFonts w:hint="eastAsia"/>
                      <w:bCs/>
                      <w:color w:val="000000" w:themeColor="text1"/>
                      <w:szCs w:val="21"/>
                      <w14:textFill>
                        <w14:solidFill>
                          <w14:schemeClr w14:val="tx1"/>
                        </w14:solidFill>
                      </w14:textFill>
                    </w:rPr>
                    <w:t>。</w:t>
                  </w:r>
                </w:p>
                <w:p w14:paraId="5B88A8E5">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本项目使用的</w:t>
                  </w:r>
                  <w:r>
                    <w:rPr>
                      <w:rFonts w:hint="eastAsia"/>
                      <w:bCs/>
                      <w:color w:val="000000" w:themeColor="text1"/>
                      <w:szCs w:val="21"/>
                      <w:lang w:val="en-US" w:eastAsia="zh-CN"/>
                      <w14:textFill>
                        <w14:solidFill>
                          <w14:schemeClr w14:val="tx1"/>
                        </w14:solidFill>
                      </w14:textFill>
                    </w:rPr>
                    <w:t>溶剂油墨</w:t>
                  </w:r>
                  <w:r>
                    <w:rPr>
                      <w:rFonts w:hint="eastAsia"/>
                      <w:bCs/>
                      <w:color w:val="000000" w:themeColor="text1"/>
                      <w:szCs w:val="21"/>
                      <w14:textFill>
                        <w14:solidFill>
                          <w14:schemeClr w14:val="tx1"/>
                        </w14:solidFill>
                      </w14:textFill>
                    </w:rPr>
                    <w:t>符合</w:t>
                  </w:r>
                  <w:r>
                    <w:rPr>
                      <w:rFonts w:hint="eastAsia"/>
                      <w:color w:val="000000" w:themeColor="text1"/>
                      <w:kern w:val="0"/>
                      <w:szCs w:val="21"/>
                      <w14:textFill>
                        <w14:solidFill>
                          <w14:schemeClr w14:val="tx1"/>
                        </w14:solidFill>
                      </w14:textFill>
                    </w:rPr>
                    <w:t>《油墨中可挥发性有机化合物（VOCs）含量的限值》（GB38507-2020）</w:t>
                  </w:r>
                  <w:r>
                    <w:rPr>
                      <w:rFonts w:hint="eastAsia"/>
                      <w:color w:val="000000" w:themeColor="text1"/>
                      <w:kern w:val="0"/>
                      <w14:textFill>
                        <w14:solidFill>
                          <w14:schemeClr w14:val="tx1"/>
                        </w14:solidFill>
                      </w14:textFill>
                    </w:rPr>
                    <w:t>的要求</w:t>
                  </w:r>
                  <w:r>
                    <w:rPr>
                      <w:rFonts w:hint="eastAsia"/>
                      <w:color w:val="000000" w:themeColor="text1"/>
                      <w:kern w:val="0"/>
                      <w:lang w:eastAsia="zh-CN"/>
                      <w14:textFill>
                        <w14:solidFill>
                          <w14:schemeClr w14:val="tx1"/>
                        </w14:solidFill>
                      </w14:textFill>
                    </w:rPr>
                    <w:t>，</w:t>
                  </w:r>
                  <w:r>
                    <w:rPr>
                      <w:rFonts w:hint="eastAsia"/>
                      <w:color w:val="000000" w:themeColor="text1"/>
                      <w:kern w:val="0"/>
                      <w:lang w:val="en-US" w:eastAsia="zh-CN"/>
                      <w14:textFill>
                        <w14:solidFill>
                          <w14:schemeClr w14:val="tx1"/>
                        </w14:solidFill>
                      </w14:textFill>
                    </w:rPr>
                    <w:t>清洗剂符合《清洗剂挥发性有机化合物含量限值》（GB38508-2020）的要求</w:t>
                  </w:r>
                  <w:r>
                    <w:rPr>
                      <w:rFonts w:hint="eastAsia"/>
                      <w:bCs/>
                      <w:color w:val="000000" w:themeColor="text1"/>
                      <w:szCs w:val="21"/>
                      <w14:textFill>
                        <w14:solidFill>
                          <w14:schemeClr w14:val="tx1"/>
                        </w14:solidFill>
                      </w14:textFill>
                    </w:rPr>
                    <w:t>。</w:t>
                  </w:r>
                </w:p>
              </w:tc>
              <w:tc>
                <w:tcPr>
                  <w:tcW w:w="913" w:type="dxa"/>
                  <w:noWrap/>
                  <w:vAlign w:val="center"/>
                </w:tcPr>
                <w:p w14:paraId="47780A30">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相符</w:t>
                  </w:r>
                </w:p>
              </w:tc>
            </w:tr>
            <w:tr w14:paraId="2A3BAD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7" w:type="dxa"/>
                  <w:noWrap/>
                  <w:vAlign w:val="center"/>
                </w:tcPr>
                <w:p w14:paraId="63F94189">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空间布局约束</w:t>
                  </w:r>
                </w:p>
              </w:tc>
              <w:tc>
                <w:tcPr>
                  <w:tcW w:w="4065" w:type="dxa"/>
                  <w:noWrap/>
                  <w:vAlign w:val="center"/>
                </w:tcPr>
                <w:p w14:paraId="3E3BD1AA">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严格执行《江苏省长江经济带发展负面清单实施细则》、《关于促进长三角地区经济社会与生态环境保护协调发展的指导意见》、水十条、土十条、《“263”专项行动实施方案》、《江苏省太湖水污染防治条例》等文件要求。</w:t>
                  </w:r>
                </w:p>
                <w:p w14:paraId="64EB2D81">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 禁止铁路、公路及主要城市道路防护绿带、水系防护绿带、高压走廊防护绿地、工业区与居住区之间的防护绿带、市政设施周围防护绿带内的开发建设</w:t>
                  </w:r>
                  <w:r>
                    <w:rPr>
                      <w:rFonts w:hint="eastAsia"/>
                      <w:bCs/>
                      <w:color w:val="000000" w:themeColor="text1"/>
                      <w:szCs w:val="21"/>
                      <w14:textFill>
                        <w14:solidFill>
                          <w14:schemeClr w14:val="tx1"/>
                        </w14:solidFill>
                      </w14:textFill>
                    </w:rPr>
                    <w:t>。</w:t>
                  </w:r>
                </w:p>
                <w:p w14:paraId="6656261F">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2.居住用地周边100米范围内工业用地禁止引入含喷涂、酸洗等项目、禁止建设危化品仓库</w:t>
                  </w:r>
                  <w:r>
                    <w:rPr>
                      <w:rFonts w:hint="eastAsia"/>
                      <w:bCs/>
                      <w:color w:val="000000" w:themeColor="text1"/>
                      <w:szCs w:val="21"/>
                      <w14:textFill>
                        <w14:solidFill>
                          <w14:schemeClr w14:val="tx1"/>
                        </w14:solidFill>
                      </w14:textFill>
                    </w:rPr>
                    <w:t>。</w:t>
                  </w:r>
                </w:p>
                <w:p w14:paraId="5A1B78E1">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3.禁止重要湿地生态空间管控区域内不符合管控要求的开发建设</w:t>
                  </w:r>
                  <w:r>
                    <w:rPr>
                      <w:rFonts w:hint="eastAsia"/>
                      <w:bCs/>
                      <w:color w:val="000000" w:themeColor="text1"/>
                      <w:szCs w:val="21"/>
                      <w14:textFill>
                        <w14:solidFill>
                          <w14:schemeClr w14:val="tx1"/>
                        </w14:solidFill>
                      </w14:textFill>
                    </w:rPr>
                    <w:t>。</w:t>
                  </w:r>
                </w:p>
                <w:p w14:paraId="33E2604A">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4.城市总体规划中的非建设用地（农林用地），在城市总规修编批复前暂缓开发。</w:t>
                  </w:r>
                </w:p>
              </w:tc>
              <w:tc>
                <w:tcPr>
                  <w:tcW w:w="1860" w:type="dxa"/>
                  <w:noWrap/>
                  <w:vAlign w:val="center"/>
                </w:tcPr>
                <w:p w14:paraId="6F62D406">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本项目所在地为工业</w:t>
                  </w:r>
                  <w:r>
                    <w:rPr>
                      <w:rFonts w:hint="eastAsia"/>
                      <w:bCs/>
                      <w:color w:val="000000" w:themeColor="text1"/>
                      <w:szCs w:val="21"/>
                      <w:highlight w:val="none"/>
                      <w14:textFill>
                        <w14:solidFill>
                          <w14:schemeClr w14:val="tx1"/>
                        </w14:solidFill>
                      </w14:textFill>
                    </w:rPr>
                    <w:t>用地，项目以</w:t>
                  </w:r>
                  <w:r>
                    <w:rPr>
                      <w:rFonts w:hint="eastAsia"/>
                      <w:bCs/>
                      <w:color w:val="000000" w:themeColor="text1"/>
                      <w:szCs w:val="21"/>
                      <w:highlight w:val="none"/>
                      <w:lang w:val="en-US" w:eastAsia="zh-CN"/>
                      <w14:textFill>
                        <w14:solidFill>
                          <w14:schemeClr w14:val="tx1"/>
                        </w14:solidFill>
                      </w14:textFill>
                    </w:rPr>
                    <w:t>生产厂房</w:t>
                  </w:r>
                  <w:r>
                    <w:rPr>
                      <w:rFonts w:hint="eastAsia"/>
                      <w:bCs/>
                      <w:color w:val="000000" w:themeColor="text1"/>
                      <w:szCs w:val="21"/>
                      <w:highlight w:val="none"/>
                      <w14:textFill>
                        <w14:solidFill>
                          <w14:schemeClr w14:val="tx1"/>
                        </w14:solidFill>
                      </w14:textFill>
                    </w:rPr>
                    <w:t>边界为起点设置100m卫生防护距离，</w:t>
                  </w:r>
                  <w:r>
                    <w:rPr>
                      <w:rFonts w:hint="eastAsia"/>
                      <w:bCs/>
                      <w:color w:val="000000" w:themeColor="text1"/>
                      <w:szCs w:val="21"/>
                      <w14:textFill>
                        <w14:solidFill>
                          <w14:schemeClr w14:val="tx1"/>
                        </w14:solidFill>
                      </w14:textFill>
                    </w:rPr>
                    <w:t>范围内无居民点等敏感目标。</w:t>
                  </w:r>
                </w:p>
                <w:p w14:paraId="12AB845D">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本项目距离沙家浜-昆承湖重要湿地约</w:t>
                  </w:r>
                  <w:r>
                    <w:rPr>
                      <w:rFonts w:hint="eastAsia"/>
                      <w:bCs/>
                      <w:color w:val="000000" w:themeColor="text1"/>
                      <w:szCs w:val="21"/>
                      <w:lang w:val="en-US" w:eastAsia="zh-CN"/>
                      <w14:textFill>
                        <w14:solidFill>
                          <w14:schemeClr w14:val="tx1"/>
                        </w14:solidFill>
                      </w14:textFill>
                    </w:rPr>
                    <w:t>2.3</w:t>
                  </w:r>
                  <w:r>
                    <w:rPr>
                      <w:rFonts w:hint="eastAsia"/>
                      <w:bCs/>
                      <w:color w:val="000000" w:themeColor="text1"/>
                      <w:szCs w:val="21"/>
                      <w14:textFill>
                        <w14:solidFill>
                          <w14:schemeClr w14:val="tx1"/>
                        </w14:solidFill>
                      </w14:textFill>
                    </w:rPr>
                    <w:t>km，不在生态空间管控区范围内。</w:t>
                  </w:r>
                </w:p>
              </w:tc>
              <w:tc>
                <w:tcPr>
                  <w:tcW w:w="913" w:type="dxa"/>
                  <w:noWrap/>
                  <w:vAlign w:val="center"/>
                </w:tcPr>
                <w:p w14:paraId="1C56C353">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相符</w:t>
                  </w:r>
                </w:p>
              </w:tc>
            </w:tr>
            <w:tr w14:paraId="2B33E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7" w:type="dxa"/>
                  <w:noWrap/>
                  <w:vAlign w:val="center"/>
                </w:tcPr>
                <w:p w14:paraId="6CA3087E">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污染物排放管控</w:t>
                  </w:r>
                </w:p>
              </w:tc>
              <w:tc>
                <w:tcPr>
                  <w:tcW w:w="4065" w:type="dxa"/>
                  <w:noWrap/>
                  <w:vAlign w:val="center"/>
                </w:tcPr>
                <w:p w14:paraId="34D77C43">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1、高新区近期外排量COD951.09吨/年、NH</w:t>
                  </w:r>
                  <w:r>
                    <w:rPr>
                      <w:bCs/>
                      <w:color w:val="000000" w:themeColor="text1"/>
                      <w:szCs w:val="21"/>
                      <w:vertAlign w:val="subscript"/>
                      <w14:textFill>
                        <w14:solidFill>
                          <w14:schemeClr w14:val="tx1"/>
                        </w14:solidFill>
                      </w14:textFill>
                    </w:rPr>
                    <w:t>3</w:t>
                  </w:r>
                  <w:r>
                    <w:rPr>
                      <w:bCs/>
                      <w:color w:val="000000" w:themeColor="text1"/>
                      <w:szCs w:val="21"/>
                      <w14:textFill>
                        <w14:solidFill>
                          <w14:schemeClr w14:val="tx1"/>
                        </w14:solidFill>
                      </w14:textFill>
                    </w:rPr>
                    <w:t>-N78.38吨/年、总氮256.58吨/年、总磷8.42吨/年；远期外排量COD1095.63吨/年、NH</w:t>
                  </w:r>
                  <w:r>
                    <w:rPr>
                      <w:bCs/>
                      <w:color w:val="000000" w:themeColor="text1"/>
                      <w:szCs w:val="21"/>
                      <w:vertAlign w:val="subscript"/>
                      <w14:textFill>
                        <w14:solidFill>
                          <w14:schemeClr w14:val="tx1"/>
                        </w14:solidFill>
                      </w14:textFill>
                    </w:rPr>
                    <w:t>3</w:t>
                  </w:r>
                  <w:r>
                    <w:rPr>
                      <w:bCs/>
                      <w:color w:val="000000" w:themeColor="text1"/>
                      <w:szCs w:val="21"/>
                      <w14:textFill>
                        <w14:solidFill>
                          <w14:schemeClr w14:val="tx1"/>
                        </w14:solidFill>
                      </w14:textFill>
                    </w:rPr>
                    <w:t>-N85.61吨/年、总氮304.76吨/年、总磷9.87吨/年</w:t>
                  </w:r>
                  <w:r>
                    <w:rPr>
                      <w:rFonts w:hint="eastAsia"/>
                      <w:bCs/>
                      <w:color w:val="000000" w:themeColor="text1"/>
                      <w:szCs w:val="21"/>
                      <w14:textFill>
                        <w14:solidFill>
                          <w14:schemeClr w14:val="tx1"/>
                        </w14:solidFill>
                      </w14:textFill>
                    </w:rPr>
                    <w:t>。</w:t>
                  </w:r>
                </w:p>
                <w:p w14:paraId="098410C6">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2、高新区SO</w:t>
                  </w:r>
                  <w:r>
                    <w:rPr>
                      <w:bCs/>
                      <w:color w:val="000000" w:themeColor="text1"/>
                      <w:szCs w:val="21"/>
                      <w:vertAlign w:val="subscript"/>
                      <w14:textFill>
                        <w14:solidFill>
                          <w14:schemeClr w14:val="tx1"/>
                        </w14:solidFill>
                      </w14:textFill>
                    </w:rPr>
                    <w:t>2</w:t>
                  </w:r>
                  <w:r>
                    <w:rPr>
                      <w:bCs/>
                      <w:color w:val="000000" w:themeColor="text1"/>
                      <w:szCs w:val="21"/>
                      <w14:textFill>
                        <w14:solidFill>
                          <w14:schemeClr w14:val="tx1"/>
                        </w14:solidFill>
                      </w14:textFill>
                    </w:rPr>
                    <w:t>总量近期240.55吨/年、远期236.10吨/年；NOx总量近期560.99吨/年、远期554.62吨/年；烟粉尘近期166.07吨/年、远期157.74吨/年；VOCs近期69.50吨/年；远期65.29吨/年</w:t>
                  </w:r>
                  <w:r>
                    <w:rPr>
                      <w:rFonts w:hint="eastAsia"/>
                      <w:bCs/>
                      <w:color w:val="000000" w:themeColor="text1"/>
                      <w:szCs w:val="21"/>
                      <w14:textFill>
                        <w14:solidFill>
                          <w14:schemeClr w14:val="tx1"/>
                        </w14:solidFill>
                      </w14:textFill>
                    </w:rPr>
                    <w:t>。</w:t>
                  </w:r>
                </w:p>
                <w:p w14:paraId="566BA9D5">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3.污水不能接管的项目、污水管网尚未敷设到位地块的开发建设</w:t>
                  </w:r>
                  <w:r>
                    <w:rPr>
                      <w:rFonts w:hint="eastAsia"/>
                      <w:bCs/>
                      <w:color w:val="000000" w:themeColor="text1"/>
                      <w:szCs w:val="21"/>
                      <w14:textFill>
                        <w14:solidFill>
                          <w14:schemeClr w14:val="tx1"/>
                        </w14:solidFill>
                      </w14:textFill>
                    </w:rPr>
                    <w:t>。</w:t>
                  </w:r>
                </w:p>
              </w:tc>
              <w:tc>
                <w:tcPr>
                  <w:tcW w:w="1860" w:type="dxa"/>
                  <w:noWrap/>
                  <w:vAlign w:val="center"/>
                </w:tcPr>
                <w:p w14:paraId="39CDCD60">
                  <w:pPr>
                    <w:rPr>
                      <w:bCs/>
                      <w:color w:val="000000" w:themeColor="text1"/>
                      <w:szCs w:val="21"/>
                      <w:highlight w:val="none"/>
                      <w14:textFill>
                        <w14:solidFill>
                          <w14:schemeClr w14:val="tx1"/>
                        </w14:solidFill>
                      </w14:textFill>
                    </w:rPr>
                  </w:pPr>
                  <w:r>
                    <w:rPr>
                      <w:rFonts w:hint="eastAsia"/>
                      <w:bCs/>
                      <w:color w:val="000000" w:themeColor="text1"/>
                      <w:szCs w:val="21"/>
                      <w14:textFill>
                        <w14:solidFill>
                          <w14:schemeClr w14:val="tx1"/>
                        </w14:solidFill>
                      </w14:textFill>
                    </w:rPr>
                    <w:t>本项目无生产废水排放</w:t>
                  </w:r>
                  <w:r>
                    <w:rPr>
                      <w:rFonts w:hint="eastAsia"/>
                      <w:bCs/>
                      <w:color w:val="000000" w:themeColor="text1"/>
                      <w:szCs w:val="21"/>
                      <w:highlight w:val="none"/>
                      <w14:textFill>
                        <w14:solidFill>
                          <w14:schemeClr w14:val="tx1"/>
                        </w14:solidFill>
                      </w14:textFill>
                    </w:rPr>
                    <w:t>。</w:t>
                  </w:r>
                </w:p>
                <w:p w14:paraId="48DA3E0A">
                  <w:pPr>
                    <w:rPr>
                      <w:bCs/>
                      <w:color w:val="000000" w:themeColor="text1"/>
                      <w:szCs w:val="21"/>
                      <w14:textFill>
                        <w14:solidFill>
                          <w14:schemeClr w14:val="tx1"/>
                        </w14:solidFill>
                      </w14:textFill>
                    </w:rPr>
                  </w:pPr>
                  <w:r>
                    <w:rPr>
                      <w:rFonts w:hint="eastAsia"/>
                      <w:bCs/>
                      <w:color w:val="000000" w:themeColor="text1"/>
                      <w:szCs w:val="21"/>
                      <w:highlight w:val="none"/>
                      <w14:textFill>
                        <w14:solidFill>
                          <w14:schemeClr w14:val="tx1"/>
                        </w14:solidFill>
                      </w14:textFill>
                    </w:rPr>
                    <w:t>全厂VOCs排放量为0.</w:t>
                  </w:r>
                  <w:r>
                    <w:rPr>
                      <w:rFonts w:hint="eastAsia"/>
                      <w:bCs/>
                      <w:color w:val="000000" w:themeColor="text1"/>
                      <w:szCs w:val="21"/>
                      <w:highlight w:val="none"/>
                      <w:lang w:val="en-US" w:eastAsia="zh-CN"/>
                      <w14:textFill>
                        <w14:solidFill>
                          <w14:schemeClr w14:val="tx1"/>
                        </w14:solidFill>
                      </w14:textFill>
                    </w:rPr>
                    <w:t>3302</w:t>
                  </w:r>
                  <w:r>
                    <w:rPr>
                      <w:rFonts w:hint="eastAsia"/>
                      <w:bCs/>
                      <w:color w:val="000000" w:themeColor="text1"/>
                      <w:szCs w:val="21"/>
                      <w:highlight w:val="none"/>
                      <w14:textFill>
                        <w14:solidFill>
                          <w14:schemeClr w14:val="tx1"/>
                        </w14:solidFill>
                      </w14:textFill>
                    </w:rPr>
                    <w:t>t/a</w:t>
                  </w:r>
                  <w:r>
                    <w:rPr>
                      <w:rFonts w:hint="eastAsia"/>
                      <w:bCs/>
                      <w:color w:val="000000" w:themeColor="text1"/>
                      <w:szCs w:val="21"/>
                      <w:highlight w:val="none"/>
                      <w:lang w:eastAsia="zh-CN"/>
                      <w14:textFill>
                        <w14:solidFill>
                          <w14:schemeClr w14:val="tx1"/>
                        </w14:solidFill>
                      </w14:textFill>
                    </w:rPr>
                    <w:t>，</w:t>
                  </w:r>
                  <w:r>
                    <w:rPr>
                      <w:rFonts w:hint="eastAsia"/>
                      <w:bCs/>
                      <w:color w:val="000000" w:themeColor="text1"/>
                      <w:szCs w:val="21"/>
                      <w:highlight w:val="none"/>
                      <w:lang w:val="en-US" w:eastAsia="zh-CN"/>
                      <w14:textFill>
                        <w14:solidFill>
                          <w14:schemeClr w14:val="tx1"/>
                        </w14:solidFill>
                      </w14:textFill>
                    </w:rPr>
                    <w:t>颗粒物</w:t>
                  </w:r>
                  <w:r>
                    <w:rPr>
                      <w:rFonts w:hint="eastAsia"/>
                      <w:bCs/>
                      <w:color w:val="000000" w:themeColor="text1"/>
                      <w:szCs w:val="21"/>
                      <w:highlight w:val="none"/>
                      <w14:textFill>
                        <w14:solidFill>
                          <w14:schemeClr w14:val="tx1"/>
                        </w14:solidFill>
                      </w14:textFill>
                    </w:rPr>
                    <w:t>排放量为0.</w:t>
                  </w:r>
                  <w:r>
                    <w:rPr>
                      <w:rFonts w:hint="eastAsia"/>
                      <w:bCs/>
                      <w:color w:val="000000" w:themeColor="text1"/>
                      <w:szCs w:val="21"/>
                      <w:highlight w:val="none"/>
                      <w:lang w:val="en-US" w:eastAsia="zh-CN"/>
                      <w14:textFill>
                        <w14:solidFill>
                          <w14:schemeClr w14:val="tx1"/>
                        </w14:solidFill>
                      </w14:textFill>
                    </w:rPr>
                    <w:t>002</w:t>
                  </w:r>
                  <w:r>
                    <w:rPr>
                      <w:rFonts w:hint="eastAsia"/>
                      <w:bCs/>
                      <w:color w:val="000000" w:themeColor="text1"/>
                      <w:szCs w:val="21"/>
                      <w:highlight w:val="none"/>
                      <w14:textFill>
                        <w14:solidFill>
                          <w14:schemeClr w14:val="tx1"/>
                        </w14:solidFill>
                      </w14:textFill>
                    </w:rPr>
                    <w:t>t/a，</w:t>
                  </w:r>
                  <w:r>
                    <w:rPr>
                      <w:rFonts w:hint="eastAsia"/>
                      <w:bCs/>
                      <w:color w:val="000000" w:themeColor="text1"/>
                      <w:szCs w:val="21"/>
                      <w:highlight w:val="none"/>
                      <w:lang w:val="en-US" w:eastAsia="zh-CN"/>
                      <w14:textFill>
                        <w14:solidFill>
                          <w14:schemeClr w14:val="tx1"/>
                        </w14:solidFill>
                      </w14:textFill>
                    </w:rPr>
                    <w:t>废气污染物</w:t>
                  </w:r>
                  <w:r>
                    <w:rPr>
                      <w:rFonts w:hint="eastAsia"/>
                      <w:bCs/>
                      <w:color w:val="000000" w:themeColor="text1"/>
                      <w:szCs w:val="21"/>
                      <w14:textFill>
                        <w14:solidFill>
                          <w14:schemeClr w14:val="tx1"/>
                        </w14:solidFill>
                      </w14:textFill>
                    </w:rPr>
                    <w:t>排放量在常熟高新技术开发区内平衡。</w:t>
                  </w:r>
                </w:p>
                <w:p w14:paraId="5D561056">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本项目生活污水接管至</w:t>
                  </w:r>
                  <w:r>
                    <w:rPr>
                      <w:rFonts w:hint="eastAsia"/>
                      <w:bCs/>
                      <w:color w:val="000000" w:themeColor="text1"/>
                      <w:szCs w:val="21"/>
                      <w:lang w:val="en-US" w:eastAsia="zh-CN"/>
                      <w14:textFill>
                        <w14:solidFill>
                          <w14:schemeClr w14:val="tx1"/>
                        </w14:solidFill>
                      </w14:textFill>
                    </w:rPr>
                    <w:t>江苏中法水务股份</w:t>
                  </w:r>
                  <w:r>
                    <w:rPr>
                      <w:rFonts w:hint="eastAsia"/>
                      <w:color w:val="000000" w:themeColor="text1"/>
                      <w:kern w:val="0"/>
                      <w:szCs w:val="21"/>
                      <w14:textFill>
                        <w14:solidFill>
                          <w14:schemeClr w14:val="tx1"/>
                        </w14:solidFill>
                      </w14:textFill>
                    </w:rPr>
                    <w:t>有限公司</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城东水质净化厂</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集中处理</w:t>
                  </w:r>
                  <w:r>
                    <w:rPr>
                      <w:rFonts w:hint="eastAsia"/>
                      <w:bCs/>
                      <w:color w:val="000000" w:themeColor="text1"/>
                      <w:szCs w:val="21"/>
                      <w14:textFill>
                        <w14:solidFill>
                          <w14:schemeClr w14:val="tx1"/>
                        </w14:solidFill>
                      </w14:textFill>
                    </w:rPr>
                    <w:t>，尾水排放至大滃。</w:t>
                  </w:r>
                </w:p>
              </w:tc>
              <w:tc>
                <w:tcPr>
                  <w:tcW w:w="913" w:type="dxa"/>
                  <w:noWrap/>
                  <w:vAlign w:val="center"/>
                </w:tcPr>
                <w:p w14:paraId="4D4620BE">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相符</w:t>
                  </w:r>
                </w:p>
              </w:tc>
            </w:tr>
            <w:tr w14:paraId="608290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7" w:type="dxa"/>
                  <w:noWrap/>
                  <w:vAlign w:val="center"/>
                </w:tcPr>
                <w:p w14:paraId="5BE58EE9">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环境风险防控</w:t>
                  </w:r>
                </w:p>
              </w:tc>
              <w:tc>
                <w:tcPr>
                  <w:tcW w:w="4065" w:type="dxa"/>
                  <w:noWrap/>
                  <w:vAlign w:val="center"/>
                </w:tcPr>
                <w:p w14:paraId="73E4823E">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根据《关于进一步加强环境影响评价管理防范环境风险的通知》（环发</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2012</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77号）的相关内容，对存在较大环境风险的相关建设项目，应严格按照《环境影响评价公众参与暂行办法》（环发</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2006</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28号）做好环境影响评价公众参与工作。高新区企业应制定环境应急预案，明确环境风险防范措施，建设并完善日常和应急监测系统，配备大气、水环境特征污染物监控设备，编制日常和应急监测方案，建立完备的环境信息平台，接受公众监督。</w:t>
                  </w:r>
                </w:p>
              </w:tc>
              <w:tc>
                <w:tcPr>
                  <w:tcW w:w="1860" w:type="dxa"/>
                  <w:noWrap/>
                  <w:vAlign w:val="center"/>
                </w:tcPr>
                <w:p w14:paraId="1190C01D">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本项目环境风险较小，不进行</w:t>
                  </w:r>
                  <w:r>
                    <w:rPr>
                      <w:bCs/>
                      <w:color w:val="000000" w:themeColor="text1"/>
                      <w:szCs w:val="21"/>
                      <w14:textFill>
                        <w14:solidFill>
                          <w14:schemeClr w14:val="tx1"/>
                        </w14:solidFill>
                      </w14:textFill>
                    </w:rPr>
                    <w:t>公众参与工作</w:t>
                  </w:r>
                  <w:r>
                    <w:rPr>
                      <w:rFonts w:hint="eastAsia"/>
                      <w:bCs/>
                      <w:color w:val="000000" w:themeColor="text1"/>
                      <w:szCs w:val="21"/>
                      <w14:textFill>
                        <w14:solidFill>
                          <w14:schemeClr w14:val="tx1"/>
                        </w14:solidFill>
                      </w14:textFill>
                    </w:rPr>
                    <w:t>。</w:t>
                  </w:r>
                </w:p>
                <w:p w14:paraId="68C6C84D">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本项目建成后将制定风险防范措施，编制突发环境事件应急预案，防止发生环境事故，</w:t>
                  </w:r>
                  <w:r>
                    <w:rPr>
                      <w:bCs/>
                      <w:color w:val="000000" w:themeColor="text1"/>
                      <w:szCs w:val="21"/>
                      <w14:textFill>
                        <w14:solidFill>
                          <w14:schemeClr w14:val="tx1"/>
                        </w14:solidFill>
                      </w14:textFill>
                    </w:rPr>
                    <w:t>并落实日常环境监测与污染源监控计划</w:t>
                  </w:r>
                  <w:r>
                    <w:rPr>
                      <w:rFonts w:hint="eastAsia"/>
                      <w:bCs/>
                      <w:color w:val="000000" w:themeColor="text1"/>
                      <w:szCs w:val="21"/>
                      <w14:textFill>
                        <w14:solidFill>
                          <w14:schemeClr w14:val="tx1"/>
                        </w14:solidFill>
                      </w14:textFill>
                    </w:rPr>
                    <w:t>。</w:t>
                  </w:r>
                </w:p>
              </w:tc>
              <w:tc>
                <w:tcPr>
                  <w:tcW w:w="913" w:type="dxa"/>
                  <w:noWrap/>
                  <w:vAlign w:val="center"/>
                </w:tcPr>
                <w:p w14:paraId="40A23312">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相符</w:t>
                  </w:r>
                </w:p>
              </w:tc>
            </w:tr>
            <w:tr w14:paraId="5EAB72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7" w:type="dxa"/>
                  <w:noWrap/>
                  <w:vAlign w:val="center"/>
                </w:tcPr>
                <w:p w14:paraId="2B250C52">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资源开发利用要求</w:t>
                  </w:r>
                </w:p>
              </w:tc>
              <w:tc>
                <w:tcPr>
                  <w:tcW w:w="4065" w:type="dxa"/>
                  <w:noWrap/>
                  <w:vAlign w:val="center"/>
                </w:tcPr>
                <w:p w14:paraId="76DA3DBE">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1.单位工业用地工业增加值近期≥9亿元/km</w:t>
                  </w:r>
                  <w:r>
                    <w:rPr>
                      <w:bCs/>
                      <w:color w:val="000000" w:themeColor="text1"/>
                      <w:szCs w:val="21"/>
                      <w:vertAlign w:val="superscript"/>
                      <w14:textFill>
                        <w14:solidFill>
                          <w14:schemeClr w14:val="tx1"/>
                        </w14:solidFill>
                      </w14:textFill>
                    </w:rPr>
                    <w:t>2</w:t>
                  </w:r>
                  <w:r>
                    <w:rPr>
                      <w:bCs/>
                      <w:color w:val="000000" w:themeColor="text1"/>
                      <w:szCs w:val="21"/>
                      <w14:textFill>
                        <w14:solidFill>
                          <w14:schemeClr w14:val="tx1"/>
                        </w14:solidFill>
                      </w14:textFill>
                    </w:rPr>
                    <w:t>、远期≥22亿元/km</w:t>
                  </w:r>
                  <w:r>
                    <w:rPr>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w:t>
                  </w:r>
                </w:p>
                <w:p w14:paraId="3D6FBD64">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2.单位工业增加值新鲜水耗近期≤9m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/万元、远期≤8m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/万元</w:t>
                  </w:r>
                  <w:r>
                    <w:rPr>
                      <w:rFonts w:hint="eastAsia"/>
                      <w:bCs/>
                      <w:color w:val="000000" w:themeColor="text1"/>
                      <w:szCs w:val="21"/>
                      <w14:textFill>
                        <w14:solidFill>
                          <w14:schemeClr w14:val="tx1"/>
                        </w14:solidFill>
                      </w14:textFill>
                    </w:rPr>
                    <w:t>。</w:t>
                  </w:r>
                </w:p>
                <w:p w14:paraId="338D551C">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3.单位地区生产总值综合能耗近期≤0.2吨标煤/万元、远期≤0.18吨标煤/万元</w:t>
                  </w:r>
                  <w:r>
                    <w:rPr>
                      <w:rFonts w:hint="eastAsia"/>
                      <w:bCs/>
                      <w:color w:val="000000" w:themeColor="text1"/>
                      <w:szCs w:val="21"/>
                      <w14:textFill>
                        <w14:solidFill>
                          <w14:schemeClr w14:val="tx1"/>
                        </w14:solidFill>
                      </w14:textFill>
                    </w:rPr>
                    <w:t>。</w:t>
                  </w:r>
                </w:p>
                <w:p w14:paraId="7B46FD22">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 需自建燃煤设施的项目。</w:t>
                  </w:r>
                </w:p>
              </w:tc>
              <w:tc>
                <w:tcPr>
                  <w:tcW w:w="1860" w:type="dxa"/>
                  <w:noWrap/>
                  <w:vAlign w:val="center"/>
                </w:tcPr>
                <w:p w14:paraId="0F37C7EF">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本项目符合相关资源利用要求。</w:t>
                  </w:r>
                </w:p>
              </w:tc>
              <w:tc>
                <w:tcPr>
                  <w:tcW w:w="913" w:type="dxa"/>
                  <w:noWrap/>
                  <w:vAlign w:val="center"/>
                </w:tcPr>
                <w:p w14:paraId="5DD2B892">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相符</w:t>
                  </w:r>
                </w:p>
              </w:tc>
            </w:tr>
          </w:tbl>
          <w:p w14:paraId="7DCCC562">
            <w:pPr>
              <w:spacing w:line="420" w:lineRule="exact"/>
              <w:ind w:firstLine="420" w:firstLineChars="200"/>
              <w:rPr>
                <w:rFonts w:hint="eastAsia" w:ascii="Times New Roman" w:hAnsi="Times New Roman" w:eastAsia="宋体" w:cs="Times New Roman"/>
                <w:color w:val="000000" w:themeColor="text1"/>
                <w14:textFill>
                  <w14:solidFill>
                    <w14:schemeClr w14:val="tx1"/>
                  </w14:solidFill>
                </w14:textFill>
              </w:rPr>
            </w:pPr>
            <w:r>
              <w:rPr>
                <w:bCs/>
                <w:color w:val="000000" w:themeColor="text1"/>
                <w:szCs w:val="21"/>
                <w14:textFill>
                  <w14:solidFill>
                    <w14:schemeClr w14:val="tx1"/>
                  </w14:solidFill>
                </w14:textFill>
              </w:rPr>
              <w:t>综上所述，本项目符合“三线一单”的相关要求。</w:t>
            </w:r>
          </w:p>
          <w:p w14:paraId="356D271A">
            <w:pPr>
              <w:spacing w:line="420" w:lineRule="exact"/>
              <w:ind w:firstLine="422" w:firstLineChars="200"/>
              <w:rPr>
                <w:bCs/>
                <w:color w:val="000000" w:themeColor="text1"/>
                <w:szCs w:val="21"/>
                <w14:textFill>
                  <w14:solidFill>
                    <w14:schemeClr w14:val="tx1"/>
                  </w14:solidFill>
                </w14:textFill>
              </w:rPr>
            </w:pPr>
            <w:r>
              <w:rPr>
                <w:rFonts w:hint="eastAsia"/>
                <w:b/>
                <w:bCs/>
                <w:color w:val="000000" w:themeColor="text1"/>
                <w:kern w:val="0"/>
                <w:szCs w:val="21"/>
                <w14:textFill>
                  <w14:solidFill>
                    <w14:schemeClr w14:val="tx1"/>
                  </w14:solidFill>
                </w14:textFill>
              </w:rPr>
              <w:t>1.</w:t>
            </w:r>
            <w:r>
              <w:rPr>
                <w:rFonts w:hint="eastAsia"/>
                <w:b/>
                <w:bCs/>
                <w:color w:val="000000" w:themeColor="text1"/>
                <w:kern w:val="0"/>
                <w:szCs w:val="21"/>
                <w:lang w:val="en-US" w:eastAsia="zh-CN"/>
                <w14:textFill>
                  <w14:solidFill>
                    <w14:schemeClr w14:val="tx1"/>
                  </w14:solidFill>
                </w14:textFill>
              </w:rPr>
              <w:t>2</w:t>
            </w:r>
            <w:r>
              <w:rPr>
                <w:rFonts w:hint="eastAsia"/>
                <w:b/>
                <w:bCs/>
                <w:color w:val="000000" w:themeColor="text1"/>
                <w:kern w:val="0"/>
                <w:szCs w:val="21"/>
                <w14:textFill>
                  <w14:solidFill>
                    <w14:schemeClr w14:val="tx1"/>
                  </w14:solidFill>
                </w14:textFill>
              </w:rPr>
              <w:t xml:space="preserve"> 清洁原料</w:t>
            </w:r>
            <w:r>
              <w:rPr>
                <w:b/>
                <w:bCs/>
                <w:color w:val="000000" w:themeColor="text1"/>
                <w:szCs w:val="21"/>
                <w14:textFill>
                  <w14:solidFill>
                    <w14:schemeClr w14:val="tx1"/>
                  </w14:solidFill>
                </w14:textFill>
              </w:rPr>
              <w:t>相符性分析</w:t>
            </w:r>
          </w:p>
          <w:p w14:paraId="2939AA65">
            <w:pPr>
              <w:autoSpaceDE w:val="0"/>
              <w:autoSpaceDN w:val="0"/>
              <w:adjustRightInd w:val="0"/>
              <w:snapToGrid w:val="0"/>
              <w:spacing w:line="420" w:lineRule="exact"/>
              <w:ind w:firstLine="42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江苏省挥发性有机物清洁原料替代工作方案》（苏大气办[2021]2号），以工业涂装、包装印刷、木材加工、纺织等行业为重点，分阶段推进3130家企业清洁原料替代工作。实施替代的企业要使用符合《低挥发性有机化合物含量涂料产品技术要求》（GB/T 38597-2020）规定的粉末、水性、无溶剂、辐射固化涂料产品；符合《油墨中可挥发性有机化合物（VOCs）含量的限值》（GB38507-2020）规定的水性油墨和能量固化油墨产品；符合《清洗剂挥发性有机化合物含量限值》（GB38508-2020）规定的水基、半水基清洗剂产品；符合《胶粘剂挥发性有机化合物限量》（GB 33372-2020）规定的水基型、本体型胶粘剂产品。若确实无法达到上述要求，应提供相应的论证说明，相关涂料、油墨、清洗剂、胶粘剂等产品应符合相关标准中VOCs含量的限值要求。</w:t>
            </w:r>
          </w:p>
          <w:p w14:paraId="0CC7223E">
            <w:pPr>
              <w:autoSpaceDE w:val="0"/>
              <w:autoSpaceDN w:val="0"/>
              <w:adjustRightInd w:val="0"/>
              <w:snapToGrid w:val="0"/>
              <w:spacing w:line="420" w:lineRule="exact"/>
              <w:ind w:firstLine="42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关于进一步加强涉气建设项目环评审批工作的通知》（常环发[2021]118号）附件1《清洁原料源头替代要求》，其他行业企业涉VOCs相关工序，要使用符合《低挥发性有机化合物含量涂料产品技术要求》（GB/T38597-2020）规定的粉末、水性、无溶剂、辐射固化涂料产品；符合《清洗剂挥发性有机化合物含量限值》（GB38508-2020）规定的水基、半水基清洗剂产品；符合《胶粘剂挥发性有机化合物限量》（GB33372-2020）规定的水基型、本体型胶粘剂产品。若确实无法达到上述要求，应提供相应的论证说明。使用的涂料、清洗剂、胶粘剂、油墨中VOCs含量的限值应符合《船舶涂料中有害物质限量》（GB38469-2019）、《木器涂料中有害物质限量》（GB18581-2020）、《车辆涂料中有害物质限量》（GB24409-2020）、《工业防护涂料中有害物质限量》（GB30981-2020）、《清洗剂挥发性有机化合物含量限值》（GB38508-2020）、《胶粘剂挥发性有机化合物限量》（GB33372-2020）、《油墨中可挥发性有机化合物（VOCs）含量的限值》（GB38507-2020）中的限值要求。</w:t>
            </w:r>
          </w:p>
          <w:p w14:paraId="56E1C9B3">
            <w:pPr>
              <w:autoSpaceDE w:val="0"/>
              <w:autoSpaceDN w:val="0"/>
              <w:adjustRightInd w:val="0"/>
              <w:snapToGrid w:val="0"/>
              <w:spacing w:line="42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常熟市2023年度大气污染防治工作计划》（常大气办[2023]6号），禁止建设生产和使用高VOCs含量的溶剂型涂料、油墨、胶粘剂等项目。对照《江苏省挥发性有机物清洁原料替代工作方案》等要求，对首批204家企业和第二批40家钢结构企业、65家包装印刷企业源头替代情况进行再核查、再推动；2023年底前，按照“应替尽替”原则，完成29家船舶修造、家具制造等行业企业清洁原料替代（具体名单详见附件4），培育1家源头替代示范型企业。推动现有高VOCs含量产品生产企业升级转型，提高水性、高固体分、无溶剂、辐射固化、粉末等低VOCs含量产品的比重。全面推进汽车整车制造底漆、中涂、色漆使用低VOCs含量涂料；在木质家具、汽车零部件、工程机械、钢结构、船舶制造等工业涂装、包装印刷和电子等行业工艺环节中，大力推广使用低VOCs含量涂料。在房屋建筑和市政工程中，全面推广使用低VOCs含量涂料和胶粘剂；除特殊功能要求外的室内地坪施工、室内外建筑用墙面和城市道路交通标志基本使用低VOCs含量涂料。</w:t>
            </w:r>
          </w:p>
          <w:p w14:paraId="26637E24">
            <w:pPr>
              <w:autoSpaceDE w:val="0"/>
              <w:autoSpaceDN w:val="0"/>
              <w:adjustRightInd w:val="0"/>
              <w:snapToGrid w:val="0"/>
              <w:spacing w:line="42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本项目属于</w:t>
            </w:r>
            <w:r>
              <w:rPr>
                <w:rFonts w:hint="eastAsia"/>
                <w:color w:val="000000" w:themeColor="text1"/>
                <w:szCs w:val="21"/>
                <w14:textFill>
                  <w14:solidFill>
                    <w14:schemeClr w14:val="tx1"/>
                  </w14:solidFill>
                </w14:textFill>
              </w:rPr>
              <w:t>C2929塑料零件及塑料制品制造</w:t>
            </w:r>
            <w:r>
              <w:rPr>
                <w:rFonts w:hint="eastAsia"/>
                <w:color w:val="000000" w:themeColor="text1"/>
                <w14:textFill>
                  <w14:solidFill>
                    <w14:schemeClr w14:val="tx1"/>
                  </w14:solidFill>
                </w14:textFill>
              </w:rPr>
              <w:t>，使用</w:t>
            </w:r>
            <w:r>
              <w:rPr>
                <w:rFonts w:hint="eastAsia"/>
                <w:color w:val="000000" w:themeColor="text1"/>
                <w:lang w:val="en-US" w:eastAsia="zh-CN"/>
                <w14:textFill>
                  <w14:solidFill>
                    <w14:schemeClr w14:val="tx1"/>
                  </w14:solidFill>
                </w14:textFill>
              </w:rPr>
              <w:t>溶剂油墨和溶剂型清洗剂</w:t>
            </w:r>
            <w:r>
              <w:rPr>
                <w:rFonts w:hint="eastAsia"/>
                <w:color w:val="000000" w:themeColor="text1"/>
                <w14:textFill>
                  <w14:solidFill>
                    <w14:schemeClr w14:val="tx1"/>
                  </w14:solidFill>
                </w14:textFill>
              </w:rPr>
              <w:t>。本项目定期用抹布蘸取清洗剂</w:t>
            </w:r>
            <w:r>
              <w:rPr>
                <w:rFonts w:hint="eastAsia"/>
                <w:color w:val="000000" w:themeColor="text1"/>
                <w:lang w:val="en-US" w:eastAsia="zh-CN"/>
                <w14:textFill>
                  <w14:solidFill>
                    <w14:schemeClr w14:val="tx1"/>
                  </w14:solidFill>
                </w14:textFill>
              </w:rPr>
              <w:t>对</w:t>
            </w:r>
            <w:r>
              <w:rPr>
                <w:rFonts w:hint="eastAsia"/>
                <w:color w:val="000000" w:themeColor="text1"/>
                <w14:textFill>
                  <w14:solidFill>
                    <w14:schemeClr w14:val="tx1"/>
                  </w14:solidFill>
                </w14:textFill>
              </w:rPr>
              <w:t>丝网印刷机</w:t>
            </w:r>
            <w:r>
              <w:rPr>
                <w:rFonts w:hint="eastAsia"/>
                <w:color w:val="000000" w:themeColor="text1"/>
                <w:lang w:val="en-US" w:eastAsia="zh-CN"/>
                <w14:textFill>
                  <w14:solidFill>
                    <w14:schemeClr w14:val="tx1"/>
                  </w14:solidFill>
                </w14:textFill>
              </w:rPr>
              <w:t>沾染油墨</w:t>
            </w:r>
            <w:r>
              <w:rPr>
                <w:rFonts w:hint="eastAsia"/>
                <w:color w:val="000000" w:themeColor="text1"/>
                <w14:textFill>
                  <w14:solidFill>
                    <w14:schemeClr w14:val="tx1"/>
                  </w14:solidFill>
                </w14:textFill>
              </w:rPr>
              <w:t>进行擦拭</w:t>
            </w:r>
            <w:r>
              <w:rPr>
                <w:rFonts w:hint="eastAsia"/>
                <w:color w:val="000000" w:themeColor="text1"/>
                <w:lang w:val="en-US" w:eastAsia="zh-CN"/>
                <w14:textFill>
                  <w14:solidFill>
                    <w14:schemeClr w14:val="tx1"/>
                  </w14:solidFill>
                </w14:textFill>
              </w:rPr>
              <w:t>清理</w:t>
            </w:r>
            <w:r>
              <w:rPr>
                <w:rFonts w:hint="eastAsia"/>
                <w:color w:val="000000" w:themeColor="text1"/>
                <w14:textFill>
                  <w14:solidFill>
                    <w14:schemeClr w14:val="tx1"/>
                  </w14:solidFill>
                </w14:textFill>
              </w:rPr>
              <w:t>。</w:t>
            </w:r>
          </w:p>
          <w:p w14:paraId="4CAFCE8C">
            <w:pPr>
              <w:tabs>
                <w:tab w:val="left" w:pos="5880"/>
              </w:tabs>
              <w:autoSpaceDE w:val="0"/>
              <w:autoSpaceDN w:val="0"/>
              <w:adjustRightInd w:val="0"/>
              <w:snapToGrid w:val="0"/>
              <w:spacing w:line="420" w:lineRule="exact"/>
              <w:ind w:firstLine="420" w:firstLineChars="200"/>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本项目使用的</w:t>
            </w:r>
            <w:r>
              <w:rPr>
                <w:rFonts w:hint="eastAsia"/>
                <w:color w:val="000000" w:themeColor="text1"/>
                <w:lang w:val="en-US" w:eastAsia="zh-CN"/>
                <w14:textFill>
                  <w14:solidFill>
                    <w14:schemeClr w14:val="tx1"/>
                  </w14:solidFill>
                </w14:textFill>
              </w:rPr>
              <w:t>溶剂油墨供应商为</w:t>
            </w:r>
            <w:r>
              <w:rPr>
                <w:rFonts w:hint="eastAsia"/>
                <w:color w:val="000000" w:themeColor="text1"/>
                <w:kern w:val="0"/>
                <w:szCs w:val="21"/>
                <w:lang w:val="en-US" w:eastAsia="zh-CN"/>
                <w14:textFill>
                  <w14:solidFill>
                    <w14:schemeClr w14:val="tx1"/>
                  </w14:solidFill>
                </w14:textFill>
              </w:rPr>
              <w:t>昆山市增彩包装材料有限公司，物料属于PE系列油墨。</w:t>
            </w:r>
            <w:r>
              <w:rPr>
                <w:rFonts w:hint="eastAsia"/>
                <w:color w:val="000000" w:themeColor="text1"/>
                <w:kern w:val="0"/>
                <w:szCs w:val="21"/>
                <w14:textFill>
                  <w14:solidFill>
                    <w14:schemeClr w14:val="tx1"/>
                  </w14:solidFill>
                </w14:textFill>
              </w:rPr>
              <w:t>根据</w:t>
            </w:r>
            <w:r>
              <w:rPr>
                <w:rFonts w:hint="eastAsia"/>
                <w:color w:val="000000" w:themeColor="text1"/>
                <w:kern w:val="0"/>
                <w:szCs w:val="21"/>
                <w:lang w:val="en-US" w:eastAsia="zh-CN"/>
                <w14:textFill>
                  <w14:solidFill>
                    <w14:schemeClr w14:val="tx1"/>
                  </w14:solidFill>
                </w14:textFill>
              </w:rPr>
              <w:t>昆山市增彩包装材料有限公司</w:t>
            </w:r>
            <w:r>
              <w:rPr>
                <w:rFonts w:hint="eastAsia"/>
                <w:color w:val="000000" w:themeColor="text1"/>
                <w:kern w:val="0"/>
                <w:szCs w:val="21"/>
                <w14:textFill>
                  <w14:solidFill>
                    <w14:schemeClr w14:val="tx1"/>
                  </w14:solidFill>
                </w14:textFill>
              </w:rPr>
              <w:t>检测报告</w:t>
            </w:r>
            <w:r>
              <w:rPr>
                <w:rFonts w:hint="eastAsia"/>
                <w:color w:val="000000" w:themeColor="text1"/>
                <w14:textFill>
                  <w14:solidFill>
                    <w14:schemeClr w14:val="tx1"/>
                  </w14:solidFill>
                </w14:textFill>
              </w:rPr>
              <w:t>（</w:t>
            </w:r>
            <w:r>
              <w:rPr>
                <w:rFonts w:hint="eastAsia"/>
                <w:color w:val="000000" w:themeColor="text1"/>
                <w:szCs w:val="21"/>
                <w14:textFill>
                  <w14:solidFill>
                    <w14:schemeClr w14:val="tx1"/>
                  </w14:solidFill>
                </w14:textFill>
              </w:rPr>
              <w:t>上海</w:t>
            </w:r>
            <w:r>
              <w:rPr>
                <w:rFonts w:hint="eastAsia"/>
                <w:color w:val="000000" w:themeColor="text1"/>
                <w:szCs w:val="21"/>
                <w:lang w:val="en-US" w:eastAsia="zh-CN"/>
                <w14:textFill>
                  <w14:solidFill>
                    <w14:schemeClr w14:val="tx1"/>
                  </w14:solidFill>
                </w14:textFill>
              </w:rPr>
              <w:t>华测品标检测技术</w:t>
            </w:r>
            <w:r>
              <w:rPr>
                <w:rFonts w:hint="eastAsia"/>
                <w:color w:val="000000" w:themeColor="text1"/>
                <w:szCs w:val="21"/>
                <w14:textFill>
                  <w14:solidFill>
                    <w14:schemeClr w14:val="tx1"/>
                  </w14:solidFill>
                </w14:textFill>
              </w:rPr>
              <w:t>有限公司，编号：A222048975910100102E，检测时间2022.11.0</w:t>
            </w: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-2022.11.0</w:t>
            </w:r>
            <w:r>
              <w:rPr>
                <w:rFonts w:hint="eastAsia"/>
                <w:color w:val="000000" w:themeColor="text1"/>
                <w:szCs w:val="21"/>
                <w:lang w:val="en-US" w:eastAsia="zh-CN"/>
                <w14:textFill>
                  <w14:solidFill>
                    <w14:schemeClr w14:val="tx1"/>
                  </w14:solidFill>
                </w14:textFill>
              </w:rPr>
              <w:t>8</w:t>
            </w:r>
            <w:r>
              <w:rPr>
                <w:rFonts w:hint="eastAsia"/>
                <w:color w:val="000000" w:themeColor="text1"/>
                <w14:textFill>
                  <w14:solidFill>
                    <w14:schemeClr w14:val="tx1"/>
                  </w14:solidFill>
                </w14:textFill>
              </w:rPr>
              <w:t>）</w:t>
            </w:r>
            <w:r>
              <w:rPr>
                <w:rFonts w:hint="eastAsia"/>
                <w:color w:val="000000" w:themeColor="text1"/>
                <w:kern w:val="0"/>
                <w:szCs w:val="21"/>
                <w14:textFill>
                  <w14:solidFill>
                    <w14:schemeClr w14:val="tx1"/>
                  </w14:solidFill>
                </w14:textFill>
              </w:rPr>
              <w:t>可知</w:t>
            </w:r>
            <w:r>
              <w:rPr>
                <w:rFonts w:hint="eastAsia"/>
                <w:bCs/>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本项目</w:t>
            </w:r>
            <w:r>
              <w:rPr>
                <w:rFonts w:hint="eastAsia"/>
                <w:color w:val="000000" w:themeColor="text1"/>
                <w:szCs w:val="21"/>
                <w:lang w:val="en-US" w:eastAsia="zh-CN"/>
                <w14:textFill>
                  <w14:solidFill>
                    <w14:schemeClr w14:val="tx1"/>
                  </w14:solidFill>
                </w14:textFill>
              </w:rPr>
              <w:t>溶剂油墨</w:t>
            </w:r>
            <w:r>
              <w:rPr>
                <w:rFonts w:hint="eastAsia"/>
                <w:color w:val="000000" w:themeColor="text1"/>
                <w:szCs w:val="21"/>
                <w14:textFill>
                  <w14:solidFill>
                    <w14:schemeClr w14:val="tx1"/>
                  </w14:solidFill>
                </w14:textFill>
              </w:rPr>
              <w:t>VOC含量为</w:t>
            </w:r>
            <w:r>
              <w:rPr>
                <w:rFonts w:hint="eastAsia"/>
                <w:color w:val="000000" w:themeColor="text1"/>
                <w:szCs w:val="21"/>
                <w:lang w:val="en-US" w:eastAsia="zh-CN"/>
                <w14:textFill>
                  <w14:solidFill>
                    <w14:schemeClr w14:val="tx1"/>
                  </w14:solidFill>
                </w14:textFill>
              </w:rPr>
              <w:t>35.4%</w:t>
            </w:r>
            <w:r>
              <w:rPr>
                <w:rFonts w:hint="eastAsia"/>
                <w:color w:val="000000" w:themeColor="text1"/>
                <w:szCs w:val="21"/>
                <w14:textFill>
                  <w14:solidFill>
                    <w14:schemeClr w14:val="tx1"/>
                  </w14:solidFill>
                </w14:textFill>
              </w:rPr>
              <w:t>（检出限</w:t>
            </w:r>
            <w:r>
              <w:rPr>
                <w:rFonts w:hint="eastAsia"/>
                <w:color w:val="000000" w:themeColor="text1"/>
                <w:szCs w:val="21"/>
                <w:lang w:val="en-US" w:eastAsia="zh-CN"/>
                <w14:textFill>
                  <w14:solidFill>
                    <w14:schemeClr w14:val="tx1"/>
                  </w14:solidFill>
                </w14:textFill>
              </w:rPr>
              <w:t>0.1%</w:t>
            </w:r>
            <w:r>
              <w:rPr>
                <w:rFonts w:hint="eastAsia"/>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本项目使用的</w:t>
            </w:r>
            <w:r>
              <w:rPr>
                <w:rFonts w:hint="eastAsia"/>
                <w:color w:val="000000" w:themeColor="text1"/>
                <w:lang w:val="en-US" w:eastAsia="zh-CN"/>
                <w14:textFill>
                  <w14:solidFill>
                    <w14:schemeClr w14:val="tx1"/>
                  </w14:solidFill>
                </w14:textFill>
              </w:rPr>
              <w:t>溶剂型清洗剂供应商为</w:t>
            </w:r>
            <w:r>
              <w:rPr>
                <w:rFonts w:hint="eastAsia"/>
                <w:color w:val="000000" w:themeColor="text1"/>
                <w:kern w:val="0"/>
                <w:szCs w:val="21"/>
                <w:lang w:val="en-US" w:eastAsia="zh-CN"/>
                <w14:textFill>
                  <w14:solidFill>
                    <w14:schemeClr w14:val="tx1"/>
                  </w14:solidFill>
                </w14:textFill>
              </w:rPr>
              <w:t>海华宝龙化工科技有限公司，物料编号为HC-200。</w:t>
            </w:r>
            <w:r>
              <w:rPr>
                <w:rFonts w:hint="eastAsia"/>
                <w:color w:val="000000" w:themeColor="text1"/>
                <w:kern w:val="0"/>
                <w:szCs w:val="21"/>
                <w14:textFill>
                  <w14:solidFill>
                    <w14:schemeClr w14:val="tx1"/>
                  </w14:solidFill>
                </w14:textFill>
              </w:rPr>
              <w:t>根据</w:t>
            </w:r>
            <w:r>
              <w:rPr>
                <w:rFonts w:hint="eastAsia"/>
                <w:color w:val="000000" w:themeColor="text1"/>
                <w:kern w:val="0"/>
                <w:szCs w:val="21"/>
                <w:lang w:val="en-US" w:eastAsia="zh-CN"/>
                <w14:textFill>
                  <w14:solidFill>
                    <w14:schemeClr w14:val="tx1"/>
                  </w14:solidFill>
                </w14:textFill>
              </w:rPr>
              <w:t>海华宝龙化工科技有限公司</w:t>
            </w:r>
            <w:r>
              <w:rPr>
                <w:rFonts w:hint="eastAsia"/>
                <w:color w:val="000000" w:themeColor="text1"/>
                <w:kern w:val="0"/>
                <w:szCs w:val="21"/>
                <w14:textFill>
                  <w14:solidFill>
                    <w14:schemeClr w14:val="tx1"/>
                  </w14:solidFill>
                </w14:textFill>
              </w:rPr>
              <w:t>检测报告</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苏州市信测标准技术服务有限公司</w:t>
            </w:r>
            <w:r>
              <w:rPr>
                <w:rFonts w:hint="eastAsia"/>
                <w:color w:val="000000" w:themeColor="text1"/>
                <w:szCs w:val="21"/>
                <w14:textFill>
                  <w14:solidFill>
                    <w14:schemeClr w14:val="tx1"/>
                  </w14:solidFill>
                </w14:textFill>
              </w:rPr>
              <w:t>，编号：ESZ2307260186C00102R，检测时间202</w:t>
            </w: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7</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13</w:t>
            </w:r>
            <w:r>
              <w:rPr>
                <w:rFonts w:hint="eastAsia"/>
                <w:color w:val="000000" w:themeColor="text1"/>
                <w:szCs w:val="21"/>
                <w14:textFill>
                  <w14:solidFill>
                    <w14:schemeClr w14:val="tx1"/>
                  </w14:solidFill>
                </w14:textFill>
              </w:rPr>
              <w:t>-202</w:t>
            </w: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8</w:t>
            </w:r>
            <w:r>
              <w:rPr>
                <w:rFonts w:hint="eastAsia"/>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4</w:t>
            </w:r>
            <w:r>
              <w:rPr>
                <w:rFonts w:hint="eastAsia"/>
                <w:color w:val="000000" w:themeColor="text1"/>
                <w14:textFill>
                  <w14:solidFill>
                    <w14:schemeClr w14:val="tx1"/>
                  </w14:solidFill>
                </w14:textFill>
              </w:rPr>
              <w:t>）</w:t>
            </w:r>
            <w:r>
              <w:rPr>
                <w:rFonts w:hint="eastAsia"/>
                <w:color w:val="000000" w:themeColor="text1"/>
                <w:kern w:val="0"/>
                <w:szCs w:val="21"/>
                <w14:textFill>
                  <w14:solidFill>
                    <w14:schemeClr w14:val="tx1"/>
                  </w14:solidFill>
                </w14:textFill>
              </w:rPr>
              <w:t>可知</w:t>
            </w:r>
            <w:r>
              <w:rPr>
                <w:rFonts w:hint="eastAsia"/>
                <w:bCs/>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本项目</w:t>
            </w:r>
            <w:r>
              <w:rPr>
                <w:rFonts w:hint="eastAsia"/>
                <w:color w:val="000000" w:themeColor="text1"/>
                <w:szCs w:val="21"/>
                <w:lang w:val="en-US" w:eastAsia="zh-CN"/>
                <w14:textFill>
                  <w14:solidFill>
                    <w14:schemeClr w14:val="tx1"/>
                  </w14:solidFill>
                </w14:textFill>
              </w:rPr>
              <w:t>溶剂清洗剂</w:t>
            </w:r>
            <w:r>
              <w:rPr>
                <w:rFonts w:hint="eastAsia"/>
                <w:color w:val="000000" w:themeColor="text1"/>
                <w:szCs w:val="21"/>
                <w14:textFill>
                  <w14:solidFill>
                    <w14:schemeClr w14:val="tx1"/>
                  </w14:solidFill>
                </w14:textFill>
              </w:rPr>
              <w:t>VOC含量为</w:t>
            </w:r>
            <w:r>
              <w:rPr>
                <w:rFonts w:hint="eastAsia"/>
                <w:color w:val="000000" w:themeColor="text1"/>
                <w:szCs w:val="21"/>
                <w:lang w:val="en-US" w:eastAsia="zh-CN"/>
                <w14:textFill>
                  <w14:solidFill>
                    <w14:schemeClr w14:val="tx1"/>
                  </w14:solidFill>
                </w14:textFill>
              </w:rPr>
              <w:t>806.4</w:t>
            </w:r>
            <w:r>
              <w:rPr>
                <w:rFonts w:hint="eastAsia"/>
                <w:color w:val="000000" w:themeColor="text1"/>
                <w:szCs w:val="21"/>
                <w14:textFill>
                  <w14:solidFill>
                    <w14:schemeClr w14:val="tx1"/>
                  </w14:solidFill>
                </w14:textFill>
              </w:rPr>
              <w:t>g/L（检出限</w:t>
            </w:r>
            <w:r>
              <w:rPr>
                <w:rFonts w:hint="eastAsia"/>
                <w:color w:val="000000" w:themeColor="text1"/>
                <w:szCs w:val="21"/>
                <w:lang w:val="en-US" w:eastAsia="zh-CN"/>
                <w14:textFill>
                  <w14:solidFill>
                    <w14:schemeClr w14:val="tx1"/>
                  </w14:solidFill>
                </w14:textFill>
              </w:rPr>
              <w:t>1.0</w:t>
            </w:r>
            <w:r>
              <w:rPr>
                <w:rFonts w:hint="eastAsia"/>
                <w:color w:val="000000" w:themeColor="text1"/>
                <w:szCs w:val="21"/>
                <w14:textFill>
                  <w14:solidFill>
                    <w14:schemeClr w14:val="tx1"/>
                  </w14:solidFill>
                </w14:textFill>
              </w:rPr>
              <w:t>g/L）。</w:t>
            </w:r>
          </w:p>
          <w:p w14:paraId="71FCDC88">
            <w:pPr>
              <w:autoSpaceDE w:val="0"/>
              <w:autoSpaceDN w:val="0"/>
              <w:adjustRightInd w:val="0"/>
              <w:snapToGrid w:val="0"/>
              <w:spacing w:line="420" w:lineRule="exact"/>
              <w:ind w:firstLine="420" w:firstLineChars="200"/>
              <w:rPr>
                <w:b/>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本项目所使用的原料的</w:t>
            </w:r>
            <w:r>
              <w:rPr>
                <w:color w:val="000000" w:themeColor="text1"/>
                <w:kern w:val="0"/>
                <w:szCs w:val="21"/>
                <w14:textFill>
                  <w14:solidFill>
                    <w14:schemeClr w14:val="tx1"/>
                  </w14:solidFill>
                </w14:textFill>
              </w:rPr>
              <w:t>VOC含量限值</w:t>
            </w:r>
            <w:r>
              <w:rPr>
                <w:rFonts w:hint="eastAsia"/>
                <w:color w:val="000000" w:themeColor="text1"/>
                <w:kern w:val="0"/>
                <w:szCs w:val="21"/>
                <w14:textFill>
                  <w14:solidFill>
                    <w14:schemeClr w14:val="tx1"/>
                  </w14:solidFill>
                </w14:textFill>
              </w:rPr>
              <w:t>相符性分析</w:t>
            </w:r>
            <w:r>
              <w:rPr>
                <w:color w:val="000000" w:themeColor="text1"/>
                <w:kern w:val="0"/>
                <w:szCs w:val="21"/>
                <w14:textFill>
                  <w14:solidFill>
                    <w14:schemeClr w14:val="tx1"/>
                  </w14:solidFill>
                </w14:textFill>
              </w:rPr>
              <w:t>见表1.</w:t>
            </w:r>
            <w:r>
              <w:rPr>
                <w:rFonts w:hint="eastAsia"/>
                <w:color w:val="000000" w:themeColor="text1"/>
                <w:kern w:val="0"/>
                <w:szCs w:val="21"/>
                <w:lang w:val="en-US" w:eastAsia="zh-CN"/>
                <w14:textFill>
                  <w14:solidFill>
                    <w14:schemeClr w14:val="tx1"/>
                  </w14:solidFill>
                </w14:textFill>
              </w:rPr>
              <w:t>2</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1</w:t>
            </w:r>
            <w:r>
              <w:rPr>
                <w:rFonts w:hint="eastAsia"/>
                <w:color w:val="000000" w:themeColor="text1"/>
                <w:kern w:val="0"/>
                <w:szCs w:val="21"/>
                <w:lang w:eastAsia="zh-CN"/>
                <w14:textFill>
                  <w14:solidFill>
                    <w14:schemeClr w14:val="tx1"/>
                  </w14:solidFill>
                </w14:textFill>
              </w:rPr>
              <w:t>、</w:t>
            </w:r>
            <w:r>
              <w:rPr>
                <w:color w:val="000000" w:themeColor="text1"/>
                <w:kern w:val="0"/>
                <w:szCs w:val="21"/>
                <w14:textFill>
                  <w14:solidFill>
                    <w14:schemeClr w14:val="tx1"/>
                  </w14:solidFill>
                </w14:textFill>
              </w:rPr>
              <w:t>1.</w:t>
            </w:r>
            <w:r>
              <w:rPr>
                <w:rFonts w:hint="eastAsia"/>
                <w:color w:val="000000" w:themeColor="text1"/>
                <w:kern w:val="0"/>
                <w:szCs w:val="21"/>
                <w:lang w:val="en-US" w:eastAsia="zh-CN"/>
                <w14:textFill>
                  <w14:solidFill>
                    <w14:schemeClr w14:val="tx1"/>
                  </w14:solidFill>
                </w14:textFill>
              </w:rPr>
              <w:t>2</w:t>
            </w:r>
            <w:r>
              <w:rPr>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2</w:t>
            </w:r>
            <w:r>
              <w:rPr>
                <w:color w:val="000000" w:themeColor="text1"/>
                <w:kern w:val="0"/>
                <w:szCs w:val="21"/>
                <w14:textFill>
                  <w14:solidFill>
                    <w14:schemeClr w14:val="tx1"/>
                  </w14:solidFill>
                </w14:textFill>
              </w:rPr>
              <w:t>。</w:t>
            </w:r>
          </w:p>
          <w:p w14:paraId="7831E527">
            <w:pPr>
              <w:spacing w:line="420" w:lineRule="exact"/>
              <w:ind w:firstLine="422" w:firstLineChars="200"/>
              <w:jc w:val="center"/>
              <w:rPr>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表1.</w:t>
            </w:r>
            <w:r>
              <w:rPr>
                <w:rFonts w:hint="eastAsia"/>
                <w:b/>
                <w:bCs/>
                <w:color w:val="000000" w:themeColor="text1"/>
                <w:szCs w:val="21"/>
                <w:lang w:val="en-US" w:eastAsia="zh-CN"/>
                <w14:textFill>
                  <w14:solidFill>
                    <w14:schemeClr w14:val="tx1"/>
                  </w14:solidFill>
                </w14:textFill>
              </w:rPr>
              <w:t>2</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 xml:space="preserve">1 </w:t>
            </w:r>
            <w:r>
              <w:rPr>
                <w:rFonts w:hint="eastAsia"/>
                <w:b/>
                <w:bCs/>
                <w:color w:val="000000" w:themeColor="text1"/>
                <w:szCs w:val="21"/>
                <w:lang w:val="en-US" w:eastAsia="zh-CN"/>
                <w14:textFill>
                  <w14:solidFill>
                    <w14:schemeClr w14:val="tx1"/>
                  </w14:solidFill>
                </w14:textFill>
              </w:rPr>
              <w:t>油墨</w:t>
            </w:r>
            <w:r>
              <w:rPr>
                <w:b/>
                <w:bCs/>
                <w:color w:val="000000" w:themeColor="text1"/>
                <w:szCs w:val="21"/>
                <w14:textFill>
                  <w14:solidFill>
                    <w14:schemeClr w14:val="tx1"/>
                  </w14:solidFill>
                </w14:textFill>
              </w:rPr>
              <w:t>中VOC含量限值</w:t>
            </w:r>
            <w:r>
              <w:rPr>
                <w:rFonts w:hint="eastAsia"/>
                <w:b/>
                <w:bCs/>
                <w:color w:val="000000" w:themeColor="text1"/>
                <w:szCs w:val="21"/>
                <w14:textFill>
                  <w14:solidFill>
                    <w14:schemeClr w14:val="tx1"/>
                  </w14:solidFill>
                </w14:textFill>
              </w:rPr>
              <w:t>相符性分析表</w:t>
            </w:r>
          </w:p>
          <w:tbl>
            <w:tblPr>
              <w:tblStyle w:val="22"/>
              <w:tblW w:w="4993"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30" w:type="dxa"/>
                <w:bottom w:w="0" w:type="dxa"/>
                <w:right w:w="30" w:type="dxa"/>
              </w:tblCellMar>
            </w:tblPr>
            <w:tblGrid>
              <w:gridCol w:w="468"/>
              <w:gridCol w:w="2281"/>
              <w:gridCol w:w="2675"/>
              <w:gridCol w:w="1740"/>
              <w:gridCol w:w="791"/>
            </w:tblGrid>
            <w:tr w14:paraId="40CE5F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294" w:type="pct"/>
                  <w:tcBorders>
                    <w:right w:val="single" w:color="auto" w:sz="4" w:space="0"/>
                  </w:tcBorders>
                  <w:noWrap/>
                  <w:vAlign w:val="center"/>
                </w:tcPr>
                <w:p w14:paraId="3FF38067">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1433" w:type="pct"/>
                  <w:tcBorders>
                    <w:left w:val="single" w:color="auto" w:sz="4" w:space="0"/>
                  </w:tcBorders>
                  <w:noWrap/>
                  <w:vAlign w:val="center"/>
                </w:tcPr>
                <w:p w14:paraId="4A82F596">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标准名称</w:t>
                  </w:r>
                </w:p>
              </w:tc>
              <w:tc>
                <w:tcPr>
                  <w:tcW w:w="1680" w:type="pct"/>
                  <w:tcBorders>
                    <w:left w:val="single" w:color="auto" w:sz="4" w:space="0"/>
                  </w:tcBorders>
                  <w:noWrap/>
                  <w:vAlign w:val="center"/>
                </w:tcPr>
                <w:p w14:paraId="3D37170B">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要求</w:t>
                  </w:r>
                </w:p>
              </w:tc>
              <w:tc>
                <w:tcPr>
                  <w:tcW w:w="1093" w:type="pct"/>
                  <w:tcBorders>
                    <w:left w:val="single" w:color="auto" w:sz="4" w:space="0"/>
                  </w:tcBorders>
                  <w:noWrap/>
                  <w:vAlign w:val="center"/>
                </w:tcPr>
                <w:p w14:paraId="1DD5C9AF">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w:t>
                  </w:r>
                </w:p>
              </w:tc>
              <w:tc>
                <w:tcPr>
                  <w:tcW w:w="497" w:type="pct"/>
                  <w:tcBorders>
                    <w:left w:val="single" w:color="auto" w:sz="4" w:space="0"/>
                  </w:tcBorders>
                  <w:noWrap/>
                  <w:vAlign w:val="center"/>
                </w:tcPr>
                <w:p w14:paraId="311424D1">
                  <w:pPr>
                    <w:snapToGrid w:val="0"/>
                    <w:jc w:val="center"/>
                    <w:rPr>
                      <w:rFonts w:hint="eastAsia"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相符性</w:t>
                  </w:r>
                </w:p>
              </w:tc>
            </w:tr>
            <w:tr w14:paraId="5A3D8B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3408" w:type="pct"/>
                  <w:gridSpan w:val="3"/>
                  <w:noWrap/>
                  <w:vAlign w:val="center"/>
                </w:tcPr>
                <w:p w14:paraId="66D64F50">
                  <w:pPr>
                    <w:snapToGrid w:val="0"/>
                    <w:jc w:val="center"/>
                    <w:rPr>
                      <w:b/>
                      <w:bCs/>
                      <w:color w:val="000000" w:themeColor="text1"/>
                      <w:szCs w:val="21"/>
                      <w14:textFill>
                        <w14:solidFill>
                          <w14:schemeClr w14:val="tx1"/>
                        </w14:solidFill>
                      </w14:textFill>
                    </w:rPr>
                  </w:pPr>
                  <w:r>
                    <w:rPr>
                      <w:rFonts w:hint="eastAsia"/>
                      <w:b/>
                      <w:bCs/>
                      <w:color w:val="000000" w:themeColor="text1"/>
                      <w:szCs w:val="21"/>
                      <w:lang w:val="en-US" w:eastAsia="zh-CN"/>
                      <w14:textFill>
                        <w14:solidFill>
                          <w14:schemeClr w14:val="tx1"/>
                        </w14:solidFill>
                      </w14:textFill>
                    </w:rPr>
                    <w:t>油墨</w:t>
                  </w:r>
                </w:p>
              </w:tc>
              <w:tc>
                <w:tcPr>
                  <w:tcW w:w="1093" w:type="pct"/>
                  <w:tcBorders>
                    <w:left w:val="single" w:color="auto" w:sz="4" w:space="0"/>
                  </w:tcBorders>
                  <w:noWrap/>
                  <w:vAlign w:val="center"/>
                </w:tcPr>
                <w:p w14:paraId="1534CEF1">
                  <w:pPr>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溶剂油墨</w:t>
                  </w:r>
                </w:p>
              </w:tc>
              <w:tc>
                <w:tcPr>
                  <w:tcW w:w="497" w:type="pct"/>
                  <w:tcBorders>
                    <w:left w:val="single" w:color="auto" w:sz="4" w:space="0"/>
                  </w:tcBorders>
                  <w:noWrap/>
                  <w:vAlign w:val="center"/>
                </w:tcPr>
                <w:p w14:paraId="3718C60A">
                  <w:pPr>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7A65F3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264" w:hRule="atLeast"/>
                <w:jc w:val="center"/>
              </w:trPr>
              <w:tc>
                <w:tcPr>
                  <w:tcW w:w="294" w:type="pct"/>
                  <w:vMerge w:val="restart"/>
                  <w:tcBorders>
                    <w:right w:val="single" w:color="auto" w:sz="4" w:space="0"/>
                  </w:tcBorders>
                  <w:noWrap/>
                  <w:vAlign w:val="center"/>
                </w:tcPr>
                <w:p w14:paraId="0B531C1F">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433" w:type="pct"/>
                  <w:vMerge w:val="restart"/>
                  <w:tcBorders>
                    <w:left w:val="single" w:color="auto" w:sz="4" w:space="0"/>
                  </w:tcBorders>
                  <w:noWrap/>
                  <w:vAlign w:val="center"/>
                </w:tcPr>
                <w:p w14:paraId="6FDEB53D">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油墨中可挥发性有机化合物（VOCs）含量的限值</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GB38507-2020</w:t>
                  </w:r>
                  <w:r>
                    <w:rPr>
                      <w:color w:val="000000" w:themeColor="text1"/>
                      <w:szCs w:val="21"/>
                      <w14:textFill>
                        <w14:solidFill>
                          <w14:schemeClr w14:val="tx1"/>
                        </w14:solidFill>
                      </w14:textFill>
                    </w:rPr>
                    <w:t>）</w:t>
                  </w:r>
                </w:p>
              </w:tc>
              <w:tc>
                <w:tcPr>
                  <w:tcW w:w="1680" w:type="pct"/>
                  <w:tcBorders>
                    <w:left w:val="single" w:color="auto" w:sz="4" w:space="0"/>
                  </w:tcBorders>
                  <w:noWrap/>
                  <w:vAlign w:val="center"/>
                </w:tcPr>
                <w:p w14:paraId="3A072C10">
                  <w:pPr>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表1溶剂</w:t>
                  </w:r>
                  <w:r>
                    <w:rPr>
                      <w:rFonts w:hint="eastAsia"/>
                      <w:color w:val="000000" w:themeColor="text1"/>
                      <w:szCs w:val="21"/>
                      <w:lang w:val="en-US" w:eastAsia="zh-CN"/>
                      <w14:textFill>
                        <w14:solidFill>
                          <w14:schemeClr w14:val="tx1"/>
                        </w14:solidFill>
                      </w14:textFill>
                    </w:rPr>
                    <w:t>油墨</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网印油墨</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75%</w:t>
                  </w:r>
                </w:p>
              </w:tc>
              <w:tc>
                <w:tcPr>
                  <w:tcW w:w="1093" w:type="pct"/>
                  <w:tcBorders>
                    <w:left w:val="single" w:color="auto" w:sz="4" w:space="0"/>
                  </w:tcBorders>
                  <w:noWrap/>
                  <w:vAlign w:val="center"/>
                </w:tcPr>
                <w:p w14:paraId="46CA9F05">
                  <w:pPr>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35.4%</w:t>
                  </w:r>
                </w:p>
              </w:tc>
              <w:tc>
                <w:tcPr>
                  <w:tcW w:w="497" w:type="pct"/>
                  <w:tcBorders>
                    <w:left w:val="single" w:color="auto" w:sz="4" w:space="0"/>
                  </w:tcBorders>
                  <w:noWrap/>
                  <w:vAlign w:val="center"/>
                </w:tcPr>
                <w:p w14:paraId="7ECC9152">
                  <w:pPr>
                    <w:snapToGrid w:val="0"/>
                    <w:jc w:val="center"/>
                    <w:rPr>
                      <w:rFonts w:hint="eastAsia"/>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相符</w:t>
                  </w:r>
                </w:p>
              </w:tc>
            </w:tr>
            <w:tr w14:paraId="48A947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264" w:hRule="atLeast"/>
                <w:jc w:val="center"/>
              </w:trPr>
              <w:tc>
                <w:tcPr>
                  <w:tcW w:w="294" w:type="pct"/>
                  <w:vMerge w:val="continue"/>
                  <w:tcBorders>
                    <w:right w:val="single" w:color="auto" w:sz="4" w:space="0"/>
                  </w:tcBorders>
                  <w:noWrap/>
                  <w:vAlign w:val="center"/>
                </w:tcPr>
                <w:p w14:paraId="7C0BA67F">
                  <w:pPr>
                    <w:snapToGrid w:val="0"/>
                    <w:jc w:val="center"/>
                    <w:rPr>
                      <w:rFonts w:hint="eastAsia"/>
                      <w:color w:val="000000" w:themeColor="text1"/>
                      <w:szCs w:val="21"/>
                      <w14:textFill>
                        <w14:solidFill>
                          <w14:schemeClr w14:val="tx1"/>
                        </w14:solidFill>
                      </w14:textFill>
                    </w:rPr>
                  </w:pPr>
                </w:p>
              </w:tc>
              <w:tc>
                <w:tcPr>
                  <w:tcW w:w="1433" w:type="pct"/>
                  <w:vMerge w:val="continue"/>
                  <w:tcBorders>
                    <w:left w:val="single" w:color="auto" w:sz="4" w:space="0"/>
                  </w:tcBorders>
                  <w:noWrap/>
                  <w:vAlign w:val="center"/>
                </w:tcPr>
                <w:p w14:paraId="06729983">
                  <w:pPr>
                    <w:snapToGrid w:val="0"/>
                    <w:jc w:val="center"/>
                    <w:rPr>
                      <w:color w:val="000000" w:themeColor="text1"/>
                      <w:szCs w:val="21"/>
                      <w14:textFill>
                        <w14:solidFill>
                          <w14:schemeClr w14:val="tx1"/>
                        </w14:solidFill>
                      </w14:textFill>
                    </w:rPr>
                  </w:pPr>
                </w:p>
              </w:tc>
              <w:tc>
                <w:tcPr>
                  <w:tcW w:w="1680" w:type="pct"/>
                  <w:tcBorders>
                    <w:left w:val="single" w:color="auto" w:sz="4" w:space="0"/>
                  </w:tcBorders>
                  <w:noWrap/>
                  <w:vAlign w:val="center"/>
                </w:tcPr>
                <w:p w14:paraId="0BAD18DB">
                  <w:pPr>
                    <w:snapToGrid w:val="0"/>
                    <w:jc w:val="lef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条款8“油墨中不应人为添加卤代烃以及附录A中所列的溶剂：乙苯、环氧丙烷、苯乙烯、苯、亚硝酸异丙酯、亚硝酸丁酯、乙二醇单乙醚、乙二醇乙醚乙酸酯、乙二醇单甲醚、乙二醇甲醚乙酸酯、2-硝基丙烷、N-甲基2-吡咯烷酮、三甘醇二甲醚、乙二醇二甲醚、乙二醇二乙醚、甲苯、二甲苯。”</w:t>
                  </w:r>
                </w:p>
              </w:tc>
              <w:tc>
                <w:tcPr>
                  <w:tcW w:w="1093" w:type="pct"/>
                  <w:tcBorders>
                    <w:left w:val="single" w:color="auto" w:sz="4" w:space="0"/>
                  </w:tcBorders>
                  <w:noWrap/>
                  <w:vAlign w:val="center"/>
                </w:tcPr>
                <w:p w14:paraId="720B3949">
                  <w:pPr>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油墨组分为</w:t>
                  </w:r>
                  <w:r>
                    <w:rPr>
                      <w:rFonts w:hint="eastAsia"/>
                      <w:color w:val="000000" w:themeColor="text1"/>
                      <w:szCs w:val="21"/>
                      <w14:textFill>
                        <w14:solidFill>
                          <w14:schemeClr w14:val="tx1"/>
                        </w14:solidFill>
                      </w14:textFill>
                    </w:rPr>
                    <w:t>聚酯树脂、聚氨基甲酸酯树脂、1,2,4,5-四甲苯、戊二酸二甲酯、甲基三(二甲基硅氧烷基)硅烷、碳酸钙、颜料</w:t>
                  </w:r>
                  <w:r>
                    <w:rPr>
                      <w:rFonts w:hint="eastAsia"/>
                      <w:color w:val="000000" w:themeColor="text1"/>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不含</w:t>
                  </w:r>
                  <w:r>
                    <w:rPr>
                      <w:rFonts w:hint="eastAsia"/>
                      <w:color w:val="000000" w:themeColor="text1"/>
                      <w:szCs w:val="21"/>
                      <w14:textFill>
                        <w14:solidFill>
                          <w14:schemeClr w14:val="tx1"/>
                        </w14:solidFill>
                      </w14:textFill>
                    </w:rPr>
                    <w:t>卤代烃以及附录A中所列的溶剂</w:t>
                  </w:r>
                </w:p>
              </w:tc>
              <w:tc>
                <w:tcPr>
                  <w:tcW w:w="497" w:type="pct"/>
                  <w:tcBorders>
                    <w:left w:val="single" w:color="auto" w:sz="4" w:space="0"/>
                  </w:tcBorders>
                  <w:noWrap/>
                  <w:vAlign w:val="center"/>
                </w:tcPr>
                <w:p w14:paraId="2F3F53DB">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2D3572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264" w:hRule="atLeast"/>
                <w:jc w:val="center"/>
              </w:trPr>
              <w:tc>
                <w:tcPr>
                  <w:tcW w:w="294" w:type="pct"/>
                  <w:tcBorders>
                    <w:right w:val="single" w:color="auto" w:sz="4" w:space="0"/>
                  </w:tcBorders>
                  <w:noWrap/>
                  <w:vAlign w:val="center"/>
                </w:tcPr>
                <w:p w14:paraId="7704AD2D">
                  <w:pPr>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1433" w:type="pct"/>
                  <w:tcBorders>
                    <w:left w:val="single" w:color="auto" w:sz="4" w:space="0"/>
                  </w:tcBorders>
                  <w:noWrap/>
                  <w:vAlign w:val="center"/>
                </w:tcPr>
                <w:p w14:paraId="10ACF726">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《关于进一步加强涉气建设项目环评审批工作的通知》（常环发[2021]118号）、《江苏省挥发性有机物清洁原料替代工作方案》（苏大气办[2021]2号）</w:t>
                  </w:r>
                </w:p>
              </w:tc>
              <w:tc>
                <w:tcPr>
                  <w:tcW w:w="1680" w:type="pct"/>
                  <w:tcBorders>
                    <w:left w:val="single" w:color="auto" w:sz="4" w:space="0"/>
                  </w:tcBorders>
                  <w:noWrap/>
                  <w:vAlign w:val="center"/>
                </w:tcPr>
                <w:p w14:paraId="6EC0F4C4">
                  <w:pPr>
                    <w:snapToGrid w:val="0"/>
                    <w:jc w:val="center"/>
                    <w:rPr>
                      <w:rFonts w:hint="eastAsia"/>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要求使用</w:t>
                  </w:r>
                  <w:r>
                    <w:rPr>
                      <w:rFonts w:hint="eastAsia"/>
                      <w:color w:val="000000" w:themeColor="text1"/>
                      <w:kern w:val="0"/>
                      <w:szCs w:val="21"/>
                      <w14:textFill>
                        <w14:solidFill>
                          <w14:schemeClr w14:val="tx1"/>
                        </w14:solidFill>
                      </w14:textFill>
                    </w:rPr>
                    <w:t>《油墨中可挥发性有机化合物（VOCs）含量的限值》（GB38507-2020）规定的水性</w:t>
                  </w:r>
                  <w:r>
                    <w:rPr>
                      <w:rFonts w:hint="eastAsia"/>
                      <w:color w:val="000000" w:themeColor="text1"/>
                      <w:kern w:val="0"/>
                      <w:szCs w:val="21"/>
                      <w:lang w:val="en-US" w:eastAsia="zh-CN"/>
                      <w14:textFill>
                        <w14:solidFill>
                          <w14:schemeClr w14:val="tx1"/>
                        </w14:solidFill>
                      </w14:textFill>
                    </w:rPr>
                    <w:t>油墨</w:t>
                  </w:r>
                  <w:r>
                    <w:rPr>
                      <w:rFonts w:hint="eastAsia"/>
                      <w:color w:val="000000" w:themeColor="text1"/>
                      <w:kern w:val="0"/>
                      <w:szCs w:val="21"/>
                      <w14:textFill>
                        <w14:solidFill>
                          <w14:schemeClr w14:val="tx1"/>
                        </w14:solidFill>
                      </w14:textFill>
                    </w:rPr>
                    <w:t>和能量烘烤油墨</w:t>
                  </w:r>
                  <w:r>
                    <w:rPr>
                      <w:rFonts w:hint="eastAsia"/>
                      <w:color w:val="000000" w:themeColor="text1"/>
                      <w:kern w:val="0"/>
                      <w:szCs w:val="21"/>
                      <w:lang w:val="en-US" w:eastAsia="zh-CN"/>
                      <w14:textFill>
                        <w14:solidFill>
                          <w14:schemeClr w14:val="tx1"/>
                        </w14:solidFill>
                      </w14:textFill>
                    </w:rPr>
                    <w:t>产品</w:t>
                  </w:r>
                </w:p>
              </w:tc>
              <w:tc>
                <w:tcPr>
                  <w:tcW w:w="1093" w:type="pct"/>
                  <w:tcBorders>
                    <w:left w:val="single" w:color="auto" w:sz="4" w:space="0"/>
                  </w:tcBorders>
                  <w:noWrap/>
                  <w:vAlign w:val="center"/>
                </w:tcPr>
                <w:p w14:paraId="3ABAA67E">
                  <w:pPr>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本项目使用的油性油墨属于溶剂油墨</w:t>
                  </w:r>
                </w:p>
              </w:tc>
              <w:tc>
                <w:tcPr>
                  <w:tcW w:w="497" w:type="pct"/>
                  <w:tcBorders>
                    <w:left w:val="single" w:color="auto" w:sz="4" w:space="0"/>
                  </w:tcBorders>
                  <w:noWrap/>
                  <w:vAlign w:val="center"/>
                </w:tcPr>
                <w:p w14:paraId="6DD13EE4">
                  <w:pPr>
                    <w:snapToGrid w:val="0"/>
                    <w:jc w:val="center"/>
                    <w:rPr>
                      <w:rFonts w:hint="eastAsia"/>
                      <w:color w:val="000000" w:themeColor="text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不</w:t>
                  </w:r>
                  <w:r>
                    <w:rPr>
                      <w:rFonts w:hint="eastAsia"/>
                      <w:b w:val="0"/>
                      <w:bCs w:val="0"/>
                      <w:color w:val="000000" w:themeColor="text1"/>
                      <w:szCs w:val="21"/>
                      <w14:textFill>
                        <w14:solidFill>
                          <w14:schemeClr w14:val="tx1"/>
                        </w14:solidFill>
                      </w14:textFill>
                    </w:rPr>
                    <w:t>相符</w:t>
                  </w:r>
                  <w:r>
                    <w:rPr>
                      <w:rFonts w:hint="eastAsia"/>
                      <w:b w:val="0"/>
                      <w:bCs w:val="0"/>
                      <w:color w:val="000000" w:themeColor="text1"/>
                      <w:szCs w:val="21"/>
                      <w:lang w:eastAsia="zh-CN"/>
                      <w14:textFill>
                        <w14:solidFill>
                          <w14:schemeClr w14:val="tx1"/>
                        </w14:solidFill>
                      </w14:textFill>
                    </w:rPr>
                    <w:t>（</w:t>
                  </w:r>
                  <w:r>
                    <w:rPr>
                      <w:rFonts w:hint="eastAsia"/>
                      <w:b w:val="0"/>
                      <w:bCs w:val="0"/>
                      <w:color w:val="000000" w:themeColor="text1"/>
                      <w:szCs w:val="21"/>
                      <w:lang w:val="en-US" w:eastAsia="zh-CN"/>
                      <w14:textFill>
                        <w14:solidFill>
                          <w14:schemeClr w14:val="tx1"/>
                        </w14:solidFill>
                      </w14:textFill>
                    </w:rPr>
                    <w:t>已开展专家论证</w:t>
                  </w:r>
                  <w:r>
                    <w:rPr>
                      <w:rFonts w:hint="eastAsia"/>
                      <w:b w:val="0"/>
                      <w:bCs w:val="0"/>
                      <w:color w:val="000000" w:themeColor="text1"/>
                      <w:szCs w:val="21"/>
                      <w:lang w:eastAsia="zh-CN"/>
                      <w14:textFill>
                        <w14:solidFill>
                          <w14:schemeClr w14:val="tx1"/>
                        </w14:solidFill>
                      </w14:textFill>
                    </w:rPr>
                    <w:t>）</w:t>
                  </w:r>
                </w:p>
              </w:tc>
            </w:tr>
          </w:tbl>
          <w:p w14:paraId="2A537F4B">
            <w:pPr>
              <w:spacing w:line="420" w:lineRule="exact"/>
              <w:ind w:firstLine="422" w:firstLineChars="200"/>
              <w:jc w:val="center"/>
              <w:rPr>
                <w:rFonts w:hint="eastAsia"/>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表1.</w:t>
            </w:r>
            <w:r>
              <w:rPr>
                <w:rFonts w:hint="eastAsia"/>
                <w:b/>
                <w:bCs/>
                <w:color w:val="000000" w:themeColor="text1"/>
                <w:szCs w:val="21"/>
                <w:lang w:val="en-US" w:eastAsia="zh-CN"/>
                <w14:textFill>
                  <w14:solidFill>
                    <w14:schemeClr w14:val="tx1"/>
                  </w14:solidFill>
                </w14:textFill>
              </w:rPr>
              <w:t>2</w:t>
            </w:r>
            <w:r>
              <w:rPr>
                <w:b/>
                <w:bCs/>
                <w:color w:val="000000" w:themeColor="text1"/>
                <w:szCs w:val="21"/>
                <w14:textFill>
                  <w14:solidFill>
                    <w14:schemeClr w14:val="tx1"/>
                  </w14:solidFill>
                </w14:textFill>
              </w:rPr>
              <w:t>-</w:t>
            </w:r>
            <w:r>
              <w:rPr>
                <w:rFonts w:hint="eastAsia"/>
                <w:b/>
                <w:bCs/>
                <w:color w:val="000000" w:themeColor="text1"/>
                <w:szCs w:val="21"/>
                <w:lang w:val="en-US" w:eastAsia="zh-CN"/>
                <w14:textFill>
                  <w14:solidFill>
                    <w14:schemeClr w14:val="tx1"/>
                  </w14:solidFill>
                </w14:textFill>
              </w:rPr>
              <w:t>2</w:t>
            </w:r>
            <w:r>
              <w:rPr>
                <w:rFonts w:hint="eastAsia"/>
                <w:b/>
                <w:bCs/>
                <w:color w:val="000000" w:themeColor="text1"/>
                <w:szCs w:val="21"/>
                <w14:textFill>
                  <w14:solidFill>
                    <w14:schemeClr w14:val="tx1"/>
                  </w14:solidFill>
                </w14:textFill>
              </w:rPr>
              <w:t xml:space="preserve"> </w:t>
            </w:r>
            <w:r>
              <w:rPr>
                <w:rFonts w:hint="eastAsia"/>
                <w:b/>
                <w:bCs/>
                <w:color w:val="000000" w:themeColor="text1"/>
                <w:szCs w:val="21"/>
                <w:lang w:val="en-US" w:eastAsia="zh-CN"/>
                <w14:textFill>
                  <w14:solidFill>
                    <w14:schemeClr w14:val="tx1"/>
                  </w14:solidFill>
                </w14:textFill>
              </w:rPr>
              <w:t>清洗剂</w:t>
            </w:r>
            <w:r>
              <w:rPr>
                <w:b/>
                <w:bCs/>
                <w:color w:val="000000" w:themeColor="text1"/>
                <w:szCs w:val="21"/>
                <w14:textFill>
                  <w14:solidFill>
                    <w14:schemeClr w14:val="tx1"/>
                  </w14:solidFill>
                </w14:textFill>
              </w:rPr>
              <w:t>中VOC含量限值</w:t>
            </w:r>
            <w:r>
              <w:rPr>
                <w:rFonts w:hint="eastAsia"/>
                <w:b/>
                <w:bCs/>
                <w:color w:val="000000" w:themeColor="text1"/>
                <w:szCs w:val="21"/>
                <w14:textFill>
                  <w14:solidFill>
                    <w14:schemeClr w14:val="tx1"/>
                  </w14:solidFill>
                </w14:textFill>
              </w:rPr>
              <w:t>相符性分析表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30" w:type="dxa"/>
                <w:bottom w:w="0" w:type="dxa"/>
                <w:right w:w="30" w:type="dxa"/>
              </w:tblCellMar>
            </w:tblPr>
            <w:tblGrid>
              <w:gridCol w:w="480"/>
              <w:gridCol w:w="2293"/>
              <w:gridCol w:w="864"/>
              <w:gridCol w:w="1747"/>
              <w:gridCol w:w="1785"/>
              <w:gridCol w:w="797"/>
            </w:tblGrid>
            <w:tr w14:paraId="73920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301" w:type="pct"/>
                  <w:vAlign w:val="center"/>
                </w:tcPr>
                <w:p w14:paraId="0A41C9A0">
                  <w:pPr>
                    <w:snapToGrid w:val="0"/>
                    <w:ind w:firstLine="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1439" w:type="pct"/>
                  <w:vAlign w:val="center"/>
                </w:tcPr>
                <w:p w14:paraId="199F94A7">
                  <w:pPr>
                    <w:snapToGrid w:val="0"/>
                    <w:ind w:firstLine="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标准名称</w:t>
                  </w:r>
                </w:p>
              </w:tc>
              <w:tc>
                <w:tcPr>
                  <w:tcW w:w="1638" w:type="pct"/>
                  <w:gridSpan w:val="2"/>
                  <w:vAlign w:val="center"/>
                </w:tcPr>
                <w:p w14:paraId="0AAD0526">
                  <w:pPr>
                    <w:snapToGrid w:val="0"/>
                    <w:ind w:firstLine="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要求</w:t>
                  </w:r>
                </w:p>
              </w:tc>
              <w:tc>
                <w:tcPr>
                  <w:tcW w:w="1120" w:type="pct"/>
                  <w:vAlign w:val="center"/>
                </w:tcPr>
                <w:p w14:paraId="154C2116">
                  <w:pPr>
                    <w:snapToGrid w:val="0"/>
                    <w:ind w:firstLine="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w:t>
                  </w:r>
                </w:p>
              </w:tc>
              <w:tc>
                <w:tcPr>
                  <w:tcW w:w="500" w:type="pct"/>
                  <w:vAlign w:val="center"/>
                </w:tcPr>
                <w:p w14:paraId="101DE82F">
                  <w:pPr>
                    <w:snapToGrid w:val="0"/>
                    <w:ind w:firstLine="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相符性</w:t>
                  </w:r>
                </w:p>
              </w:tc>
            </w:tr>
            <w:tr w14:paraId="0E7B91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301" w:type="pct"/>
                  <w:vMerge w:val="restart"/>
                  <w:vAlign w:val="center"/>
                </w:tcPr>
                <w:p w14:paraId="169FBD4E">
                  <w:pPr>
                    <w:snapToGrid w:val="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439" w:type="pct"/>
                  <w:vMerge w:val="restart"/>
                  <w:vAlign w:val="center"/>
                </w:tcPr>
                <w:p w14:paraId="6C8D70AE">
                  <w:pPr>
                    <w:snapToGrid w:val="0"/>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《清洗剂挥发性有机化合物含量限值》（GB 38508-2020）</w:t>
                  </w:r>
                </w:p>
              </w:tc>
              <w:tc>
                <w:tcPr>
                  <w:tcW w:w="542" w:type="pct"/>
                  <w:vMerge w:val="restart"/>
                  <w:vAlign w:val="center"/>
                </w:tcPr>
                <w:p w14:paraId="471599C7">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表1 有机溶剂清洗剂</w:t>
                  </w:r>
                </w:p>
              </w:tc>
              <w:tc>
                <w:tcPr>
                  <w:tcW w:w="1095" w:type="pct"/>
                  <w:vAlign w:val="center"/>
                </w:tcPr>
                <w:p w14:paraId="106C12B6">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VOC含量</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900</w:t>
                  </w:r>
                  <w:r>
                    <w:rPr>
                      <w:color w:val="000000" w:themeColor="text1"/>
                      <w:szCs w:val="21"/>
                      <w14:textFill>
                        <w14:solidFill>
                          <w14:schemeClr w14:val="tx1"/>
                        </w14:solidFill>
                      </w14:textFill>
                    </w:rPr>
                    <w:t>g/L</w:t>
                  </w:r>
                </w:p>
              </w:tc>
              <w:tc>
                <w:tcPr>
                  <w:tcW w:w="1120" w:type="pct"/>
                  <w:vAlign w:val="center"/>
                </w:tcPr>
                <w:p w14:paraId="76FC62E7">
                  <w:pPr>
                    <w:snapToGrid w:val="0"/>
                    <w:jc w:val="cente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溶剂</w:t>
                  </w:r>
                  <w:r>
                    <w:rPr>
                      <w:rFonts w:hint="eastAsia"/>
                      <w:color w:val="000000" w:themeColor="text1"/>
                      <w14:textFill>
                        <w14:solidFill>
                          <w14:schemeClr w14:val="tx1"/>
                        </w14:solidFill>
                      </w14:textFill>
                    </w:rPr>
                    <w:t>清洗剂VOC含量为</w:t>
                  </w:r>
                  <w:r>
                    <w:rPr>
                      <w:rFonts w:hint="eastAsia"/>
                      <w:color w:val="000000" w:themeColor="text1"/>
                      <w:lang w:val="en-US" w:eastAsia="zh-CN"/>
                      <w14:textFill>
                        <w14:solidFill>
                          <w14:schemeClr w14:val="tx1"/>
                        </w14:solidFill>
                      </w14:textFill>
                    </w:rPr>
                    <w:t>806.4</w:t>
                  </w:r>
                  <w:r>
                    <w:rPr>
                      <w:rFonts w:hint="eastAsia"/>
                      <w:color w:val="000000" w:themeColor="text1"/>
                      <w14:textFill>
                        <w14:solidFill>
                          <w14:schemeClr w14:val="tx1"/>
                        </w14:solidFill>
                      </w14:textFill>
                    </w:rPr>
                    <w:t>g/L</w:t>
                  </w:r>
                </w:p>
              </w:tc>
              <w:tc>
                <w:tcPr>
                  <w:tcW w:w="500" w:type="pct"/>
                  <w:vAlign w:val="center"/>
                </w:tcPr>
                <w:p w14:paraId="6E4DBA7E">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0B6A3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301" w:type="pct"/>
                  <w:vMerge w:val="continue"/>
                  <w:vAlign w:val="center"/>
                </w:tcPr>
                <w:p w14:paraId="3BBFF4D0">
                  <w:pPr>
                    <w:snapToGrid w:val="0"/>
                    <w:jc w:val="center"/>
                    <w:rPr>
                      <w:color w:val="000000" w:themeColor="text1"/>
                      <w14:textFill>
                        <w14:solidFill>
                          <w14:schemeClr w14:val="tx1"/>
                        </w14:solidFill>
                      </w14:textFill>
                    </w:rPr>
                  </w:pPr>
                </w:p>
              </w:tc>
              <w:tc>
                <w:tcPr>
                  <w:tcW w:w="1439" w:type="pct"/>
                  <w:vMerge w:val="continue"/>
                  <w:vAlign w:val="center"/>
                </w:tcPr>
                <w:p w14:paraId="5AF54F15">
                  <w:pPr>
                    <w:snapToGrid w:val="0"/>
                    <w:jc w:val="center"/>
                    <w:rPr>
                      <w:color w:val="000000" w:themeColor="text1"/>
                      <w:szCs w:val="21"/>
                      <w14:textFill>
                        <w14:solidFill>
                          <w14:schemeClr w14:val="tx1"/>
                        </w14:solidFill>
                      </w14:textFill>
                    </w:rPr>
                  </w:pPr>
                </w:p>
              </w:tc>
              <w:tc>
                <w:tcPr>
                  <w:tcW w:w="542" w:type="pct"/>
                  <w:vMerge w:val="continue"/>
                  <w:vAlign w:val="center"/>
                </w:tcPr>
                <w:p w14:paraId="5A0322F3">
                  <w:pPr>
                    <w:snapToGrid w:val="0"/>
                    <w:jc w:val="center"/>
                    <w:rPr>
                      <w:color w:val="000000" w:themeColor="text1"/>
                      <w14:textFill>
                        <w14:solidFill>
                          <w14:schemeClr w14:val="tx1"/>
                        </w14:solidFill>
                      </w14:textFill>
                    </w:rPr>
                  </w:pPr>
                </w:p>
              </w:tc>
              <w:tc>
                <w:tcPr>
                  <w:tcW w:w="1095" w:type="pct"/>
                  <w:vAlign w:val="center"/>
                </w:tcPr>
                <w:p w14:paraId="2B78917B">
                  <w:pPr>
                    <w:snapToGrid w:val="0"/>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二氯甲烷、三氯甲烷、三氯乙烯、四氯乙烯总和≤20%</w:t>
                  </w:r>
                </w:p>
              </w:tc>
              <w:tc>
                <w:tcPr>
                  <w:tcW w:w="1120" w:type="pct"/>
                  <w:vMerge w:val="restart"/>
                  <w:vAlign w:val="center"/>
                </w:tcPr>
                <w:p w14:paraId="283DD76D">
                  <w:pPr>
                    <w:snapToGrid w:val="0"/>
                    <w:jc w:val="center"/>
                    <w:rPr>
                      <w:rFonts w:hint="eastAsia" w:eastAsia="宋体"/>
                      <w:color w:val="000000" w:themeColor="text1"/>
                      <w:kern w:val="0"/>
                      <w:szCs w:val="21"/>
                      <w:lang w:val="en-US" w:eastAsia="zh-CN"/>
                      <w14:textFill>
                        <w14:solidFill>
                          <w14:schemeClr w14:val="tx1"/>
                        </w14:solidFill>
                      </w14:textFill>
                    </w:rPr>
                  </w:pPr>
                  <w:r>
                    <w:rPr>
                      <w:rFonts w:hint="eastAsia" w:eastAsia="宋体"/>
                      <w:color w:val="000000" w:themeColor="text1"/>
                      <w:kern w:val="0"/>
                      <w:szCs w:val="21"/>
                      <w:lang w:val="en-US" w:eastAsia="zh-CN"/>
                      <w14:textFill>
                        <w14:solidFill>
                          <w14:schemeClr w14:val="tx1"/>
                        </w14:solidFill>
                      </w14:textFill>
                    </w:rPr>
                    <w:t>本项目溶剂清洗剂成分为乙酯、异佛尔酮、乙醇，不含</w:t>
                  </w:r>
                  <w:r>
                    <w:rPr>
                      <w:rFonts w:hint="eastAsia"/>
                      <w:color w:val="000000" w:themeColor="text1"/>
                      <w14:textFill>
                        <w14:solidFill>
                          <w14:schemeClr w14:val="tx1"/>
                        </w14:solidFill>
                      </w14:textFill>
                    </w:rPr>
                    <w:t>二氯甲烷、三氯甲烷、三氯乙烯、四氯乙烯</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苯、甲苯、乙苯和二甲苯</w:t>
                  </w:r>
                </w:p>
              </w:tc>
              <w:tc>
                <w:tcPr>
                  <w:tcW w:w="500" w:type="pct"/>
                  <w:vAlign w:val="center"/>
                </w:tcPr>
                <w:p w14:paraId="1918BEAE">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相符</w:t>
                  </w:r>
                </w:p>
              </w:tc>
            </w:tr>
            <w:tr w14:paraId="54B33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301" w:type="pct"/>
                  <w:vMerge w:val="continue"/>
                  <w:vAlign w:val="center"/>
                </w:tcPr>
                <w:p w14:paraId="74B96CF9">
                  <w:pPr>
                    <w:snapToGrid w:val="0"/>
                    <w:jc w:val="center"/>
                    <w:rPr>
                      <w:color w:val="000000" w:themeColor="text1"/>
                      <w14:textFill>
                        <w14:solidFill>
                          <w14:schemeClr w14:val="tx1"/>
                        </w14:solidFill>
                      </w14:textFill>
                    </w:rPr>
                  </w:pPr>
                </w:p>
              </w:tc>
              <w:tc>
                <w:tcPr>
                  <w:tcW w:w="1439" w:type="pct"/>
                  <w:vMerge w:val="continue"/>
                  <w:vAlign w:val="center"/>
                </w:tcPr>
                <w:p w14:paraId="14E6B769">
                  <w:pPr>
                    <w:snapToGrid w:val="0"/>
                    <w:jc w:val="center"/>
                    <w:rPr>
                      <w:bCs/>
                      <w:color w:val="000000" w:themeColor="text1"/>
                      <w:szCs w:val="21"/>
                      <w14:textFill>
                        <w14:solidFill>
                          <w14:schemeClr w14:val="tx1"/>
                        </w14:solidFill>
                      </w14:textFill>
                    </w:rPr>
                  </w:pPr>
                </w:p>
              </w:tc>
              <w:tc>
                <w:tcPr>
                  <w:tcW w:w="542" w:type="pct"/>
                  <w:vMerge w:val="continue"/>
                  <w:vAlign w:val="center"/>
                </w:tcPr>
                <w:p w14:paraId="1435FAEB">
                  <w:pPr>
                    <w:snapToGrid w:val="0"/>
                    <w:jc w:val="center"/>
                    <w:rPr>
                      <w:color w:val="000000" w:themeColor="text1"/>
                      <w14:textFill>
                        <w14:solidFill>
                          <w14:schemeClr w14:val="tx1"/>
                        </w14:solidFill>
                      </w14:textFill>
                    </w:rPr>
                  </w:pPr>
                </w:p>
              </w:tc>
              <w:tc>
                <w:tcPr>
                  <w:tcW w:w="1095" w:type="pct"/>
                  <w:vAlign w:val="center"/>
                </w:tcPr>
                <w:p w14:paraId="6A468D5C">
                  <w:pPr>
                    <w:snapToGrid w:val="0"/>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苯、甲苯、乙苯和二甲苯总和≤2%</w:t>
                  </w:r>
                </w:p>
              </w:tc>
              <w:tc>
                <w:tcPr>
                  <w:tcW w:w="1120" w:type="pct"/>
                  <w:vMerge w:val="continue"/>
                  <w:vAlign w:val="center"/>
                </w:tcPr>
                <w:p w14:paraId="48FA3217">
                  <w:pPr>
                    <w:snapToGrid w:val="0"/>
                    <w:jc w:val="center"/>
                    <w:rPr>
                      <w:rFonts w:hint="eastAsia" w:eastAsia="宋体"/>
                      <w:color w:val="000000" w:themeColor="text1"/>
                      <w:kern w:val="0"/>
                      <w:szCs w:val="21"/>
                      <w:lang w:val="en-US" w:eastAsia="zh-CN"/>
                      <w14:textFill>
                        <w14:solidFill>
                          <w14:schemeClr w14:val="tx1"/>
                        </w14:solidFill>
                      </w14:textFill>
                    </w:rPr>
                  </w:pPr>
                </w:p>
              </w:tc>
              <w:tc>
                <w:tcPr>
                  <w:tcW w:w="500" w:type="pct"/>
                  <w:vAlign w:val="center"/>
                </w:tcPr>
                <w:p w14:paraId="483F353C">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相符</w:t>
                  </w:r>
                </w:p>
              </w:tc>
            </w:tr>
            <w:tr w14:paraId="2F068F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301" w:type="pct"/>
                  <w:vAlign w:val="center"/>
                </w:tcPr>
                <w:p w14:paraId="369613E2">
                  <w:pPr>
                    <w:snapToGrid w:val="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1439" w:type="pct"/>
                  <w:vAlign w:val="center"/>
                </w:tcPr>
                <w:p w14:paraId="38B4141B">
                  <w:pPr>
                    <w:snapToGrid w:val="0"/>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《关于进一步加强涉气建设项目环评审批工作的通知》（常环发[2021]118号）、《江苏省挥发性有机物清洁原料替代工作方案》（苏大气办[2021]2号）</w:t>
                  </w:r>
                </w:p>
              </w:tc>
              <w:tc>
                <w:tcPr>
                  <w:tcW w:w="1638" w:type="pct"/>
                  <w:gridSpan w:val="2"/>
                  <w:vAlign w:val="center"/>
                </w:tcPr>
                <w:p w14:paraId="11BDE6C6">
                  <w:pPr>
                    <w:snapToGrid w:val="0"/>
                    <w:jc w:val="center"/>
                    <w:rPr>
                      <w:rFonts w:hint="eastAsia"/>
                      <w:color w:val="000000" w:themeColor="text1"/>
                      <w14:textFill>
                        <w14:solidFill>
                          <w14:schemeClr w14:val="tx1"/>
                        </w14:solidFill>
                      </w14:textFill>
                    </w:rPr>
                  </w:pPr>
                  <w:r>
                    <w:rPr>
                      <w:rFonts w:hint="eastAsia"/>
                      <w:color w:val="000000" w:themeColor="text1"/>
                      <w:szCs w:val="21"/>
                      <w14:textFill>
                        <w14:solidFill>
                          <w14:schemeClr w14:val="tx1"/>
                        </w14:solidFill>
                      </w14:textFill>
                    </w:rPr>
                    <w:t>使用</w:t>
                  </w:r>
                  <w:r>
                    <w:rPr>
                      <w:rFonts w:hint="default"/>
                      <w:color w:val="000000" w:themeColor="text1"/>
                      <w:kern w:val="0"/>
                      <w:szCs w:val="21"/>
                      <w14:textFill>
                        <w14:solidFill>
                          <w14:schemeClr w14:val="tx1"/>
                        </w14:solidFill>
                      </w14:textFill>
                    </w:rPr>
                    <w:t>《清洗剂挥发性有机化合物含量限值》（GB38508-2020）规定的水基、半水基清洗剂产品</w:t>
                  </w:r>
                </w:p>
              </w:tc>
              <w:tc>
                <w:tcPr>
                  <w:tcW w:w="1120" w:type="pct"/>
                  <w:vAlign w:val="center"/>
                </w:tcPr>
                <w:p w14:paraId="6A316818">
                  <w:pPr>
                    <w:snapToGrid w:val="0"/>
                    <w:jc w:val="center"/>
                    <w:rPr>
                      <w:rFonts w:hint="eastAsia" w:eastAsia="宋体"/>
                      <w:color w:val="000000" w:themeColor="text1"/>
                      <w:kern w:val="0"/>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本项目使用的清洗剂属于有机溶剂清洗剂</w:t>
                  </w:r>
                </w:p>
              </w:tc>
              <w:tc>
                <w:tcPr>
                  <w:tcW w:w="500" w:type="pct"/>
                  <w:vAlign w:val="center"/>
                </w:tcPr>
                <w:p w14:paraId="3C26BD41">
                  <w:pPr>
                    <w:snapToGrid w:val="0"/>
                    <w:jc w:val="center"/>
                    <w:rPr>
                      <w:rFonts w:hint="eastAsia"/>
                      <w:color w:val="000000" w:themeColor="text1"/>
                      <w:szCs w:val="21"/>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不</w:t>
                  </w:r>
                  <w:r>
                    <w:rPr>
                      <w:rFonts w:hint="eastAsia"/>
                      <w:b w:val="0"/>
                      <w:bCs w:val="0"/>
                      <w:color w:val="000000" w:themeColor="text1"/>
                      <w:szCs w:val="21"/>
                      <w14:textFill>
                        <w14:solidFill>
                          <w14:schemeClr w14:val="tx1"/>
                        </w14:solidFill>
                      </w14:textFill>
                    </w:rPr>
                    <w:t>相符</w:t>
                  </w:r>
                  <w:r>
                    <w:rPr>
                      <w:rFonts w:hint="eastAsia"/>
                      <w:b w:val="0"/>
                      <w:bCs w:val="0"/>
                      <w:color w:val="000000" w:themeColor="text1"/>
                      <w:szCs w:val="21"/>
                      <w:lang w:eastAsia="zh-CN"/>
                      <w14:textFill>
                        <w14:solidFill>
                          <w14:schemeClr w14:val="tx1"/>
                        </w14:solidFill>
                      </w14:textFill>
                    </w:rPr>
                    <w:t>（</w:t>
                  </w:r>
                  <w:r>
                    <w:rPr>
                      <w:rFonts w:hint="eastAsia"/>
                      <w:b w:val="0"/>
                      <w:bCs w:val="0"/>
                      <w:color w:val="000000" w:themeColor="text1"/>
                      <w:szCs w:val="21"/>
                      <w:lang w:val="en-US" w:eastAsia="zh-CN"/>
                      <w14:textFill>
                        <w14:solidFill>
                          <w14:schemeClr w14:val="tx1"/>
                        </w14:solidFill>
                      </w14:textFill>
                    </w:rPr>
                    <w:t>已开展专家论证</w:t>
                  </w:r>
                  <w:r>
                    <w:rPr>
                      <w:rFonts w:hint="eastAsia"/>
                      <w:b w:val="0"/>
                      <w:bCs w:val="0"/>
                      <w:color w:val="000000" w:themeColor="text1"/>
                      <w:szCs w:val="21"/>
                      <w:lang w:eastAsia="zh-CN"/>
                      <w14:textFill>
                        <w14:solidFill>
                          <w14:schemeClr w14:val="tx1"/>
                        </w14:solidFill>
                      </w14:textFill>
                    </w:rPr>
                    <w:t>）</w:t>
                  </w:r>
                </w:p>
              </w:tc>
            </w:tr>
          </w:tbl>
          <w:p w14:paraId="164ABE2E">
            <w:pPr>
              <w:spacing w:before="120" w:beforeLines="50" w:line="360" w:lineRule="auto"/>
              <w:ind w:firstLine="420" w:firstLineChars="200"/>
              <w:rPr>
                <w:color w:val="000000" w:themeColor="text1"/>
                <w:highlight w:val="none"/>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本项目医药冷链盒、医用水箱用于医疗行业，需要其表面标志长期清晰可见，若此部分产品使用水性油墨进行印刷，印刷图案在长时间的使用和暴露中容易褪色或磨损，目前此部分产品需使用溶剂油墨进行印刷，才能保证在长时间的使用和暴露中不会发生褪色或磨损；项目汽车风管用于汽车行业，汽车风管需在高温（引擎舱可达120°C以上）、油污、震动等环境下长期稳定工作，若此部分产品使用水性油墨进行印刷，受高温、油污影响会褪色、变色，目前此部分产品需使用溶剂油墨进行印刷，才能保证在高温、油污环境不会发生褪色、变色；项目工具箱用于工具类行业，在存放、取用各类工具会频繁</w:t>
            </w:r>
            <w:r>
              <w:rPr>
                <w:rFonts w:hint="eastAsia"/>
                <w:bCs/>
                <w:color w:val="000000" w:themeColor="text1"/>
                <w:szCs w:val="21"/>
                <w:lang w:val="en-US" w:eastAsia="zh-CN"/>
                <w14:textFill>
                  <w14:solidFill>
                    <w14:schemeClr w14:val="tx1"/>
                  </w14:solidFill>
                </w14:textFill>
              </w:rPr>
              <w:t>触摸、摩擦，对产品表面涂覆油墨的附着力、耐摩擦性、持久性等有较高要求</w:t>
            </w:r>
            <w:r>
              <w:rPr>
                <w:rFonts w:hint="eastAsia"/>
                <w:bCs/>
                <w:color w:val="000000" w:themeColor="text1"/>
                <w:szCs w:val="21"/>
                <w:highlight w:val="none"/>
                <w:lang w:val="en-US" w:eastAsia="zh-CN"/>
                <w14:textFill>
                  <w14:solidFill>
                    <w14:schemeClr w14:val="tx1"/>
                  </w14:solidFill>
                </w14:textFill>
              </w:rPr>
              <w:t>，若此部分产品使用水性油墨进行印刷，在高频次的触摸、摩擦影响下会褪色，目前此部分产品需使用溶剂油墨进行印刷，才能保证在高频次触摸、摩擦环境不会发生褪色。根据产品的使用环境、低VOC物料的各种性能指标分析，结合客户需求研究，目前同类型企业均采用溶剂油墨，企业医药冷链盒、医用水箱、</w:t>
            </w:r>
            <w:r>
              <w:rPr>
                <w:rFonts w:hint="eastAsia" w:ascii="宋体" w:hAnsi="宋体"/>
                <w:color w:val="000000" w:themeColor="text1"/>
                <w:sz w:val="21"/>
                <w:szCs w:val="21"/>
                <w14:textFill>
                  <w14:solidFill>
                    <w14:schemeClr w14:val="tx1"/>
                  </w14:solidFill>
                </w14:textFill>
              </w:rPr>
              <w:t>汽车风管</w:t>
            </w:r>
            <w:r>
              <w:rPr>
                <w:rFonts w:hint="eastAsia" w:ascii="宋体" w:hAnsi="宋体"/>
                <w:color w:val="000000" w:themeColor="text1"/>
                <w:sz w:val="21"/>
                <w:szCs w:val="21"/>
                <w:lang w:eastAsia="zh-CN"/>
                <w14:textFill>
                  <w14:solidFill>
                    <w14:schemeClr w14:val="tx1"/>
                  </w14:solidFill>
                </w14:textFill>
              </w:rPr>
              <w:t>、</w:t>
            </w:r>
            <w:r>
              <w:rPr>
                <w:rFonts w:hint="eastAsia" w:ascii="宋体" w:hAnsi="宋体"/>
                <w:color w:val="000000" w:themeColor="text1"/>
                <w:sz w:val="21"/>
                <w:szCs w:val="21"/>
                <w:lang w:val="en-US" w:eastAsia="zh-CN"/>
                <w14:textFill>
                  <w14:solidFill>
                    <w14:schemeClr w14:val="tx1"/>
                  </w14:solidFill>
                </w14:textFill>
              </w:rPr>
              <w:t>工具箱</w:t>
            </w:r>
            <w:r>
              <w:rPr>
                <w:rFonts w:hint="eastAsia"/>
                <w:bCs/>
                <w:color w:val="000000" w:themeColor="text1"/>
                <w:szCs w:val="21"/>
                <w:highlight w:val="none"/>
                <w:lang w:val="en-US" w:eastAsia="zh-CN"/>
                <w14:textFill>
                  <w14:solidFill>
                    <w14:schemeClr w14:val="tx1"/>
                  </w14:solidFill>
                </w14:textFill>
              </w:rPr>
              <w:t>使用的溶剂</w:t>
            </w:r>
            <w:r>
              <w:rPr>
                <w:rFonts w:hint="eastAsia"/>
                <w:color w:val="000000" w:themeColor="text1"/>
                <w:szCs w:val="21"/>
                <w:highlight w:val="none"/>
                <w:lang w:val="en-US" w:eastAsia="zh-CN"/>
                <w14:textFill>
                  <w14:solidFill>
                    <w14:schemeClr w14:val="tx1"/>
                  </w14:solidFill>
                </w14:textFill>
              </w:rPr>
              <w:t>网印</w:t>
            </w:r>
            <w:r>
              <w:rPr>
                <w:rFonts w:hint="eastAsia"/>
                <w:bCs/>
                <w:color w:val="000000" w:themeColor="text1"/>
                <w:szCs w:val="21"/>
                <w:highlight w:val="none"/>
                <w:lang w:val="en-US" w:eastAsia="zh-CN"/>
                <w14:textFill>
                  <w14:solidFill>
                    <w14:schemeClr w14:val="tx1"/>
                  </w14:solidFill>
                </w14:textFill>
              </w:rPr>
              <w:t>油墨暂时无法使用</w:t>
            </w:r>
            <w:r>
              <w:rPr>
                <w:rFonts w:hint="eastAsia"/>
                <w:color w:val="000000" w:themeColor="text1"/>
                <w:kern w:val="0"/>
                <w:szCs w:val="21"/>
                <w:highlight w:val="none"/>
                <w14:textFill>
                  <w14:solidFill>
                    <w14:schemeClr w14:val="tx1"/>
                  </w14:solidFill>
                </w14:textFill>
              </w:rPr>
              <w:t>水性</w:t>
            </w:r>
            <w:r>
              <w:rPr>
                <w:rFonts w:hint="eastAsia"/>
                <w:color w:val="000000" w:themeColor="text1"/>
                <w:kern w:val="0"/>
                <w:szCs w:val="21"/>
                <w:highlight w:val="none"/>
                <w:lang w:val="en-US" w:eastAsia="zh-CN"/>
                <w14:textFill>
                  <w14:solidFill>
                    <w14:schemeClr w14:val="tx1"/>
                  </w14:solidFill>
                </w14:textFill>
              </w:rPr>
              <w:t>油墨</w:t>
            </w:r>
            <w:r>
              <w:rPr>
                <w:rFonts w:hint="eastAsia"/>
                <w:color w:val="000000" w:themeColor="text1"/>
                <w:kern w:val="0"/>
                <w:szCs w:val="21"/>
                <w:highlight w:val="none"/>
                <w14:textFill>
                  <w14:solidFill>
                    <w14:schemeClr w14:val="tx1"/>
                  </w14:solidFill>
                </w14:textFill>
              </w:rPr>
              <w:t>和能量烘烤油墨</w:t>
            </w:r>
            <w:r>
              <w:rPr>
                <w:rFonts w:hint="eastAsia"/>
                <w:color w:val="000000" w:themeColor="text1"/>
                <w:kern w:val="0"/>
                <w:szCs w:val="21"/>
                <w:highlight w:val="none"/>
                <w:lang w:val="en-US" w:eastAsia="zh-CN"/>
                <w14:textFill>
                  <w14:solidFill>
                    <w14:schemeClr w14:val="tx1"/>
                  </w14:solidFill>
                </w14:textFill>
              </w:rPr>
              <w:t>进行替代。本项目使用的有机溶剂清洗剂，主要用于清洗印刷后在印刷机上残留的</w:t>
            </w:r>
            <w:r>
              <w:rPr>
                <w:rFonts w:hint="eastAsia"/>
                <w:bCs/>
                <w:color w:val="000000" w:themeColor="text1"/>
                <w:szCs w:val="21"/>
                <w:highlight w:val="none"/>
                <w:lang w:val="en-US" w:eastAsia="zh-CN"/>
                <w14:textFill>
                  <w14:solidFill>
                    <w14:schemeClr w14:val="tx1"/>
                  </w14:solidFill>
                </w14:textFill>
              </w:rPr>
              <w:t>溶剂</w:t>
            </w:r>
            <w:r>
              <w:rPr>
                <w:rFonts w:hint="eastAsia"/>
                <w:color w:val="000000" w:themeColor="text1"/>
                <w:kern w:val="0"/>
                <w:szCs w:val="21"/>
                <w:highlight w:val="none"/>
                <w:lang w:val="en-US" w:eastAsia="zh-CN"/>
                <w14:textFill>
                  <w14:solidFill>
                    <w14:schemeClr w14:val="tx1"/>
                  </w14:solidFill>
                </w14:textFill>
              </w:rPr>
              <w:t>油墨，</w:t>
            </w:r>
            <w:r>
              <w:rPr>
                <w:rFonts w:hint="eastAsia"/>
                <w:bCs/>
                <w:color w:val="000000" w:themeColor="text1"/>
                <w:szCs w:val="21"/>
                <w:highlight w:val="none"/>
                <w:lang w:val="en-US" w:eastAsia="zh-CN"/>
                <w14:textFill>
                  <w14:solidFill>
                    <w14:schemeClr w14:val="tx1"/>
                  </w14:solidFill>
                </w14:textFill>
              </w:rPr>
              <w:t>溶剂</w:t>
            </w:r>
            <w:r>
              <w:rPr>
                <w:rFonts w:hint="eastAsia"/>
                <w:color w:val="000000" w:themeColor="text1"/>
                <w:kern w:val="0"/>
                <w:szCs w:val="21"/>
                <w:highlight w:val="none"/>
                <w:lang w:val="en-US" w:eastAsia="zh-CN"/>
                <w14:textFill>
                  <w14:solidFill>
                    <w14:schemeClr w14:val="tx1"/>
                  </w14:solidFill>
                </w14:textFill>
              </w:rPr>
              <w:t>油墨不溶于水，</w:t>
            </w:r>
            <w:r>
              <w:rPr>
                <w:rFonts w:hint="eastAsia"/>
                <w:color w:val="000000" w:themeColor="text1"/>
                <w:kern w:val="0"/>
                <w:szCs w:val="21"/>
                <w:highlight w:val="none"/>
                <w14:textFill>
                  <w14:solidFill>
                    <w14:schemeClr w14:val="tx1"/>
                  </w14:solidFill>
                </w14:textFill>
              </w:rPr>
              <w:t>普通的水基型或者半水基型清洗剂无法清洗去除残留</w:t>
            </w:r>
            <w:r>
              <w:rPr>
                <w:rFonts w:hint="eastAsia"/>
                <w:color w:val="000000" w:themeColor="text1"/>
                <w:kern w:val="0"/>
                <w:szCs w:val="21"/>
                <w:highlight w:val="none"/>
                <w:lang w:val="en-US" w:eastAsia="zh-CN"/>
                <w14:textFill>
                  <w14:solidFill>
                    <w14:schemeClr w14:val="tx1"/>
                  </w14:solidFill>
                </w14:textFill>
              </w:rPr>
              <w:t>的油性油墨</w:t>
            </w:r>
            <w:r>
              <w:rPr>
                <w:rFonts w:hint="eastAsia"/>
                <w:color w:val="000000" w:themeColor="text1"/>
                <w:kern w:val="0"/>
                <w:szCs w:val="21"/>
                <w:highlight w:val="none"/>
                <w:lang w:eastAsia="zh-CN"/>
                <w14:textFill>
                  <w14:solidFill>
                    <w14:schemeClr w14:val="tx1"/>
                  </w14:solidFill>
                </w14:textFill>
              </w:rPr>
              <w:t>，</w:t>
            </w:r>
            <w:r>
              <w:rPr>
                <w:rFonts w:hint="eastAsia"/>
                <w:color w:val="000000" w:themeColor="text1"/>
                <w:kern w:val="0"/>
                <w:szCs w:val="21"/>
                <w:highlight w:val="none"/>
                <w:lang w:val="en-US" w:eastAsia="zh-CN"/>
                <w14:textFill>
                  <w14:solidFill>
                    <w14:schemeClr w14:val="tx1"/>
                  </w14:solidFill>
                </w14:textFill>
              </w:rPr>
              <w:t>因此本项目使用的清洗剂无法进行替代。本项目使用的油性油墨符合《油墨中可挥发性有机化合物（VOCs）含量的限值》（GB38507-2020）</w:t>
            </w:r>
            <w:r>
              <w:rPr>
                <w:rFonts w:hint="eastAsia"/>
                <w:color w:val="000000" w:themeColor="text1"/>
                <w:szCs w:val="21"/>
                <w:highlight w:val="none"/>
                <w14:textFill>
                  <w14:solidFill>
                    <w14:schemeClr w14:val="tx1"/>
                  </w14:solidFill>
                </w14:textFill>
              </w:rPr>
              <w:t>表1 油墨中可挥发性有机化合物含量的限值-溶剂油墨-</w:t>
            </w:r>
            <w:r>
              <w:rPr>
                <w:rFonts w:hint="eastAsia"/>
                <w:color w:val="000000" w:themeColor="text1"/>
                <w:szCs w:val="21"/>
                <w:highlight w:val="none"/>
                <w:lang w:val="en-US" w:eastAsia="zh-CN"/>
                <w14:textFill>
                  <w14:solidFill>
                    <w14:schemeClr w14:val="tx1"/>
                  </w14:solidFill>
                </w14:textFill>
              </w:rPr>
              <w:t>网印</w:t>
            </w:r>
            <w:r>
              <w:rPr>
                <w:rFonts w:hint="eastAsia"/>
                <w:color w:val="000000" w:themeColor="text1"/>
                <w:szCs w:val="21"/>
                <w:highlight w:val="none"/>
                <w14:textFill>
                  <w14:solidFill>
                    <w14:schemeClr w14:val="tx1"/>
                  </w14:solidFill>
                </w14:textFill>
              </w:rPr>
              <w:t>油墨-</w:t>
            </w:r>
            <w:r>
              <w:rPr>
                <w:rFonts w:hint="eastAsia"/>
                <w:color w:val="000000" w:themeColor="text1"/>
                <w:szCs w:val="21"/>
                <w:highlight w:val="none"/>
                <w:lang w:val="en-US" w:eastAsia="zh-CN"/>
                <w14:textFill>
                  <w14:solidFill>
                    <w14:schemeClr w14:val="tx1"/>
                  </w14:solidFill>
                </w14:textFill>
              </w:rPr>
              <w:t>VOC含量限值要求，本项目使用的清洗剂满足</w:t>
            </w:r>
            <w:r>
              <w:rPr>
                <w:rFonts w:hint="default"/>
                <w:b w:val="0"/>
                <w:bCs w:val="0"/>
                <w:color w:val="000000" w:themeColor="text1"/>
                <w:kern w:val="0"/>
                <w:szCs w:val="21"/>
                <w:highlight w:val="none"/>
                <w14:textFill>
                  <w14:solidFill>
                    <w14:schemeClr w14:val="tx1"/>
                  </w14:solidFill>
                </w14:textFill>
              </w:rPr>
              <w:t>《清洗剂挥发性有机化合物含量限值》（GB38508-2020）表1有机溶剂清洗剂VOC含量限值</w:t>
            </w:r>
            <w:r>
              <w:rPr>
                <w:bCs/>
                <w:color w:val="000000" w:themeColor="text1"/>
                <w:szCs w:val="21"/>
                <w:highlight w:val="none"/>
                <w14:textFill>
                  <w14:solidFill>
                    <w14:schemeClr w14:val="tx1"/>
                  </w14:solidFill>
                </w14:textFill>
              </w:rPr>
              <w:t>。</w:t>
            </w:r>
          </w:p>
          <w:p w14:paraId="296FB3E7">
            <w:pPr>
              <w:spacing w:line="360" w:lineRule="auto"/>
              <w:ind w:firstLine="420" w:firstLineChars="200"/>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本项目</w:t>
            </w:r>
            <w:r>
              <w:rPr>
                <w:rFonts w:hint="eastAsia"/>
                <w:color w:val="000000" w:themeColor="text1"/>
                <w:szCs w:val="21"/>
                <w:lang w:val="en-US" w:eastAsia="zh-CN"/>
                <w14:textFill>
                  <w14:solidFill>
                    <w14:schemeClr w14:val="tx1"/>
                  </w14:solidFill>
                </w14:textFill>
              </w:rPr>
              <w:t>溶剂油墨和</w:t>
            </w:r>
            <w:r>
              <w:rPr>
                <w:rFonts w:hint="eastAsia"/>
                <w:color w:val="000000" w:themeColor="text1"/>
                <w:szCs w:val="21"/>
                <w14:textFill>
                  <w14:solidFill>
                    <w14:schemeClr w14:val="tx1"/>
                  </w14:solidFill>
                </w14:textFill>
              </w:rPr>
              <w:t>溶剂清洗剂</w:t>
            </w:r>
            <w:r>
              <w:rPr>
                <w:color w:val="000000" w:themeColor="text1"/>
                <w14:textFill>
                  <w14:solidFill>
                    <w14:schemeClr w14:val="tx1"/>
                  </w14:solidFill>
                </w14:textFill>
              </w:rPr>
              <w:t>暂时不可替代（论证意见见附件）</w:t>
            </w:r>
            <w:r>
              <w:rPr>
                <w:rFonts w:hint="eastAsia"/>
                <w:color w:val="000000" w:themeColor="text1"/>
                <w14:textFill>
                  <w14:solidFill>
                    <w14:schemeClr w14:val="tx1"/>
                  </w14:solidFill>
                </w14:textFill>
              </w:rPr>
              <w:t>。</w:t>
            </w:r>
          </w:p>
          <w:p w14:paraId="309FBDA6">
            <w:pPr>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w:t>
            </w:r>
            <w:r>
              <w:rPr>
                <w:rFonts w:hint="eastAsia"/>
                <w:bCs/>
                <w:color w:val="000000" w:themeColor="text1"/>
                <w:szCs w:val="21"/>
                <w14:textFill>
                  <w14:solidFill>
                    <w14:schemeClr w14:val="tx1"/>
                  </w14:solidFill>
                </w14:textFill>
              </w:rPr>
              <w:t>本项目</w:t>
            </w:r>
            <w:r>
              <w:rPr>
                <w:bCs/>
                <w:color w:val="000000" w:themeColor="text1"/>
                <w:szCs w:val="21"/>
                <w14:textFill>
                  <w14:solidFill>
                    <w14:schemeClr w14:val="tx1"/>
                  </w14:solidFill>
                </w14:textFill>
              </w:rPr>
              <w:t>符合</w:t>
            </w:r>
            <w:r>
              <w:rPr>
                <w:color w:val="000000" w:themeColor="text1"/>
                <w:kern w:val="0"/>
                <w14:textFill>
                  <w14:solidFill>
                    <w14:schemeClr w14:val="tx1"/>
                  </w14:solidFill>
                </w14:textFill>
              </w:rPr>
              <w:t>《江苏省挥发性有机物清洁原料替代工作方案》(苏大气办[2021]2号)</w:t>
            </w:r>
            <w:r>
              <w:rPr>
                <w:rFonts w:hint="eastAsia"/>
                <w:color w:val="000000" w:themeColor="text1"/>
                <w:kern w:val="0"/>
                <w14:textFill>
                  <w14:solidFill>
                    <w14:schemeClr w14:val="tx1"/>
                  </w14:solidFill>
                </w14:textFill>
              </w:rPr>
              <w:t>、</w:t>
            </w:r>
            <w:r>
              <w:rPr>
                <w:rFonts w:hint="eastAsia"/>
                <w:bCs/>
                <w:color w:val="000000" w:themeColor="text1"/>
                <w:szCs w:val="21"/>
                <w14:textFill>
                  <w14:solidFill>
                    <w14:schemeClr w14:val="tx1"/>
                  </w14:solidFill>
                </w14:textFill>
              </w:rPr>
              <w:t>《常熟市2023年度大气污染防治工作计划》（常大气办[2023]6号）、</w:t>
            </w:r>
            <w:r>
              <w:rPr>
                <w:rFonts w:hint="eastAsia"/>
                <w:color w:val="000000" w:themeColor="text1"/>
                <w:szCs w:val="21"/>
                <w14:textFill>
                  <w14:solidFill>
                    <w14:schemeClr w14:val="tx1"/>
                  </w14:solidFill>
                </w14:textFill>
              </w:rPr>
              <w:t>《关于进一步加强涉气建设项目环评审批工作的通知》（常环发[2021]118号）</w:t>
            </w:r>
            <w:r>
              <w:rPr>
                <w:rFonts w:hint="eastAsia"/>
                <w:color w:val="000000" w:themeColor="text1"/>
                <w:kern w:val="0"/>
                <w14:textFill>
                  <w14:solidFill>
                    <w14:schemeClr w14:val="tx1"/>
                  </w14:solidFill>
                </w14:textFill>
              </w:rPr>
              <w:t>的要求，同时也符合</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油墨中可挥发性有机化合物（VOCs）含量的限值</w:t>
            </w:r>
            <w:r>
              <w:rPr>
                <w:color w:val="000000" w:themeColor="text1"/>
                <w:szCs w:val="21"/>
                <w14:textFill>
                  <w14:solidFill>
                    <w14:schemeClr w14:val="tx1"/>
                  </w14:solidFill>
                </w14:textFill>
              </w:rPr>
              <w:t xml:space="preserve">》（GB </w:t>
            </w:r>
            <w:r>
              <w:rPr>
                <w:rFonts w:hint="eastAsia"/>
                <w:color w:val="000000" w:themeColor="text1"/>
                <w:szCs w:val="21"/>
                <w14:textFill>
                  <w14:solidFill>
                    <w14:schemeClr w14:val="tx1"/>
                  </w14:solidFill>
                </w14:textFill>
              </w:rPr>
              <w:t>GB38507-2020</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和</w:t>
            </w:r>
            <w:r>
              <w:rPr>
                <w:rFonts w:hint="eastAsia"/>
                <w:color w:val="000000" w:themeColor="text1"/>
                <w:szCs w:val="21"/>
                <w14:textFill>
                  <w14:solidFill>
                    <w14:schemeClr w14:val="tx1"/>
                  </w14:solidFill>
                </w14:textFill>
              </w:rPr>
              <w:t>《清洗剂挥发性有机化合物含量限值》（GB 38508-2020）</w:t>
            </w:r>
            <w:r>
              <w:rPr>
                <w:bCs/>
                <w:color w:val="000000" w:themeColor="text1"/>
                <w:szCs w:val="21"/>
                <w14:textFill>
                  <w14:solidFill>
                    <w14:schemeClr w14:val="tx1"/>
                  </w14:solidFill>
                </w14:textFill>
              </w:rPr>
              <w:t>的要求</w:t>
            </w:r>
            <w:r>
              <w:rPr>
                <w:rFonts w:hint="eastAsia"/>
                <w:bCs/>
                <w:color w:val="000000" w:themeColor="text1"/>
                <w:szCs w:val="21"/>
                <w14:textFill>
                  <w14:solidFill>
                    <w14:schemeClr w14:val="tx1"/>
                  </w14:solidFill>
                </w14:textFill>
              </w:rPr>
              <w:t>。</w:t>
            </w:r>
          </w:p>
        </w:tc>
      </w:tr>
    </w:tbl>
    <w:p w14:paraId="2342D2D9">
      <w:pPr>
        <w:spacing w:line="360" w:lineRule="auto"/>
        <w:outlineLvl w:val="0"/>
        <w:rPr>
          <w:rFonts w:eastAsia="黑体"/>
          <w:color w:val="000000" w:themeColor="text1"/>
          <w:sz w:val="30"/>
          <w14:textFill>
            <w14:solidFill>
              <w14:schemeClr w14:val="tx1"/>
            </w14:solidFill>
          </w14:textFill>
        </w:rPr>
        <w:sectPr>
          <w:footerReference r:id="rId5" w:type="default"/>
          <w:pgSz w:w="11906" w:h="16838"/>
          <w:pgMar w:top="1701" w:right="1531" w:bottom="1701" w:left="1531" w:header="851" w:footer="1134" w:gutter="0"/>
          <w:pgBorders>
            <w:top w:val="none" w:sz="0" w:space="0"/>
            <w:left w:val="none" w:sz="0" w:space="0"/>
            <w:bottom w:val="none" w:sz="0" w:space="0"/>
            <w:right w:val="none" w:sz="0" w:space="0"/>
          </w:pgBorders>
          <w:pgNumType w:start="1"/>
          <w:cols w:space="720" w:num="1"/>
          <w:docGrid w:linePitch="312" w:charSpace="0"/>
        </w:sectPr>
      </w:pP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13221"/>
      </w:tblGrid>
      <w:tr w14:paraId="528D4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3" w:hRule="atLeast"/>
        </w:trPr>
        <w:tc>
          <w:tcPr>
            <w:tcW w:w="158" w:type="pct"/>
            <w:noWrap/>
            <w:vAlign w:val="center"/>
          </w:tcPr>
          <w:p w14:paraId="044F8FAD">
            <w:pPr>
              <w:pStyle w:val="18"/>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其他符合性分析</w:t>
            </w:r>
          </w:p>
        </w:tc>
        <w:tc>
          <w:tcPr>
            <w:tcW w:w="4841" w:type="pct"/>
            <w:noWrap/>
            <w:vAlign w:val="center"/>
          </w:tcPr>
          <w:p w14:paraId="79787213">
            <w:pPr>
              <w:spacing w:line="420" w:lineRule="exact"/>
              <w:ind w:firstLine="422" w:firstLineChars="20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1.</w:t>
            </w: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相关</w:t>
            </w:r>
            <w:r>
              <w:rPr>
                <w:b/>
                <w:color w:val="000000" w:themeColor="text1"/>
                <w:szCs w:val="21"/>
                <w14:textFill>
                  <w14:solidFill>
                    <w14:schemeClr w14:val="tx1"/>
                  </w14:solidFill>
                </w14:textFill>
              </w:rPr>
              <w:t>环保政策</w:t>
            </w:r>
            <w:r>
              <w:rPr>
                <w:rFonts w:hint="eastAsia"/>
                <w:b/>
                <w:color w:val="000000" w:themeColor="text1"/>
                <w:szCs w:val="21"/>
                <w14:textFill>
                  <w14:solidFill>
                    <w14:schemeClr w14:val="tx1"/>
                  </w14:solidFill>
                </w14:textFill>
              </w:rPr>
              <w:t>、标准</w:t>
            </w:r>
            <w:r>
              <w:rPr>
                <w:b/>
                <w:color w:val="000000" w:themeColor="text1"/>
                <w:szCs w:val="21"/>
                <w14:textFill>
                  <w14:solidFill>
                    <w14:schemeClr w14:val="tx1"/>
                  </w14:solidFill>
                </w14:textFill>
              </w:rPr>
              <w:t>相符性</w:t>
            </w:r>
          </w:p>
          <w:p w14:paraId="57857E93">
            <w:pPr>
              <w:spacing w:line="42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本项目与</w:t>
            </w:r>
            <w:r>
              <w:rPr>
                <w:rFonts w:hint="eastAsia"/>
                <w:bCs/>
                <w:color w:val="000000" w:themeColor="text1"/>
                <w:szCs w:val="21"/>
                <w14:textFill>
                  <w14:solidFill>
                    <w14:schemeClr w14:val="tx1"/>
                  </w14:solidFill>
                </w14:textFill>
              </w:rPr>
              <w:t>相关</w:t>
            </w:r>
            <w:r>
              <w:rPr>
                <w:color w:val="000000" w:themeColor="text1"/>
                <w:szCs w:val="21"/>
                <w14:textFill>
                  <w14:solidFill>
                    <w14:schemeClr w14:val="tx1"/>
                  </w14:solidFill>
                </w14:textFill>
              </w:rPr>
              <w:t>环保政策</w:t>
            </w:r>
            <w:r>
              <w:rPr>
                <w:rFonts w:hint="eastAsia"/>
                <w:color w:val="000000" w:themeColor="text1"/>
                <w:szCs w:val="21"/>
                <w14:textFill>
                  <w14:solidFill>
                    <w14:schemeClr w14:val="tx1"/>
                  </w14:solidFill>
                </w14:textFill>
              </w:rPr>
              <w:t>、标准</w:t>
            </w:r>
            <w:r>
              <w:rPr>
                <w:color w:val="000000" w:themeColor="text1"/>
                <w:szCs w:val="21"/>
                <w14:textFill>
                  <w14:solidFill>
                    <w14:schemeClr w14:val="tx1"/>
                  </w14:solidFill>
                </w14:textFill>
              </w:rPr>
              <w:t>的相符性分析见表1.</w:t>
            </w: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-1</w:t>
            </w:r>
            <w:r>
              <w:rPr>
                <w:bCs/>
                <w:color w:val="000000" w:themeColor="text1"/>
                <w:szCs w:val="21"/>
                <w14:textFill>
                  <w14:solidFill>
                    <w14:schemeClr w14:val="tx1"/>
                  </w14:solidFill>
                </w14:textFill>
              </w:rPr>
              <w:t>。</w:t>
            </w:r>
          </w:p>
          <w:p w14:paraId="00AEC713">
            <w:pPr>
              <w:jc w:val="center"/>
              <w:rPr>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表1.</w:t>
            </w:r>
            <w:r>
              <w:rPr>
                <w:rFonts w:hint="eastAsia"/>
                <w:b/>
                <w:bCs/>
                <w:color w:val="000000" w:themeColor="text1"/>
                <w:szCs w:val="21"/>
                <w:lang w:val="en-US" w:eastAsia="zh-CN"/>
                <w14:textFill>
                  <w14:solidFill>
                    <w14:schemeClr w14:val="tx1"/>
                  </w14:solidFill>
                </w14:textFill>
              </w:rPr>
              <w:t>3</w:t>
            </w:r>
            <w:r>
              <w:rPr>
                <w:b/>
                <w:bCs/>
                <w:color w:val="000000" w:themeColor="text1"/>
                <w:szCs w:val="21"/>
                <w14:textFill>
                  <w14:solidFill>
                    <w14:schemeClr w14:val="tx1"/>
                  </w14:solidFill>
                </w14:textFill>
              </w:rPr>
              <w:t xml:space="preserve">-1 </w:t>
            </w:r>
            <w:r>
              <w:rPr>
                <w:rFonts w:hint="eastAsia"/>
                <w:b/>
                <w:bCs/>
                <w:color w:val="000000" w:themeColor="text1"/>
                <w:szCs w:val="21"/>
                <w14:textFill>
                  <w14:solidFill>
                    <w14:schemeClr w14:val="tx1"/>
                  </w14:solidFill>
                </w14:textFill>
              </w:rPr>
              <w:t xml:space="preserve"> 相关</w:t>
            </w:r>
            <w:r>
              <w:rPr>
                <w:b/>
                <w:bCs/>
                <w:color w:val="000000" w:themeColor="text1"/>
                <w:szCs w:val="21"/>
                <w14:textFill>
                  <w14:solidFill>
                    <w14:schemeClr w14:val="tx1"/>
                  </w14:solidFill>
                </w14:textFill>
              </w:rPr>
              <w:t>环保政策</w:t>
            </w:r>
            <w:r>
              <w:rPr>
                <w:rFonts w:hint="eastAsia"/>
                <w:b/>
                <w:bCs/>
                <w:color w:val="000000" w:themeColor="text1"/>
                <w:szCs w:val="21"/>
                <w14:textFill>
                  <w14:solidFill>
                    <w14:schemeClr w14:val="tx1"/>
                  </w14:solidFill>
                </w14:textFill>
              </w:rPr>
              <w:t>、标准</w:t>
            </w:r>
            <w:r>
              <w:rPr>
                <w:b/>
                <w:bCs/>
                <w:color w:val="000000" w:themeColor="text1"/>
                <w:szCs w:val="21"/>
                <w14:textFill>
                  <w14:solidFill>
                    <w14:schemeClr w14:val="tx1"/>
                  </w14:solidFill>
                </w14:textFill>
              </w:rPr>
              <w:t>相符性一览表</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30" w:type="dxa"/>
                <w:bottom w:w="0" w:type="dxa"/>
                <w:right w:w="30" w:type="dxa"/>
              </w:tblCellMar>
            </w:tblPr>
            <w:tblGrid>
              <w:gridCol w:w="548"/>
              <w:gridCol w:w="2293"/>
              <w:gridCol w:w="5958"/>
              <w:gridCol w:w="3421"/>
              <w:gridCol w:w="761"/>
            </w:tblGrid>
            <w:tr w14:paraId="5E1178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48" w:type="dxa"/>
                  <w:tcBorders>
                    <w:right w:val="single" w:color="auto" w:sz="4" w:space="0"/>
                  </w:tcBorders>
                  <w:noWrap/>
                  <w:vAlign w:val="center"/>
                </w:tcPr>
                <w:p w14:paraId="3CBE124B">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2293" w:type="dxa"/>
                  <w:tcBorders>
                    <w:left w:val="single" w:color="auto" w:sz="4" w:space="0"/>
                    <w:right w:val="single" w:color="auto" w:sz="4" w:space="0"/>
                  </w:tcBorders>
                  <w:noWrap/>
                  <w:vAlign w:val="center"/>
                </w:tcPr>
                <w:p w14:paraId="1CF61CCD">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文件名</w:t>
                  </w:r>
                </w:p>
              </w:tc>
              <w:tc>
                <w:tcPr>
                  <w:tcW w:w="5958" w:type="dxa"/>
                  <w:tcBorders>
                    <w:left w:val="single" w:color="auto" w:sz="4" w:space="0"/>
                    <w:right w:val="single" w:color="auto" w:sz="4" w:space="0"/>
                  </w:tcBorders>
                  <w:noWrap/>
                  <w:vAlign w:val="center"/>
                </w:tcPr>
                <w:p w14:paraId="0E013D4E">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w:t>
                  </w:r>
                </w:p>
              </w:tc>
              <w:tc>
                <w:tcPr>
                  <w:tcW w:w="3421" w:type="dxa"/>
                  <w:tcBorders>
                    <w:left w:val="single" w:color="auto" w:sz="4" w:space="0"/>
                  </w:tcBorders>
                  <w:noWrap/>
                  <w:vAlign w:val="center"/>
                </w:tcPr>
                <w:p w14:paraId="0EC59534">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相符性分析</w:t>
                  </w:r>
                </w:p>
              </w:tc>
              <w:tc>
                <w:tcPr>
                  <w:tcW w:w="761" w:type="dxa"/>
                  <w:tcBorders>
                    <w:left w:val="single" w:color="auto" w:sz="4" w:space="0"/>
                  </w:tcBorders>
                  <w:noWrap/>
                  <w:vAlign w:val="center"/>
                </w:tcPr>
                <w:p w14:paraId="65AB116B">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相符性</w:t>
                  </w:r>
                </w:p>
              </w:tc>
            </w:tr>
            <w:tr w14:paraId="4F6658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48" w:type="dxa"/>
                  <w:tcBorders>
                    <w:right w:val="single" w:color="auto" w:sz="4" w:space="0"/>
                  </w:tcBorders>
                  <w:noWrap/>
                  <w:vAlign w:val="center"/>
                </w:tcPr>
                <w:p w14:paraId="49641CD4">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2293" w:type="dxa"/>
                  <w:tcBorders>
                    <w:left w:val="single" w:color="auto" w:sz="4" w:space="0"/>
                    <w:right w:val="single" w:color="auto" w:sz="4" w:space="0"/>
                  </w:tcBorders>
                  <w:noWrap/>
                  <w:vAlign w:val="center"/>
                </w:tcPr>
                <w:p w14:paraId="66527C17">
                  <w:pPr>
                    <w:autoSpaceDE w:val="0"/>
                    <w:autoSpaceDN w:val="0"/>
                    <w:adjustRightInd w:val="0"/>
                    <w:snapToGrid w:val="0"/>
                    <w:jc w:val="center"/>
                    <w:rPr>
                      <w:color w:val="000000" w:themeColor="text1"/>
                      <w:kern w:val="0"/>
                      <w:szCs w:val="21"/>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《国家污染防治技术指导目录》（2024年，限制类和淘汰类）</w:t>
                  </w:r>
                </w:p>
              </w:tc>
              <w:tc>
                <w:tcPr>
                  <w:tcW w:w="5958" w:type="dxa"/>
                  <w:tcBorders>
                    <w:left w:val="single" w:color="auto" w:sz="4" w:space="0"/>
                    <w:right w:val="single" w:color="auto" w:sz="4" w:space="0"/>
                  </w:tcBorders>
                  <w:noWrap/>
                  <w:vAlign w:val="center"/>
                </w:tcPr>
                <w:p w14:paraId="456051ED">
                  <w:pPr>
                    <w:numPr>
                      <w:ilvl w:val="0"/>
                      <w:numId w:val="2"/>
                    </w:numPr>
                    <w:autoSpaceDE w:val="0"/>
                    <w:autoSpaceDN w:val="0"/>
                    <w:adjustRightInd w:val="0"/>
                    <w:snapToGrid w:val="0"/>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限制类</w:t>
                  </w:r>
                </w:p>
                <w:p w14:paraId="4C3FEF9E">
                  <w:pPr>
                    <w:numPr>
                      <w:ilvl w:val="0"/>
                      <w:numId w:val="0"/>
                    </w:numPr>
                    <w:autoSpaceDE w:val="0"/>
                    <w:autoSpaceDN w:val="0"/>
                    <w:adjustRightInd w:val="0"/>
                    <w:snapToGrid w:val="0"/>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1、VOCs（挥发性有机物）洗涤吸收净化技术：该技术仅采用水、酸液、碱液洗涤吸收工业废气中VOCs后直接排放。</w:t>
                  </w:r>
                </w:p>
                <w:p w14:paraId="677C8EE9">
                  <w:pPr>
                    <w:numPr>
                      <w:ilvl w:val="0"/>
                      <w:numId w:val="0"/>
                    </w:numPr>
                    <w:autoSpaceDE w:val="0"/>
                    <w:autoSpaceDN w:val="0"/>
                    <w:adjustRightInd w:val="0"/>
                    <w:snapToGrid w:val="0"/>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无控制系统或控制系统未实现对设施关键参数进行自动调节控制的燃烧、冷凝、吸附-脱附VOCs治理技术：未对燃烧设施的辅助燃料用量、燃烧温度，冷凝设施的冷凝温度，吸附设施的吸附床层吸脱附时间和温度等关键参数进行自动调节与控制的VOCs治理技术。</w:t>
                  </w:r>
                </w:p>
                <w:p w14:paraId="73DB9DAA">
                  <w:pPr>
                    <w:numPr>
                      <w:ilvl w:val="0"/>
                      <w:numId w:val="2"/>
                    </w:numPr>
                    <w:autoSpaceDE w:val="0"/>
                    <w:autoSpaceDN w:val="0"/>
                    <w:adjustRightInd w:val="0"/>
                    <w:snapToGrid w:val="0"/>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淘汰类</w:t>
                  </w:r>
                </w:p>
                <w:p w14:paraId="3B096642">
                  <w:pPr>
                    <w:numPr>
                      <w:ilvl w:val="0"/>
                      <w:numId w:val="3"/>
                    </w:numPr>
                    <w:autoSpaceDE w:val="0"/>
                    <w:autoSpaceDN w:val="0"/>
                    <w:adjustRightInd w:val="0"/>
                    <w:snapToGrid w:val="0"/>
                    <w:rPr>
                      <w:rFonts w:hint="eastAsia"/>
                      <w:color w:val="000000" w:themeColor="text1"/>
                      <w:szCs w:val="21"/>
                      <w:highlight w:val="none"/>
                      <w:lang w:val="en-US" w:eastAsia="zh-CN"/>
                      <w14:textFill>
                        <w14:solidFill>
                          <w14:schemeClr w14:val="tx1"/>
                        </w14:solidFill>
                      </w14:textFill>
                    </w:rPr>
                  </w:pPr>
                  <w:r>
                    <w:rPr>
                      <w:rFonts w:hint="default"/>
                      <w:color w:val="000000" w:themeColor="text1"/>
                      <w:szCs w:val="21"/>
                      <w:highlight w:val="none"/>
                      <w:lang w:val="en-US" w:eastAsia="zh-CN"/>
                      <w14:textFill>
                        <w14:solidFill>
                          <w14:schemeClr w14:val="tx1"/>
                        </w14:solidFill>
                      </w14:textFill>
                    </w:rPr>
                    <w:t>VOCs光催化及其组合净化技术</w:t>
                  </w:r>
                  <w:r>
                    <w:rPr>
                      <w:rFonts w:hint="eastAsia"/>
                      <w:color w:val="000000" w:themeColor="text1"/>
                      <w:szCs w:val="21"/>
                      <w:highlight w:val="none"/>
                      <w:lang w:val="en-US" w:eastAsia="zh-CN"/>
                      <w14:textFill>
                        <w14:solidFill>
                          <w14:schemeClr w14:val="tx1"/>
                        </w14:solidFill>
                      </w14:textFill>
                    </w:rPr>
                    <w:t>：该技术利用二氧化钛等光催化剂，通过紫外光、可见光激活并氧化VOCs。</w:t>
                  </w:r>
                </w:p>
                <w:p w14:paraId="5B325516">
                  <w:pPr>
                    <w:numPr>
                      <w:ilvl w:val="0"/>
                      <w:numId w:val="3"/>
                    </w:numPr>
                    <w:autoSpaceDE w:val="0"/>
                    <w:autoSpaceDN w:val="0"/>
                    <w:adjustRightInd w:val="0"/>
                    <w:snapToGrid w:val="0"/>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VOCs低温等离子体及其组合净化技术：该技术利用气体分子在电场作用下产生的激发态分子、电子、离子、原子和自由基等活性物种，降解废气中有机污染物分子。</w:t>
                  </w:r>
                </w:p>
                <w:p w14:paraId="25D0A46B">
                  <w:pPr>
                    <w:numPr>
                      <w:ilvl w:val="0"/>
                      <w:numId w:val="3"/>
                    </w:numPr>
                    <w:autoSpaceDE w:val="0"/>
                    <w:autoSpaceDN w:val="0"/>
                    <w:adjustRightInd w:val="0"/>
                    <w:snapToGrid w:val="0"/>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VOCs光解（光氧化）及其组合净化技术：该技术利用污染物分子吸收短波长紫外光，引发污染物分子化学键断裂，同时废气中的氧气或水分子吸收短波长紫外光后，产生包括臭氧和羟基自由基等在内的活性物种与污染物分子发生降解反应。</w:t>
                  </w:r>
                </w:p>
              </w:tc>
              <w:tc>
                <w:tcPr>
                  <w:tcW w:w="3421" w:type="dxa"/>
                  <w:tcBorders>
                    <w:left w:val="single" w:color="auto" w:sz="4" w:space="0"/>
                  </w:tcBorders>
                  <w:noWrap/>
                  <w:vAlign w:val="center"/>
                </w:tcPr>
                <w:p w14:paraId="739A667B">
                  <w:pPr>
                    <w:autoSpaceDE w:val="0"/>
                    <w:autoSpaceDN w:val="0"/>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w:t>
                  </w:r>
                  <w:r>
                    <w:rPr>
                      <w:rFonts w:hint="eastAsia"/>
                      <w:bCs/>
                      <w:color w:val="000000" w:themeColor="text1"/>
                      <w:szCs w:val="21"/>
                      <w14:textFill>
                        <w14:solidFill>
                          <w14:schemeClr w14:val="tx1"/>
                        </w14:solidFill>
                      </w14:textFill>
                    </w:rPr>
                    <w:t>吹塑、印刷、烘干、印刷机清理工序产生的有机废气经</w:t>
                  </w:r>
                  <w:r>
                    <w:rPr>
                      <w:rFonts w:hint="eastAsia"/>
                      <w:bCs/>
                      <w:color w:val="000000" w:themeColor="text1"/>
                      <w:szCs w:val="21"/>
                      <w:lang w:val="en-US" w:eastAsia="zh-CN"/>
                      <w14:textFill>
                        <w14:solidFill>
                          <w14:schemeClr w14:val="tx1"/>
                        </w14:solidFill>
                      </w14:textFill>
                    </w:rPr>
                    <w:t>包围式集气罩收集后通过1套二级活性炭吸附</w:t>
                  </w:r>
                  <w:r>
                    <w:rPr>
                      <w:rFonts w:hint="eastAsia"/>
                      <w:bCs/>
                      <w:color w:val="000000" w:themeColor="text1"/>
                      <w:szCs w:val="21"/>
                      <w14:textFill>
                        <w14:solidFill>
                          <w14:schemeClr w14:val="tx1"/>
                        </w14:solidFill>
                      </w14:textFill>
                    </w:rPr>
                    <w:t>装置</w:t>
                  </w:r>
                  <w:r>
                    <w:rPr>
                      <w:rFonts w:hint="eastAsia"/>
                      <w:bCs/>
                      <w:color w:val="000000" w:themeColor="text1"/>
                      <w:szCs w:val="21"/>
                      <w:lang w:val="en-US" w:eastAsia="zh-CN"/>
                      <w14:textFill>
                        <w14:solidFill>
                          <w14:schemeClr w14:val="tx1"/>
                        </w14:solidFill>
                      </w14:textFill>
                    </w:rPr>
                    <w:t>T</w:t>
                  </w:r>
                  <w:r>
                    <w:rPr>
                      <w:rFonts w:hint="eastAsia"/>
                      <w:bCs/>
                      <w:color w:val="000000" w:themeColor="text1"/>
                      <w:szCs w:val="21"/>
                      <w14:textFill>
                        <w14:solidFill>
                          <w14:schemeClr w14:val="tx1"/>
                        </w14:solidFill>
                      </w14:textFill>
                    </w:rPr>
                    <w:t>A001处理后通过</w:t>
                  </w:r>
                  <w:r>
                    <w:rPr>
                      <w:rFonts w:hint="eastAsia"/>
                      <w:bCs/>
                      <w:color w:val="000000" w:themeColor="text1"/>
                      <w:szCs w:val="21"/>
                      <w:lang w:val="en-US" w:eastAsia="zh-CN"/>
                      <w14:textFill>
                        <w14:solidFill>
                          <w14:schemeClr w14:val="tx1"/>
                        </w14:solidFill>
                      </w14:textFill>
                    </w:rPr>
                    <w:t>2</w:t>
                  </w:r>
                  <w:r>
                    <w:rPr>
                      <w:rFonts w:hint="eastAsia"/>
                      <w:bCs/>
                      <w:color w:val="000000" w:themeColor="text1"/>
                      <w:szCs w:val="21"/>
                      <w14:textFill>
                        <w14:solidFill>
                          <w14:schemeClr w14:val="tx1"/>
                        </w14:solidFill>
                      </w14:textFill>
                    </w:rPr>
                    <w:t>5米高</w:t>
                  </w:r>
                  <w:r>
                    <w:rPr>
                      <w:rFonts w:hint="eastAsia"/>
                      <w:bCs/>
                      <w:color w:val="000000" w:themeColor="text1"/>
                      <w:szCs w:val="21"/>
                      <w:lang w:val="en-US" w:eastAsia="zh-CN"/>
                      <w14:textFill>
                        <w14:solidFill>
                          <w14:schemeClr w14:val="tx1"/>
                        </w14:solidFill>
                      </w14:textFill>
                    </w:rPr>
                    <w:t>DA00</w:t>
                  </w:r>
                  <w:r>
                    <w:rPr>
                      <w:rFonts w:hint="eastAsia"/>
                      <w:bCs/>
                      <w:color w:val="000000" w:themeColor="text1"/>
                      <w:szCs w:val="21"/>
                      <w14:textFill>
                        <w14:solidFill>
                          <w14:schemeClr w14:val="tx1"/>
                        </w14:solidFill>
                      </w14:textFill>
                    </w:rPr>
                    <w:t>1排气筒排放</w:t>
                  </w:r>
                  <w:r>
                    <w:rPr>
                      <w:rFonts w:hint="eastAsia"/>
                      <w:color w:val="000000" w:themeColor="text1"/>
                      <w:szCs w:val="21"/>
                      <w:lang w:eastAsia="zh-CN"/>
                      <w14:textFill>
                        <w14:solidFill>
                          <w14:schemeClr w14:val="tx1"/>
                        </w14:solidFill>
                      </w14:textFill>
                    </w:rPr>
                    <w:t>，</w:t>
                  </w:r>
                  <w:r>
                    <w:rPr>
                      <w:rFonts w:hint="eastAsia"/>
                      <w:bCs/>
                      <w:color w:val="000000" w:themeColor="text1"/>
                      <w:sz w:val="21"/>
                      <w:szCs w:val="21"/>
                      <w:highlight w:val="none"/>
                      <w:lang w:val="en-US" w:eastAsia="zh-CN"/>
                      <w14:textFill>
                        <w14:solidFill>
                          <w14:schemeClr w14:val="tx1"/>
                        </w14:solidFill>
                      </w14:textFill>
                    </w:rPr>
                    <w:t>不涉及</w:t>
                  </w:r>
                  <w:r>
                    <w:rPr>
                      <w:rFonts w:hint="eastAsia"/>
                      <w:b w:val="0"/>
                      <w:bCs w:val="0"/>
                      <w:color w:val="000000" w:themeColor="text1"/>
                      <w:sz w:val="21"/>
                      <w:szCs w:val="21"/>
                      <w:highlight w:val="none"/>
                      <w:lang w:val="en-US" w:eastAsia="zh-CN"/>
                      <w14:textFill>
                        <w14:solidFill>
                          <w14:schemeClr w14:val="tx1"/>
                        </w14:solidFill>
                      </w14:textFill>
                    </w:rPr>
                    <w:t>《国家污染防治技术指导目录》（2024年，限制类和淘汰类）中的限制类和淘汰类技术</w:t>
                  </w:r>
                  <w:r>
                    <w:rPr>
                      <w:rFonts w:hint="eastAsia"/>
                      <w:color w:val="000000" w:themeColor="text1"/>
                      <w:szCs w:val="21"/>
                      <w14:textFill>
                        <w14:solidFill>
                          <w14:schemeClr w14:val="tx1"/>
                        </w14:solidFill>
                      </w14:textFill>
                    </w:rPr>
                    <w:t>。</w:t>
                  </w:r>
                </w:p>
              </w:tc>
              <w:tc>
                <w:tcPr>
                  <w:tcW w:w="761" w:type="dxa"/>
                  <w:tcBorders>
                    <w:left w:val="single" w:color="auto" w:sz="4" w:space="0"/>
                  </w:tcBorders>
                  <w:noWrap/>
                  <w:vAlign w:val="center"/>
                </w:tcPr>
                <w:p w14:paraId="6AE37363">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相符</w:t>
                  </w:r>
                </w:p>
              </w:tc>
            </w:tr>
            <w:tr w14:paraId="4F02C8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48" w:type="dxa"/>
                  <w:tcBorders>
                    <w:right w:val="single" w:color="auto" w:sz="4" w:space="0"/>
                  </w:tcBorders>
                  <w:noWrap/>
                  <w:vAlign w:val="center"/>
                </w:tcPr>
                <w:p w14:paraId="6FAB5923">
                  <w:pPr>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2293" w:type="dxa"/>
                  <w:tcBorders>
                    <w:left w:val="single" w:color="auto" w:sz="4" w:space="0"/>
                    <w:right w:val="single" w:color="auto" w:sz="4" w:space="0"/>
                  </w:tcBorders>
                  <w:noWrap/>
                  <w:vAlign w:val="center"/>
                </w:tcPr>
                <w:p w14:paraId="090ED61D">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《关于进一步加强涉气建设项目环评审批工作的通知》</w:t>
                  </w:r>
                </w:p>
                <w:p w14:paraId="7D6EF636">
                  <w:pPr>
                    <w:autoSpaceDE w:val="0"/>
                    <w:autoSpaceDN w:val="0"/>
                    <w:adjustRightInd w:val="0"/>
                    <w:snapToGrid w:val="0"/>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（常环发[2021]118号）</w:t>
                  </w:r>
                </w:p>
              </w:tc>
              <w:tc>
                <w:tcPr>
                  <w:tcW w:w="5958" w:type="dxa"/>
                  <w:tcBorders>
                    <w:left w:val="single" w:color="auto" w:sz="4" w:space="0"/>
                    <w:right w:val="single" w:color="auto" w:sz="4" w:space="0"/>
                  </w:tcBorders>
                  <w:noWrap/>
                  <w:vAlign w:val="center"/>
                </w:tcPr>
                <w:p w14:paraId="5A9E37DB">
                  <w:pPr>
                    <w:autoSpaceDE w:val="0"/>
                    <w:autoSpaceDN w:val="0"/>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上级要求，严格执行生态环境部环境规划院大气环境质量优化提升战略合作专班差异化管控工作要求，引导企业提升挥发性有机物治理水平，严格审查废气治理工艺的科学性和适用性，建设项目选取大气污染治理工艺时，不得适用单一活性炭吸附，光氧催化、低温等离子等单级处理工艺，重点行业、特征污染物因子的处理工艺应对照《各行业废气治理工艺推荐表》进行选取，不符合相关工艺要求的涉气建设项目不予受理、审批。</w:t>
                  </w:r>
                </w:p>
              </w:tc>
              <w:tc>
                <w:tcPr>
                  <w:tcW w:w="3421" w:type="dxa"/>
                  <w:vMerge w:val="restart"/>
                  <w:tcBorders>
                    <w:left w:val="single" w:color="auto" w:sz="4" w:space="0"/>
                  </w:tcBorders>
                  <w:noWrap/>
                  <w:vAlign w:val="center"/>
                </w:tcPr>
                <w:p w14:paraId="5EB999AC">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本项目使用的</w:t>
                  </w:r>
                  <w:r>
                    <w:rPr>
                      <w:rFonts w:hint="eastAsia"/>
                      <w:bCs/>
                      <w:color w:val="000000" w:themeColor="text1"/>
                      <w:szCs w:val="21"/>
                      <w:lang w:val="en-US" w:eastAsia="zh-CN"/>
                      <w14:textFill>
                        <w14:solidFill>
                          <w14:schemeClr w14:val="tx1"/>
                        </w14:solidFill>
                      </w14:textFill>
                    </w:rPr>
                    <w:t>溶剂油墨</w:t>
                  </w:r>
                  <w:r>
                    <w:rPr>
                      <w:rFonts w:hint="eastAsia"/>
                      <w:bCs/>
                      <w:color w:val="000000" w:themeColor="text1"/>
                      <w:szCs w:val="21"/>
                      <w14:textFill>
                        <w14:solidFill>
                          <w14:schemeClr w14:val="tx1"/>
                        </w14:solidFill>
                      </w14:textFill>
                    </w:rPr>
                    <w:t>符合</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油墨中可挥发性有机化合物（VOCs）含量的限值</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GB38507-2020</w:t>
                  </w:r>
                  <w:r>
                    <w:rPr>
                      <w:color w:val="000000" w:themeColor="text1"/>
                      <w:szCs w:val="21"/>
                      <w14:textFill>
                        <w14:solidFill>
                          <w14:schemeClr w14:val="tx1"/>
                        </w14:solidFill>
                      </w14:textFill>
                    </w:rPr>
                    <w:t>）</w:t>
                  </w:r>
                  <w:r>
                    <w:rPr>
                      <w:rFonts w:hint="eastAsia"/>
                      <w:color w:val="000000" w:themeColor="text1"/>
                      <w:kern w:val="0"/>
                      <w14:textFill>
                        <w14:solidFill>
                          <w14:schemeClr w14:val="tx1"/>
                        </w14:solidFill>
                      </w14:textFill>
                    </w:rPr>
                    <w:t>的要求</w:t>
                  </w:r>
                  <w:r>
                    <w:rPr>
                      <w:rFonts w:hint="eastAsia"/>
                      <w:color w:val="000000" w:themeColor="text1"/>
                      <w:kern w:val="0"/>
                      <w:lang w:eastAsia="zh-CN"/>
                      <w14:textFill>
                        <w14:solidFill>
                          <w14:schemeClr w14:val="tx1"/>
                        </w14:solidFill>
                      </w14:textFill>
                    </w:rPr>
                    <w:t>，</w:t>
                  </w:r>
                  <w:r>
                    <w:rPr>
                      <w:rFonts w:hint="eastAsia"/>
                      <w:color w:val="000000" w:themeColor="text1"/>
                      <w:kern w:val="0"/>
                      <w:lang w:val="en-US" w:eastAsia="zh-CN"/>
                      <w14:textFill>
                        <w14:solidFill>
                          <w14:schemeClr w14:val="tx1"/>
                        </w14:solidFill>
                      </w14:textFill>
                    </w:rPr>
                    <w:t>溶剂清洗剂符合</w:t>
                  </w:r>
                  <w:r>
                    <w:rPr>
                      <w:rFonts w:hint="eastAsia"/>
                      <w:color w:val="000000" w:themeColor="text1"/>
                      <w:szCs w:val="21"/>
                      <w14:textFill>
                        <w14:solidFill>
                          <w14:schemeClr w14:val="tx1"/>
                        </w14:solidFill>
                      </w14:textFill>
                    </w:rPr>
                    <w:t>《清洗剂挥发性有机化合物含量限值》（GB 38508-2020）</w:t>
                  </w:r>
                  <w:r>
                    <w:rPr>
                      <w:bCs/>
                      <w:color w:val="000000" w:themeColor="text1"/>
                      <w:szCs w:val="21"/>
                      <w14:textFill>
                        <w14:solidFill>
                          <w14:schemeClr w14:val="tx1"/>
                        </w14:solidFill>
                      </w14:textFill>
                    </w:rPr>
                    <w:t>的要求</w:t>
                  </w:r>
                  <w:r>
                    <w:rPr>
                      <w:rFonts w:hint="eastAsia"/>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根据上文VOCs限值分析可知，本项目溶剂</w:t>
                  </w:r>
                  <w:r>
                    <w:rPr>
                      <w:rFonts w:hint="eastAsia"/>
                      <w:bCs/>
                      <w:color w:val="000000" w:themeColor="text1"/>
                      <w:szCs w:val="21"/>
                      <w:lang w:val="en-US" w:eastAsia="zh-CN"/>
                      <w14:textFill>
                        <w14:solidFill>
                          <w14:schemeClr w14:val="tx1"/>
                        </w14:solidFill>
                      </w14:textFill>
                    </w:rPr>
                    <w:t>油墨、</w:t>
                  </w:r>
                  <w:r>
                    <w:rPr>
                      <w:rFonts w:hint="eastAsia"/>
                      <w:color w:val="000000" w:themeColor="text1"/>
                      <w:szCs w:val="21"/>
                      <w14:textFill>
                        <w14:solidFill>
                          <w14:schemeClr w14:val="tx1"/>
                        </w14:solidFill>
                      </w14:textFill>
                    </w:rPr>
                    <w:t>清洗剂</w:t>
                  </w:r>
                  <w:r>
                    <w:rPr>
                      <w:color w:val="000000" w:themeColor="text1"/>
                      <w14:textFill>
                        <w14:solidFill>
                          <w14:schemeClr w14:val="tx1"/>
                        </w14:solidFill>
                      </w14:textFill>
                    </w:rPr>
                    <w:t>的</w:t>
                  </w:r>
                  <w:r>
                    <w:rPr>
                      <w:rFonts w:hint="eastAsia"/>
                      <w:color w:val="000000" w:themeColor="text1"/>
                      <w14:textFill>
                        <w14:solidFill>
                          <w14:schemeClr w14:val="tx1"/>
                        </w14:solidFill>
                      </w14:textFill>
                    </w:rPr>
                    <w:t>VOC含量均</w:t>
                  </w:r>
                  <w:r>
                    <w:rPr>
                      <w:color w:val="000000" w:themeColor="text1"/>
                      <w14:textFill>
                        <w14:solidFill>
                          <w14:schemeClr w14:val="tx1"/>
                        </w14:solidFill>
                      </w14:textFill>
                    </w:rPr>
                    <w:t>满足相应的产品标准</w:t>
                  </w:r>
                  <w:r>
                    <w:rPr>
                      <w:rFonts w:hint="eastAsia"/>
                      <w:color w:val="000000" w:themeColor="text1"/>
                      <w14:textFill>
                        <w14:solidFill>
                          <w14:schemeClr w14:val="tx1"/>
                        </w14:solidFill>
                      </w14:textFill>
                    </w:rPr>
                    <w:t>，其中溶剂</w:t>
                  </w:r>
                  <w:r>
                    <w:rPr>
                      <w:rFonts w:hint="eastAsia"/>
                      <w:bCs/>
                      <w:color w:val="000000" w:themeColor="text1"/>
                      <w:szCs w:val="21"/>
                      <w:lang w:val="en-US" w:eastAsia="zh-CN"/>
                      <w14:textFill>
                        <w14:solidFill>
                          <w14:schemeClr w14:val="tx1"/>
                        </w14:solidFill>
                      </w14:textFill>
                    </w:rPr>
                    <w:t>油墨、</w:t>
                  </w:r>
                  <w:r>
                    <w:rPr>
                      <w:rFonts w:hint="eastAsia"/>
                      <w:color w:val="000000" w:themeColor="text1"/>
                      <w:szCs w:val="21"/>
                      <w14:textFill>
                        <w14:solidFill>
                          <w14:schemeClr w14:val="tx1"/>
                        </w14:solidFill>
                      </w14:textFill>
                    </w:rPr>
                    <w:t>清洗剂</w:t>
                  </w:r>
                  <w:r>
                    <w:rPr>
                      <w:rFonts w:hint="eastAsia"/>
                      <w:color w:val="000000" w:themeColor="text1"/>
                      <w14:textFill>
                        <w14:solidFill>
                          <w14:schemeClr w14:val="tx1"/>
                        </w14:solidFill>
                      </w14:textFill>
                    </w:rPr>
                    <w:t>等</w:t>
                  </w:r>
                  <w:r>
                    <w:rPr>
                      <w:bCs/>
                      <w:color w:val="000000" w:themeColor="text1"/>
                      <w:szCs w:val="21"/>
                      <w14:textFill>
                        <w14:solidFill>
                          <w14:schemeClr w14:val="tx1"/>
                        </w14:solidFill>
                      </w14:textFill>
                    </w:rPr>
                    <w:t>受到</w:t>
                  </w:r>
                  <w:r>
                    <w:rPr>
                      <w:rFonts w:hint="eastAsia"/>
                      <w:bCs/>
                      <w:color w:val="000000" w:themeColor="text1"/>
                      <w:szCs w:val="21"/>
                      <w14:textFill>
                        <w14:solidFill>
                          <w14:schemeClr w14:val="tx1"/>
                        </w14:solidFill>
                      </w14:textFill>
                    </w:rPr>
                    <w:t>产品质量要求的限制，暂时不可替代</w:t>
                  </w:r>
                  <w:r>
                    <w:rPr>
                      <w:rFonts w:hint="eastAsia"/>
                      <w:bCs/>
                      <w:color w:val="000000" w:themeColor="text1"/>
                      <w:szCs w:val="21"/>
                      <w:highlight w:val="none"/>
                      <w14:textFill>
                        <w14:solidFill>
                          <w14:schemeClr w14:val="tx1"/>
                        </w14:solidFill>
                      </w14:textFill>
                    </w:rPr>
                    <w:t>。</w:t>
                  </w:r>
                </w:p>
                <w:p w14:paraId="0CBB3BEB">
                  <w:pPr>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吹塑、印刷、烘干、</w:t>
                  </w:r>
                  <w:r>
                    <w:rPr>
                      <w:rFonts w:hint="eastAsia"/>
                      <w:color w:val="000000" w:themeColor="text1"/>
                      <w:szCs w:val="21"/>
                      <w:lang w:val="en-US" w:eastAsia="zh-CN"/>
                      <w14:textFill>
                        <w14:solidFill>
                          <w14:schemeClr w14:val="tx1"/>
                        </w14:solidFill>
                      </w14:textFill>
                    </w:rPr>
                    <w:t>印刷机清理</w:t>
                  </w:r>
                  <w:r>
                    <w:rPr>
                      <w:rFonts w:hint="eastAsia"/>
                      <w:bCs/>
                      <w:color w:val="000000" w:themeColor="text1"/>
                      <w:szCs w:val="21"/>
                      <w14:textFill>
                        <w14:solidFill>
                          <w14:schemeClr w14:val="tx1"/>
                        </w14:solidFill>
                      </w14:textFill>
                    </w:rPr>
                    <w:t>工序产生的有机废气</w:t>
                  </w:r>
                  <w:r>
                    <w:rPr>
                      <w:rFonts w:hint="eastAsia"/>
                      <w:color w:val="000000" w:themeColor="text1"/>
                      <w:szCs w:val="21"/>
                      <w14:textFill>
                        <w14:solidFill>
                          <w14:schemeClr w14:val="tx1"/>
                        </w14:solidFill>
                      </w14:textFill>
                    </w:rPr>
                    <w:t>经</w:t>
                  </w:r>
                  <w:r>
                    <w:rPr>
                      <w:rFonts w:hint="eastAsia"/>
                      <w:color w:val="000000" w:themeColor="text1"/>
                      <w:szCs w:val="21"/>
                      <w:lang w:val="en-US" w:eastAsia="zh-CN"/>
                      <w14:textFill>
                        <w14:solidFill>
                          <w14:schemeClr w14:val="tx1"/>
                        </w14:solidFill>
                      </w14:textFill>
                    </w:rPr>
                    <w:t>包围式集气罩</w:t>
                  </w:r>
                  <w:r>
                    <w:rPr>
                      <w:rFonts w:hint="eastAsia"/>
                      <w:color w:val="000000" w:themeColor="text1"/>
                      <w:szCs w:val="21"/>
                      <w14:textFill>
                        <w14:solidFill>
                          <w14:schemeClr w14:val="tx1"/>
                        </w14:solidFill>
                      </w14:textFill>
                    </w:rPr>
                    <w:t>收集+</w:t>
                  </w:r>
                  <w:r>
                    <w:rPr>
                      <w:rFonts w:hint="eastAsia"/>
                      <w:color w:val="000000" w:themeColor="text1"/>
                      <w:szCs w:val="21"/>
                      <w:lang w:val="en-US" w:eastAsia="zh-CN"/>
                      <w14:textFill>
                        <w14:solidFill>
                          <w14:schemeClr w14:val="tx1"/>
                        </w14:solidFill>
                      </w14:textFill>
                    </w:rPr>
                    <w:t>二级活性炭吸附</w:t>
                  </w:r>
                  <w:r>
                    <w:rPr>
                      <w:rFonts w:hint="eastAsia"/>
                      <w:color w:val="000000" w:themeColor="text1"/>
                      <w:szCs w:val="21"/>
                      <w14:textFill>
                        <w14:solidFill>
                          <w14:schemeClr w14:val="tx1"/>
                        </w14:solidFill>
                      </w14:textFill>
                    </w:rPr>
                    <w:t>装置</w:t>
                  </w:r>
                  <w:r>
                    <w:rPr>
                      <w:rFonts w:hint="eastAsia"/>
                      <w:color w:val="000000" w:themeColor="text1"/>
                      <w:szCs w:val="21"/>
                      <w:lang w:val="en-US" w:eastAsia="zh-CN"/>
                      <w14:textFill>
                        <w14:solidFill>
                          <w14:schemeClr w14:val="tx1"/>
                        </w14:solidFill>
                      </w14:textFill>
                    </w:rPr>
                    <w:t>T</w:t>
                  </w:r>
                  <w:r>
                    <w:rPr>
                      <w:rFonts w:hint="eastAsia"/>
                      <w:color w:val="000000" w:themeColor="text1"/>
                      <w:szCs w:val="21"/>
                      <w14:textFill>
                        <w14:solidFill>
                          <w14:schemeClr w14:val="tx1"/>
                        </w14:solidFill>
                      </w14:textFill>
                    </w:rPr>
                    <w:t>A001处理后通过</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5m高的</w:t>
                  </w:r>
                  <w:r>
                    <w:rPr>
                      <w:rFonts w:hint="eastAsia"/>
                      <w:color w:val="000000" w:themeColor="text1"/>
                      <w:szCs w:val="21"/>
                      <w:lang w:val="en-US" w:eastAsia="zh-CN"/>
                      <w14:textFill>
                        <w14:solidFill>
                          <w14:schemeClr w14:val="tx1"/>
                        </w14:solidFill>
                      </w14:textFill>
                    </w:rPr>
                    <w:t>DA00</w:t>
                  </w:r>
                  <w:r>
                    <w:rPr>
                      <w:rFonts w:hint="eastAsia"/>
                      <w:color w:val="000000" w:themeColor="text1"/>
                      <w:szCs w:val="21"/>
                      <w14:textFill>
                        <w14:solidFill>
                          <w14:schemeClr w14:val="tx1"/>
                        </w14:solidFill>
                      </w14:textFill>
                    </w:rPr>
                    <w:t>1排气筒排放</w:t>
                  </w:r>
                  <w:r>
                    <w:rPr>
                      <w:rFonts w:hint="eastAsia"/>
                      <w:color w:val="000000" w:themeColor="text1"/>
                      <w:lang w:eastAsia="zh-CN"/>
                      <w14:textFill>
                        <w14:solidFill>
                          <w14:schemeClr w14:val="tx1"/>
                        </w14:solidFill>
                      </w14:textFill>
                    </w:rPr>
                    <w:t>。</w:t>
                  </w:r>
                  <w:r>
                    <w:rPr>
                      <w:rFonts w:hint="eastAsia"/>
                      <w:bCs/>
                      <w:color w:val="000000" w:themeColor="text1"/>
                      <w:szCs w:val="21"/>
                      <w14:textFill>
                        <w14:solidFill>
                          <w14:schemeClr w14:val="tx1"/>
                        </w14:solidFill>
                      </w14:textFill>
                    </w:rPr>
                    <w:t>排放量在常熟高新技术开发区内平衡，不会降低环境质量。</w:t>
                  </w:r>
                </w:p>
                <w:p w14:paraId="4E5C9A6E">
                  <w:pPr>
                    <w:autoSpaceDE w:val="0"/>
                    <w:autoSpaceDN w:val="0"/>
                    <w:adjustRightInd w:val="0"/>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本项目VOCs物料</w:t>
                  </w:r>
                  <w:r>
                    <w:rPr>
                      <w:rFonts w:hint="eastAsia"/>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HDPE</w:t>
                  </w:r>
                  <w:r>
                    <w:rPr>
                      <w:rFonts w:hint="eastAsia" w:ascii="Times New Roman" w:hAnsi="Times New Roman" w:cs="Times New Roman"/>
                      <w:color w:val="000000" w:themeColor="text1"/>
                      <w:sz w:val="21"/>
                      <w:szCs w:val="21"/>
                      <w:lang w:val="en-US" w:eastAsia="zh-CN"/>
                      <w14:textFill>
                        <w14:solidFill>
                          <w14:schemeClr w14:val="tx1"/>
                        </w14:solidFill>
                      </w14:textFill>
                    </w:rPr>
                    <w:t>粒子、</w:t>
                  </w:r>
                  <w:r>
                    <w:rPr>
                      <w:rFonts w:hint="eastAsia"/>
                      <w:color w:val="000000" w:themeColor="text1"/>
                      <w:szCs w:val="21"/>
                      <w:lang w:val="en-US" w:eastAsia="zh-CN"/>
                      <w14:textFill>
                        <w14:solidFill>
                          <w14:schemeClr w14:val="tx1"/>
                        </w14:solidFill>
                      </w14:textFill>
                    </w:rPr>
                    <w:t>溶剂油墨、清洗剂）</w:t>
                  </w:r>
                  <w:r>
                    <w:rPr>
                      <w:rFonts w:hint="eastAsia"/>
                      <w:bCs/>
                      <w:color w:val="000000" w:themeColor="text1"/>
                      <w:szCs w:val="21"/>
                      <w:highlight w:val="none"/>
                      <w14:textFill>
                        <w14:solidFill>
                          <w14:schemeClr w14:val="tx1"/>
                        </w14:solidFill>
                      </w14:textFill>
                    </w:rPr>
                    <w:t>以及VOCs危险废物（</w:t>
                  </w:r>
                  <w:r>
                    <w:rPr>
                      <w:rFonts w:hint="eastAsia"/>
                      <w:bCs/>
                      <w:color w:val="000000" w:themeColor="text1"/>
                      <w:szCs w:val="21"/>
                      <w:highlight w:val="none"/>
                      <w:lang w:val="en-US" w:eastAsia="zh-CN"/>
                      <w14:textFill>
                        <w14:solidFill>
                          <w14:schemeClr w14:val="tx1"/>
                        </w14:solidFill>
                      </w14:textFill>
                    </w:rPr>
                    <w:t>废活性炭、废抹布、废包装桶</w:t>
                  </w:r>
                  <w:r>
                    <w:rPr>
                      <w:rFonts w:hint="eastAsia"/>
                      <w:bCs/>
                      <w:color w:val="000000" w:themeColor="text1"/>
                      <w:szCs w:val="21"/>
                      <w:highlight w:val="none"/>
                      <w14:textFill>
                        <w14:solidFill>
                          <w14:schemeClr w14:val="tx1"/>
                        </w14:solidFill>
                      </w14:textFill>
                    </w:rPr>
                    <w:t>）</w:t>
                  </w:r>
                  <w:r>
                    <w:rPr>
                      <w:bCs/>
                      <w:color w:val="000000" w:themeColor="text1"/>
                      <w:szCs w:val="21"/>
                      <w:highlight w:val="none"/>
                      <w14:textFill>
                        <w14:solidFill>
                          <w14:schemeClr w14:val="tx1"/>
                        </w14:solidFill>
                      </w14:textFill>
                    </w:rPr>
                    <w:t>储存于密闭的容器中</w:t>
                  </w:r>
                  <w:r>
                    <w:rPr>
                      <w:rFonts w:hint="eastAsia"/>
                      <w:bCs/>
                      <w:color w:val="000000" w:themeColor="text1"/>
                      <w:szCs w:val="21"/>
                      <w:highlight w:val="none"/>
                      <w14:textFill>
                        <w14:solidFill>
                          <w14:schemeClr w14:val="tx1"/>
                        </w14:solidFill>
                      </w14:textFill>
                    </w:rPr>
                    <w:t>并</w:t>
                  </w:r>
                  <w:r>
                    <w:rPr>
                      <w:bCs/>
                      <w:color w:val="000000" w:themeColor="text1"/>
                      <w:szCs w:val="21"/>
                      <w:highlight w:val="none"/>
                      <w14:textFill>
                        <w14:solidFill>
                          <w14:schemeClr w14:val="tx1"/>
                        </w14:solidFill>
                      </w14:textFill>
                    </w:rPr>
                    <w:t>置于室内，</w:t>
                  </w:r>
                  <w:r>
                    <w:rPr>
                      <w:rFonts w:hint="eastAsia"/>
                      <w:bCs/>
                      <w:color w:val="000000" w:themeColor="text1"/>
                      <w:szCs w:val="21"/>
                      <w:highlight w:val="none"/>
                      <w:lang w:val="en-US" w:eastAsia="zh-CN"/>
                      <w14:textFill>
                        <w14:solidFill>
                          <w14:schemeClr w14:val="tx1"/>
                        </w14:solidFill>
                      </w14:textFill>
                    </w:rPr>
                    <w:t>废包装加盖密闭贮存在室内，</w:t>
                  </w:r>
                  <w:r>
                    <w:rPr>
                      <w:rFonts w:hint="eastAsia"/>
                      <w:bCs/>
                      <w:color w:val="000000" w:themeColor="text1"/>
                      <w:szCs w:val="21"/>
                      <w:highlight w:val="none"/>
                      <w14:textFill>
                        <w14:solidFill>
                          <w14:schemeClr w14:val="tx1"/>
                        </w14:solidFill>
                      </w14:textFill>
                    </w:rPr>
                    <w:t>在储存、运输、装卸过程</w:t>
                  </w:r>
                  <w:r>
                    <w:rPr>
                      <w:bCs/>
                      <w:color w:val="000000" w:themeColor="text1"/>
                      <w:szCs w:val="21"/>
                      <w:highlight w:val="none"/>
                      <w14:textFill>
                        <w14:solidFill>
                          <w14:schemeClr w14:val="tx1"/>
                        </w14:solidFill>
                      </w14:textFill>
                    </w:rPr>
                    <w:t>加盖、封口、保持密闭</w:t>
                  </w:r>
                  <w:r>
                    <w:rPr>
                      <w:rFonts w:hint="eastAsia"/>
                      <w:color w:val="000000" w:themeColor="text1"/>
                      <w:szCs w:val="21"/>
                      <w14:textFill>
                        <w14:solidFill>
                          <w14:schemeClr w14:val="tx1"/>
                        </w14:solidFill>
                      </w14:textFill>
                    </w:rPr>
                    <w:t>。</w:t>
                  </w:r>
                </w:p>
              </w:tc>
              <w:tc>
                <w:tcPr>
                  <w:tcW w:w="761" w:type="dxa"/>
                  <w:tcBorders>
                    <w:left w:val="single" w:color="auto" w:sz="4" w:space="0"/>
                  </w:tcBorders>
                  <w:noWrap/>
                  <w:vAlign w:val="center"/>
                </w:tcPr>
                <w:p w14:paraId="323E21E4">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1060F8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48" w:type="dxa"/>
                  <w:vMerge w:val="restart"/>
                  <w:tcBorders>
                    <w:right w:val="single" w:color="auto" w:sz="4" w:space="0"/>
                  </w:tcBorders>
                  <w:noWrap/>
                  <w:vAlign w:val="center"/>
                </w:tcPr>
                <w:p w14:paraId="5884D9C6">
                  <w:pPr>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2293" w:type="dxa"/>
                  <w:vMerge w:val="restart"/>
                  <w:tcBorders>
                    <w:left w:val="single" w:color="auto" w:sz="4" w:space="0"/>
                    <w:right w:val="single" w:color="auto" w:sz="4" w:space="0"/>
                  </w:tcBorders>
                  <w:noWrap/>
                  <w:vAlign w:val="center"/>
                </w:tcPr>
                <w:p w14:paraId="188FA2BB">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《江苏省挥发性有机物污染防治管理办法》</w:t>
                  </w:r>
                </w:p>
                <w:p w14:paraId="3B902CAD">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（江苏省人民政府令 第119号）</w:t>
                  </w:r>
                </w:p>
              </w:tc>
              <w:tc>
                <w:tcPr>
                  <w:tcW w:w="5958" w:type="dxa"/>
                  <w:tcBorders>
                    <w:left w:val="single" w:color="auto" w:sz="4" w:space="0"/>
                    <w:right w:val="single" w:color="auto" w:sz="4" w:space="0"/>
                  </w:tcBorders>
                  <w:noWrap/>
                  <w:vAlign w:val="center"/>
                </w:tcPr>
                <w:p w14:paraId="38F78B60">
                  <w:pPr>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生产、进口、销售、使用含有挥发性有机物的原料和产品，其挥发性有机物含量应当符合相应的限值标准。</w:t>
                  </w:r>
                </w:p>
              </w:tc>
              <w:tc>
                <w:tcPr>
                  <w:tcW w:w="3421" w:type="dxa"/>
                  <w:vMerge w:val="continue"/>
                  <w:tcBorders>
                    <w:left w:val="single" w:color="auto" w:sz="4" w:space="0"/>
                  </w:tcBorders>
                  <w:noWrap/>
                  <w:vAlign w:val="center"/>
                </w:tcPr>
                <w:p w14:paraId="1C59C786">
                  <w:pPr>
                    <w:autoSpaceDE w:val="0"/>
                    <w:autoSpaceDN w:val="0"/>
                    <w:adjustRightInd w:val="0"/>
                    <w:snapToGrid w:val="0"/>
                    <w:jc w:val="left"/>
                    <w:rPr>
                      <w:color w:val="000000" w:themeColor="text1"/>
                      <w:szCs w:val="21"/>
                      <w14:textFill>
                        <w14:solidFill>
                          <w14:schemeClr w14:val="tx1"/>
                        </w14:solidFill>
                      </w14:textFill>
                    </w:rPr>
                  </w:pPr>
                </w:p>
              </w:tc>
              <w:tc>
                <w:tcPr>
                  <w:tcW w:w="761" w:type="dxa"/>
                  <w:tcBorders>
                    <w:left w:val="single" w:color="auto" w:sz="4" w:space="0"/>
                  </w:tcBorders>
                  <w:noWrap/>
                  <w:vAlign w:val="center"/>
                </w:tcPr>
                <w:p w14:paraId="12B2A5CC">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1A9A63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48" w:type="dxa"/>
                  <w:vMerge w:val="continue"/>
                  <w:tcBorders>
                    <w:right w:val="single" w:color="auto" w:sz="4" w:space="0"/>
                  </w:tcBorders>
                  <w:noWrap/>
                  <w:vAlign w:val="center"/>
                </w:tcPr>
                <w:p w14:paraId="31E52A2E">
                  <w:pPr>
                    <w:autoSpaceDE w:val="0"/>
                    <w:autoSpaceDN w:val="0"/>
                    <w:adjustRightInd w:val="0"/>
                    <w:snapToGrid w:val="0"/>
                    <w:jc w:val="left"/>
                    <w:rPr>
                      <w:color w:val="000000" w:themeColor="text1"/>
                      <w14:textFill>
                        <w14:solidFill>
                          <w14:schemeClr w14:val="tx1"/>
                        </w14:solidFill>
                      </w14:textFill>
                    </w:rPr>
                  </w:pPr>
                </w:p>
              </w:tc>
              <w:tc>
                <w:tcPr>
                  <w:tcW w:w="2293" w:type="dxa"/>
                  <w:vMerge w:val="continue"/>
                  <w:tcBorders>
                    <w:left w:val="single" w:color="auto" w:sz="4" w:space="0"/>
                    <w:right w:val="single" w:color="auto" w:sz="4" w:space="0"/>
                  </w:tcBorders>
                  <w:noWrap/>
                  <w:vAlign w:val="center"/>
                </w:tcPr>
                <w:p w14:paraId="51CE9020">
                  <w:pPr>
                    <w:autoSpaceDE w:val="0"/>
                    <w:autoSpaceDN w:val="0"/>
                    <w:adjustRightInd w:val="0"/>
                    <w:snapToGrid w:val="0"/>
                    <w:jc w:val="left"/>
                    <w:rPr>
                      <w:color w:val="000000" w:themeColor="text1"/>
                      <w14:textFill>
                        <w14:solidFill>
                          <w14:schemeClr w14:val="tx1"/>
                        </w14:solidFill>
                      </w14:textFill>
                    </w:rPr>
                  </w:pPr>
                </w:p>
              </w:tc>
              <w:tc>
                <w:tcPr>
                  <w:tcW w:w="5958" w:type="dxa"/>
                  <w:tcBorders>
                    <w:left w:val="single" w:color="auto" w:sz="4" w:space="0"/>
                    <w:right w:val="single" w:color="auto" w:sz="4" w:space="0"/>
                  </w:tcBorders>
                  <w:noWrap/>
                  <w:vAlign w:val="center"/>
                </w:tcPr>
                <w:p w14:paraId="66268AD8">
                  <w:pPr>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3421" w:type="dxa"/>
                  <w:vMerge w:val="continue"/>
                  <w:tcBorders>
                    <w:left w:val="single" w:color="auto" w:sz="4" w:space="0"/>
                  </w:tcBorders>
                  <w:noWrap/>
                  <w:vAlign w:val="center"/>
                </w:tcPr>
                <w:p w14:paraId="5CAA45BA">
                  <w:pPr>
                    <w:autoSpaceDE w:val="0"/>
                    <w:autoSpaceDN w:val="0"/>
                    <w:adjustRightInd w:val="0"/>
                    <w:snapToGrid w:val="0"/>
                    <w:jc w:val="left"/>
                    <w:rPr>
                      <w:color w:val="000000" w:themeColor="text1"/>
                      <w:szCs w:val="21"/>
                      <w14:textFill>
                        <w14:solidFill>
                          <w14:schemeClr w14:val="tx1"/>
                        </w14:solidFill>
                      </w14:textFill>
                    </w:rPr>
                  </w:pPr>
                </w:p>
              </w:tc>
              <w:tc>
                <w:tcPr>
                  <w:tcW w:w="761" w:type="dxa"/>
                  <w:tcBorders>
                    <w:left w:val="single" w:color="auto" w:sz="4" w:space="0"/>
                  </w:tcBorders>
                  <w:noWrap/>
                  <w:vAlign w:val="center"/>
                </w:tcPr>
                <w:p w14:paraId="7B620AD7">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455720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48" w:type="dxa"/>
                  <w:vMerge w:val="continue"/>
                  <w:tcBorders>
                    <w:right w:val="single" w:color="auto" w:sz="4" w:space="0"/>
                  </w:tcBorders>
                  <w:noWrap/>
                  <w:vAlign w:val="center"/>
                </w:tcPr>
                <w:p w14:paraId="5E435141">
                  <w:pPr>
                    <w:autoSpaceDE w:val="0"/>
                    <w:autoSpaceDN w:val="0"/>
                    <w:adjustRightInd w:val="0"/>
                    <w:snapToGrid w:val="0"/>
                    <w:jc w:val="left"/>
                    <w:rPr>
                      <w:color w:val="000000" w:themeColor="text1"/>
                      <w14:textFill>
                        <w14:solidFill>
                          <w14:schemeClr w14:val="tx1"/>
                        </w14:solidFill>
                      </w14:textFill>
                    </w:rPr>
                  </w:pPr>
                </w:p>
              </w:tc>
              <w:tc>
                <w:tcPr>
                  <w:tcW w:w="2293" w:type="dxa"/>
                  <w:vMerge w:val="continue"/>
                  <w:tcBorders>
                    <w:left w:val="single" w:color="auto" w:sz="4" w:space="0"/>
                    <w:right w:val="single" w:color="auto" w:sz="4" w:space="0"/>
                  </w:tcBorders>
                  <w:noWrap/>
                  <w:vAlign w:val="center"/>
                </w:tcPr>
                <w:p w14:paraId="3E757359">
                  <w:pPr>
                    <w:autoSpaceDE w:val="0"/>
                    <w:autoSpaceDN w:val="0"/>
                    <w:adjustRightInd w:val="0"/>
                    <w:snapToGrid w:val="0"/>
                    <w:jc w:val="left"/>
                    <w:rPr>
                      <w:color w:val="000000" w:themeColor="text1"/>
                      <w14:textFill>
                        <w14:solidFill>
                          <w14:schemeClr w14:val="tx1"/>
                        </w14:solidFill>
                      </w14:textFill>
                    </w:rPr>
                  </w:pPr>
                </w:p>
              </w:tc>
              <w:tc>
                <w:tcPr>
                  <w:tcW w:w="5958" w:type="dxa"/>
                  <w:tcBorders>
                    <w:left w:val="single" w:color="auto" w:sz="4" w:space="0"/>
                    <w:right w:val="single" w:color="auto" w:sz="4" w:space="0"/>
                  </w:tcBorders>
                  <w:noWrap/>
                  <w:vAlign w:val="center"/>
                </w:tcPr>
                <w:p w14:paraId="4CFAE9DF">
                  <w:pPr>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新建、改建、扩建排放挥发性有机物的建设项目，应当依法进行环境影响评价。新增挥发性有机物排放总量指标的不足部分，可以依照有关规定通过排污权交易取得。</w:t>
                  </w:r>
                </w:p>
              </w:tc>
              <w:tc>
                <w:tcPr>
                  <w:tcW w:w="3421" w:type="dxa"/>
                  <w:tcBorders>
                    <w:left w:val="single" w:color="auto" w:sz="4" w:space="0"/>
                  </w:tcBorders>
                  <w:noWrap/>
                  <w:vAlign w:val="center"/>
                </w:tcPr>
                <w:p w14:paraId="77EE6B1B">
                  <w:pPr>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本项目正在依法进行环境影响评价，VOCs总量在</w:t>
                  </w:r>
                  <w:r>
                    <w:rPr>
                      <w:rFonts w:hint="eastAsia"/>
                      <w:color w:val="000000" w:themeColor="text1"/>
                      <w:szCs w:val="21"/>
                      <w14:textFill>
                        <w14:solidFill>
                          <w14:schemeClr w14:val="tx1"/>
                        </w14:solidFill>
                      </w14:textFill>
                    </w:rPr>
                    <w:t>常熟高新技术开发区</w:t>
                  </w:r>
                  <w:r>
                    <w:rPr>
                      <w:color w:val="000000" w:themeColor="text1"/>
                      <w:szCs w:val="21"/>
                      <w14:textFill>
                        <w14:solidFill>
                          <w14:schemeClr w14:val="tx1"/>
                        </w14:solidFill>
                      </w14:textFill>
                    </w:rPr>
                    <w:t>内进行平衡。</w:t>
                  </w:r>
                </w:p>
              </w:tc>
              <w:tc>
                <w:tcPr>
                  <w:tcW w:w="761" w:type="dxa"/>
                  <w:tcBorders>
                    <w:left w:val="single" w:color="auto" w:sz="4" w:space="0"/>
                  </w:tcBorders>
                  <w:noWrap/>
                  <w:vAlign w:val="center"/>
                </w:tcPr>
                <w:p w14:paraId="08D26AE4">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220827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48" w:type="dxa"/>
                  <w:vMerge w:val="continue"/>
                  <w:tcBorders>
                    <w:right w:val="single" w:color="auto" w:sz="4" w:space="0"/>
                  </w:tcBorders>
                  <w:noWrap/>
                  <w:vAlign w:val="center"/>
                </w:tcPr>
                <w:p w14:paraId="61D4D1A3">
                  <w:pPr>
                    <w:autoSpaceDE w:val="0"/>
                    <w:autoSpaceDN w:val="0"/>
                    <w:adjustRightInd w:val="0"/>
                    <w:snapToGrid w:val="0"/>
                    <w:jc w:val="left"/>
                    <w:rPr>
                      <w:color w:val="000000" w:themeColor="text1"/>
                      <w:szCs w:val="21"/>
                      <w14:textFill>
                        <w14:solidFill>
                          <w14:schemeClr w14:val="tx1"/>
                        </w14:solidFill>
                      </w14:textFill>
                    </w:rPr>
                  </w:pPr>
                </w:p>
              </w:tc>
              <w:tc>
                <w:tcPr>
                  <w:tcW w:w="2293" w:type="dxa"/>
                  <w:vMerge w:val="continue"/>
                  <w:tcBorders>
                    <w:left w:val="single" w:color="auto" w:sz="4" w:space="0"/>
                    <w:right w:val="single" w:color="auto" w:sz="4" w:space="0"/>
                  </w:tcBorders>
                  <w:noWrap/>
                  <w:vAlign w:val="center"/>
                </w:tcPr>
                <w:p w14:paraId="41179380">
                  <w:pPr>
                    <w:autoSpaceDE w:val="0"/>
                    <w:autoSpaceDN w:val="0"/>
                    <w:adjustRightInd w:val="0"/>
                    <w:snapToGrid w:val="0"/>
                    <w:jc w:val="left"/>
                    <w:rPr>
                      <w:color w:val="000000" w:themeColor="text1"/>
                      <w:szCs w:val="21"/>
                      <w14:textFill>
                        <w14:solidFill>
                          <w14:schemeClr w14:val="tx1"/>
                        </w14:solidFill>
                      </w14:textFill>
                    </w:rPr>
                  </w:pPr>
                </w:p>
              </w:tc>
              <w:tc>
                <w:tcPr>
                  <w:tcW w:w="5958" w:type="dxa"/>
                  <w:tcBorders>
                    <w:left w:val="single" w:color="auto" w:sz="4" w:space="0"/>
                    <w:right w:val="single" w:color="auto" w:sz="4" w:space="0"/>
                  </w:tcBorders>
                  <w:noWrap/>
                  <w:vAlign w:val="center"/>
                </w:tcPr>
                <w:p w14:paraId="64779D35">
                  <w:pPr>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挥发性有机物排放单位应当按照有关规定和监测规范自行或者委托有关监测机构对其排放的挥发性有机物进行监测，记录、保存监测数据，并按照规定向社会公开。监测数据应当真实、可靠，保存时间不得少于3年。</w:t>
                  </w:r>
                </w:p>
              </w:tc>
              <w:tc>
                <w:tcPr>
                  <w:tcW w:w="3421" w:type="dxa"/>
                  <w:tcBorders>
                    <w:left w:val="single" w:color="auto" w:sz="4" w:space="0"/>
                  </w:tcBorders>
                  <w:noWrap/>
                  <w:vAlign w:val="center"/>
                </w:tcPr>
                <w:p w14:paraId="48494503">
                  <w:pPr>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本项目建成后，根据自行监测计划委托有关监测机构对排放的挥发性有机物进行监测，记录、保存监测数据，并按照规定向社会公开。监测数据真实、可靠，保存时间不少于5年。</w:t>
                  </w:r>
                </w:p>
              </w:tc>
              <w:tc>
                <w:tcPr>
                  <w:tcW w:w="761" w:type="dxa"/>
                  <w:tcBorders>
                    <w:left w:val="single" w:color="auto" w:sz="4" w:space="0"/>
                  </w:tcBorders>
                  <w:noWrap/>
                  <w:vAlign w:val="center"/>
                </w:tcPr>
                <w:p w14:paraId="634B1684">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052D06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48" w:type="dxa"/>
                  <w:vMerge w:val="restart"/>
                  <w:tcBorders>
                    <w:right w:val="single" w:color="auto" w:sz="4" w:space="0"/>
                  </w:tcBorders>
                  <w:noWrap/>
                  <w:vAlign w:val="center"/>
                </w:tcPr>
                <w:p w14:paraId="17D0DCBE">
                  <w:pPr>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2293" w:type="dxa"/>
                  <w:vMerge w:val="restart"/>
                  <w:tcBorders>
                    <w:left w:val="single" w:color="auto" w:sz="4" w:space="0"/>
                    <w:right w:val="single" w:color="auto" w:sz="4" w:space="0"/>
                  </w:tcBorders>
                  <w:noWrap/>
                  <w:vAlign w:val="center"/>
                </w:tcPr>
                <w:p w14:paraId="539B3BD1">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《挥发性有机物无组织排放控制标准》</w:t>
                  </w:r>
                </w:p>
                <w:p w14:paraId="70E34CBD">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（GB37822-2019）</w:t>
                  </w:r>
                </w:p>
              </w:tc>
              <w:tc>
                <w:tcPr>
                  <w:tcW w:w="5958" w:type="dxa"/>
                  <w:tcBorders>
                    <w:left w:val="single" w:color="auto" w:sz="4" w:space="0"/>
                    <w:right w:val="single" w:color="auto" w:sz="4" w:space="0"/>
                  </w:tcBorders>
                  <w:noWrap/>
                  <w:vAlign w:val="center"/>
                </w:tcPr>
                <w:p w14:paraId="1F671F18">
                  <w:pPr>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VOCs物料应储存于密闭的容器、包装袋、储罐、储库、料库中，盛装VOCs物料的容器或者包装袋应存放于室内，或存放于设置有雨棚、遮阳和防渗设施的专用场地。盛装VOCs物料的容器或包装袋在非取用状态时应加盖、封口、保持密闭。</w:t>
                  </w:r>
                </w:p>
              </w:tc>
              <w:tc>
                <w:tcPr>
                  <w:tcW w:w="3421" w:type="dxa"/>
                  <w:vMerge w:val="restart"/>
                  <w:tcBorders>
                    <w:left w:val="single" w:color="auto" w:sz="4" w:space="0"/>
                  </w:tcBorders>
                  <w:noWrap/>
                  <w:vAlign w:val="center"/>
                </w:tcPr>
                <w:p w14:paraId="1A17F29E">
                  <w:pPr>
                    <w:autoSpaceDE w:val="0"/>
                    <w:autoSpaceDN w:val="0"/>
                    <w:adjustRightInd w:val="0"/>
                    <w:snapToGrid w:val="0"/>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本项目</w:t>
                  </w:r>
                  <w:r>
                    <w:rPr>
                      <w:rFonts w:hint="eastAsia"/>
                      <w:bCs/>
                      <w:color w:val="000000" w:themeColor="text1"/>
                      <w:szCs w:val="21"/>
                      <w:highlight w:val="none"/>
                      <w14:textFill>
                        <w14:solidFill>
                          <w14:schemeClr w14:val="tx1"/>
                        </w14:solidFill>
                      </w14:textFill>
                    </w:rPr>
                    <w:t>VOCs原料（</w:t>
                  </w:r>
                  <w:r>
                    <w:rPr>
                      <w:rFonts w:hint="default" w:ascii="Times New Roman" w:hAnsi="Times New Roman" w:cs="Times New Roman"/>
                      <w:color w:val="000000" w:themeColor="text1"/>
                      <w:sz w:val="21"/>
                      <w:szCs w:val="21"/>
                      <w14:textFill>
                        <w14:solidFill>
                          <w14:schemeClr w14:val="tx1"/>
                        </w14:solidFill>
                      </w14:textFill>
                    </w:rPr>
                    <w:t>HDPE</w:t>
                  </w:r>
                  <w:r>
                    <w:rPr>
                      <w:rFonts w:hint="eastAsia" w:ascii="Times New Roman" w:hAnsi="Times New Roman" w:cs="Times New Roman"/>
                      <w:color w:val="000000" w:themeColor="text1"/>
                      <w:sz w:val="21"/>
                      <w:szCs w:val="21"/>
                      <w:lang w:val="en-US" w:eastAsia="zh-CN"/>
                      <w14:textFill>
                        <w14:solidFill>
                          <w14:schemeClr w14:val="tx1"/>
                        </w14:solidFill>
                      </w14:textFill>
                    </w:rPr>
                    <w:t>粒子、</w:t>
                  </w:r>
                  <w:r>
                    <w:rPr>
                      <w:rFonts w:hint="eastAsia"/>
                      <w:color w:val="000000" w:themeColor="text1"/>
                      <w:szCs w:val="21"/>
                      <w:lang w:val="en-US" w:eastAsia="zh-CN"/>
                      <w14:textFill>
                        <w14:solidFill>
                          <w14:schemeClr w14:val="tx1"/>
                        </w14:solidFill>
                      </w14:textFill>
                    </w:rPr>
                    <w:t>溶剂油墨、清洗剂</w:t>
                  </w:r>
                  <w:r>
                    <w:rPr>
                      <w:rFonts w:hint="eastAsia"/>
                      <w:bCs/>
                      <w:color w:val="000000" w:themeColor="text1"/>
                      <w:szCs w:val="21"/>
                      <w:highlight w:val="none"/>
                      <w14:textFill>
                        <w14:solidFill>
                          <w14:schemeClr w14:val="tx1"/>
                        </w14:solidFill>
                      </w14:textFill>
                    </w:rPr>
                    <w:t>）以及VOCs危险废物（</w:t>
                  </w:r>
                  <w:r>
                    <w:rPr>
                      <w:rFonts w:hint="eastAsia"/>
                      <w:bCs/>
                      <w:color w:val="000000" w:themeColor="text1"/>
                      <w:szCs w:val="21"/>
                      <w:highlight w:val="none"/>
                      <w:lang w:val="en-US" w:eastAsia="zh-CN"/>
                      <w14:textFill>
                        <w14:solidFill>
                          <w14:schemeClr w14:val="tx1"/>
                        </w14:solidFill>
                      </w14:textFill>
                    </w:rPr>
                    <w:t>废活性炭、废抹布、废包装桶</w:t>
                  </w:r>
                  <w:r>
                    <w:rPr>
                      <w:rFonts w:hint="eastAsia"/>
                      <w:bCs/>
                      <w:color w:val="000000" w:themeColor="text1"/>
                      <w:szCs w:val="21"/>
                      <w:highlight w:val="none"/>
                      <w14:textFill>
                        <w14:solidFill>
                          <w14:schemeClr w14:val="tx1"/>
                        </w14:solidFill>
                      </w14:textFill>
                    </w:rPr>
                    <w:t>）</w:t>
                  </w:r>
                  <w:r>
                    <w:rPr>
                      <w:bCs/>
                      <w:color w:val="000000" w:themeColor="text1"/>
                      <w:szCs w:val="21"/>
                      <w:highlight w:val="none"/>
                      <w14:textFill>
                        <w14:solidFill>
                          <w14:schemeClr w14:val="tx1"/>
                        </w14:solidFill>
                      </w14:textFill>
                    </w:rPr>
                    <w:t>储存于密闭的容器中</w:t>
                  </w:r>
                  <w:r>
                    <w:rPr>
                      <w:rFonts w:hint="eastAsia"/>
                      <w:bCs/>
                      <w:color w:val="000000" w:themeColor="text1"/>
                      <w:szCs w:val="21"/>
                      <w:highlight w:val="none"/>
                      <w14:textFill>
                        <w14:solidFill>
                          <w14:schemeClr w14:val="tx1"/>
                        </w14:solidFill>
                      </w14:textFill>
                    </w:rPr>
                    <w:t>并</w:t>
                  </w:r>
                  <w:r>
                    <w:rPr>
                      <w:bCs/>
                      <w:color w:val="000000" w:themeColor="text1"/>
                      <w:szCs w:val="21"/>
                      <w:highlight w:val="none"/>
                      <w14:textFill>
                        <w14:solidFill>
                          <w14:schemeClr w14:val="tx1"/>
                        </w14:solidFill>
                      </w14:textFill>
                    </w:rPr>
                    <w:t>置于室内，</w:t>
                  </w:r>
                  <w:r>
                    <w:rPr>
                      <w:rFonts w:hint="eastAsia"/>
                      <w:bCs/>
                      <w:color w:val="000000" w:themeColor="text1"/>
                      <w:szCs w:val="21"/>
                      <w:highlight w:val="none"/>
                      <w:lang w:val="en-US" w:eastAsia="zh-CN"/>
                      <w14:textFill>
                        <w14:solidFill>
                          <w14:schemeClr w14:val="tx1"/>
                        </w14:solidFill>
                      </w14:textFill>
                    </w:rPr>
                    <w:t>包装容器加盖密闭贮存在室内，</w:t>
                  </w:r>
                  <w:r>
                    <w:rPr>
                      <w:rFonts w:hint="eastAsia"/>
                      <w:bCs/>
                      <w:color w:val="000000" w:themeColor="text1"/>
                      <w:szCs w:val="21"/>
                      <w:highlight w:val="none"/>
                      <w14:textFill>
                        <w14:solidFill>
                          <w14:schemeClr w14:val="tx1"/>
                        </w14:solidFill>
                      </w14:textFill>
                    </w:rPr>
                    <w:t>在储存、运输、装卸过程</w:t>
                  </w:r>
                  <w:r>
                    <w:rPr>
                      <w:bCs/>
                      <w:color w:val="000000" w:themeColor="text1"/>
                      <w:szCs w:val="21"/>
                      <w:highlight w:val="none"/>
                      <w14:textFill>
                        <w14:solidFill>
                          <w14:schemeClr w14:val="tx1"/>
                        </w14:solidFill>
                      </w14:textFill>
                    </w:rPr>
                    <w:t>加盖、封口、保持密闭。</w:t>
                  </w:r>
                </w:p>
                <w:p w14:paraId="65ACA69C">
                  <w:pPr>
                    <w:autoSpaceDE w:val="0"/>
                    <w:autoSpaceDN w:val="0"/>
                    <w:adjustRightInd w:val="0"/>
                    <w:snapToGrid w:val="0"/>
                    <w:rPr>
                      <w:rFonts w:hint="eastAsia"/>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本项目VOCs</w:t>
                  </w:r>
                  <w:r>
                    <w:rPr>
                      <w:rFonts w:hint="eastAsia"/>
                      <w:color w:val="000000" w:themeColor="text1"/>
                      <w:szCs w:val="21"/>
                      <w:highlight w:val="none"/>
                      <w14:textFill>
                        <w14:solidFill>
                          <w14:schemeClr w14:val="tx1"/>
                        </w14:solidFill>
                      </w14:textFill>
                    </w:rPr>
                    <w:t>物料</w:t>
                  </w:r>
                  <w:r>
                    <w:rPr>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HDPE</w:t>
                  </w:r>
                  <w:r>
                    <w:rPr>
                      <w:rFonts w:hint="eastAsia" w:ascii="Times New Roman" w:hAnsi="Times New Roman" w:cs="Times New Roman"/>
                      <w:color w:val="000000" w:themeColor="text1"/>
                      <w:sz w:val="21"/>
                      <w:szCs w:val="21"/>
                      <w:lang w:val="en-US" w:eastAsia="zh-CN"/>
                      <w14:textFill>
                        <w14:solidFill>
                          <w14:schemeClr w14:val="tx1"/>
                        </w14:solidFill>
                      </w14:textFill>
                    </w:rPr>
                    <w:t>粒子、</w:t>
                  </w:r>
                  <w:r>
                    <w:rPr>
                      <w:rFonts w:hint="eastAsia"/>
                      <w:color w:val="000000" w:themeColor="text1"/>
                      <w:szCs w:val="21"/>
                      <w:lang w:val="en-US" w:eastAsia="zh-CN"/>
                      <w14:textFill>
                        <w14:solidFill>
                          <w14:schemeClr w14:val="tx1"/>
                        </w14:solidFill>
                      </w14:textFill>
                    </w:rPr>
                    <w:t>溶剂油墨、清洗剂</w:t>
                  </w:r>
                  <w:r>
                    <w:rPr>
                      <w:rFonts w:hint="eastAsia"/>
                      <w:bCs/>
                      <w:color w:val="000000" w:themeColor="text1"/>
                      <w:szCs w:val="21"/>
                      <w:highlight w:val="none"/>
                      <w14:textFill>
                        <w14:solidFill>
                          <w14:schemeClr w14:val="tx1"/>
                        </w14:solidFill>
                      </w14:textFill>
                    </w:rPr>
                    <w:t>）以及VOCs危险废物（</w:t>
                  </w:r>
                  <w:r>
                    <w:rPr>
                      <w:rFonts w:hint="eastAsia"/>
                      <w:bCs/>
                      <w:color w:val="000000" w:themeColor="text1"/>
                      <w:szCs w:val="21"/>
                      <w:highlight w:val="none"/>
                      <w:lang w:val="en-US" w:eastAsia="zh-CN"/>
                      <w14:textFill>
                        <w14:solidFill>
                          <w14:schemeClr w14:val="tx1"/>
                        </w14:solidFill>
                      </w14:textFill>
                    </w:rPr>
                    <w:t>废活性炭、废抹布、废包装桶</w:t>
                  </w:r>
                  <w:r>
                    <w:rPr>
                      <w:rFonts w:hint="eastAsia"/>
                      <w:bCs/>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采用密闭容器转移</w:t>
                  </w:r>
                  <w:r>
                    <w:rPr>
                      <w:rFonts w:hint="eastAsia"/>
                      <w:color w:val="000000" w:themeColor="text1"/>
                      <w:szCs w:val="21"/>
                      <w:highlight w:val="none"/>
                      <w:lang w:eastAsia="zh-CN"/>
                      <w14:textFill>
                        <w14:solidFill>
                          <w14:schemeClr w14:val="tx1"/>
                        </w14:solidFill>
                      </w14:textFill>
                    </w:rPr>
                    <w:t>，</w:t>
                  </w:r>
                  <w:r>
                    <w:rPr>
                      <w:rFonts w:hint="eastAsia"/>
                      <w:bCs/>
                      <w:color w:val="000000" w:themeColor="text1"/>
                      <w:szCs w:val="21"/>
                      <w:highlight w:val="none"/>
                      <w:lang w:val="en-US" w:eastAsia="zh-CN"/>
                      <w14:textFill>
                        <w14:solidFill>
                          <w14:schemeClr w14:val="tx1"/>
                        </w14:solidFill>
                      </w14:textFill>
                    </w:rPr>
                    <w:t>包装容器</w:t>
                  </w:r>
                  <w:r>
                    <w:rPr>
                      <w:rFonts w:hint="eastAsia"/>
                      <w:color w:val="000000" w:themeColor="text1"/>
                      <w:szCs w:val="21"/>
                      <w:highlight w:val="none"/>
                      <w:lang w:val="en-US" w:eastAsia="zh-CN"/>
                      <w14:textFill>
                        <w14:solidFill>
                          <w14:schemeClr w14:val="tx1"/>
                        </w14:solidFill>
                      </w14:textFill>
                    </w:rPr>
                    <w:t>加盖密闭转移</w:t>
                  </w:r>
                  <w:r>
                    <w:rPr>
                      <w:color w:val="000000" w:themeColor="text1"/>
                      <w:szCs w:val="21"/>
                      <w:highlight w:val="none"/>
                      <w14:textFill>
                        <w14:solidFill>
                          <w14:schemeClr w14:val="tx1"/>
                        </w14:solidFill>
                      </w14:textFill>
                    </w:rPr>
                    <w:t>。</w:t>
                  </w:r>
                </w:p>
                <w:p w14:paraId="69DA2A64">
                  <w:pPr>
                    <w:rPr>
                      <w:rFonts w:hint="default" w:eastAsia="宋体"/>
                      <w:color w:val="000000" w:themeColor="text1"/>
                      <w:szCs w:val="21"/>
                      <w:highlight w:val="none"/>
                      <w:lang w:val="en-US" w:eastAsia="zh-CN"/>
                      <w14:textFill>
                        <w14:solidFill>
                          <w14:schemeClr w14:val="tx1"/>
                        </w14:solidFill>
                      </w14:textFill>
                    </w:rPr>
                  </w:pPr>
                  <w:r>
                    <w:rPr>
                      <w:color w:val="000000" w:themeColor="text1"/>
                      <w:szCs w:val="21"/>
                      <w:highlight w:val="none"/>
                      <w14:textFill>
                        <w14:solidFill>
                          <w14:schemeClr w14:val="tx1"/>
                        </w14:solidFill>
                      </w14:textFill>
                    </w:rPr>
                    <w:t>本项目</w:t>
                  </w:r>
                  <w:r>
                    <w:rPr>
                      <w:rFonts w:hint="eastAsia"/>
                      <w:bCs/>
                      <w:color w:val="000000" w:themeColor="text1"/>
                      <w:szCs w:val="21"/>
                      <w:lang w:val="en-US" w:eastAsia="zh-CN"/>
                      <w14:textFill>
                        <w14:solidFill>
                          <w14:schemeClr w14:val="tx1"/>
                        </w14:solidFill>
                      </w14:textFill>
                    </w:rPr>
                    <w:t>吹塑、印刷、烘干、</w:t>
                  </w:r>
                  <w:r>
                    <w:rPr>
                      <w:rFonts w:hint="eastAsia"/>
                      <w:color w:val="000000" w:themeColor="text1"/>
                      <w:szCs w:val="21"/>
                      <w:lang w:val="en-US" w:eastAsia="zh-CN"/>
                      <w14:textFill>
                        <w14:solidFill>
                          <w14:schemeClr w14:val="tx1"/>
                        </w14:solidFill>
                      </w14:textFill>
                    </w:rPr>
                    <w:t>印刷机清理</w:t>
                  </w:r>
                  <w:r>
                    <w:rPr>
                      <w:rFonts w:hint="eastAsia"/>
                      <w:color w:val="000000" w:themeColor="text1"/>
                      <w:szCs w:val="21"/>
                      <w:highlight w:val="none"/>
                      <w14:textFill>
                        <w14:solidFill>
                          <w14:schemeClr w14:val="tx1"/>
                        </w14:solidFill>
                      </w14:textFill>
                    </w:rPr>
                    <w:t>与对应的</w:t>
                  </w:r>
                  <w:r>
                    <w:rPr>
                      <w:rFonts w:hint="eastAsia"/>
                      <w:color w:val="000000" w:themeColor="text1"/>
                      <w:szCs w:val="21"/>
                      <w:highlight w:val="none"/>
                      <w:lang w:val="en-US" w:eastAsia="zh-CN"/>
                      <w14:textFill>
                        <w14:solidFill>
                          <w14:schemeClr w14:val="tx1"/>
                        </w14:solidFill>
                      </w14:textFill>
                    </w:rPr>
                    <w:t>包围式集气罩</w:t>
                  </w:r>
                  <w:r>
                    <w:rPr>
                      <w:rFonts w:hint="eastAsia"/>
                      <w:color w:val="000000" w:themeColor="text1"/>
                      <w:szCs w:val="21"/>
                      <w:highlight w:val="none"/>
                      <w14:textFill>
                        <w14:solidFill>
                          <w14:schemeClr w14:val="tx1"/>
                        </w14:solidFill>
                      </w14:textFill>
                    </w:rPr>
                    <w:t>+二级活性炭吸附装置</w:t>
                  </w:r>
                  <w:r>
                    <w:rPr>
                      <w:rFonts w:hint="eastAsia"/>
                      <w:color w:val="000000" w:themeColor="text1"/>
                      <w:szCs w:val="21"/>
                      <w:lang w:val="en-US" w:eastAsia="zh-CN"/>
                      <w14:textFill>
                        <w14:solidFill>
                          <w14:schemeClr w14:val="tx1"/>
                        </w14:solidFill>
                      </w14:textFill>
                    </w:rPr>
                    <w:t>T</w:t>
                  </w:r>
                  <w:r>
                    <w:rPr>
                      <w:rFonts w:hint="eastAsia"/>
                      <w:color w:val="000000" w:themeColor="text1"/>
                      <w:szCs w:val="21"/>
                      <w14:textFill>
                        <w14:solidFill>
                          <w14:schemeClr w14:val="tx1"/>
                        </w14:solidFill>
                      </w14:textFill>
                    </w:rPr>
                    <w:t>A001</w:t>
                  </w:r>
                  <w:r>
                    <w:rPr>
                      <w:rFonts w:hint="eastAsia"/>
                      <w:color w:val="000000" w:themeColor="text1"/>
                      <w:szCs w:val="21"/>
                      <w:highlight w:val="none"/>
                      <w14:textFill>
                        <w14:solidFill>
                          <w14:schemeClr w14:val="tx1"/>
                        </w14:solidFill>
                      </w14:textFill>
                    </w:rPr>
                    <w:t>同步进行；</w:t>
                  </w:r>
                </w:p>
                <w:p w14:paraId="716B4DA9">
                  <w:pPr>
                    <w:autoSpaceDE w:val="0"/>
                    <w:autoSpaceDN w:val="0"/>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w:t>
                  </w:r>
                  <w:r>
                    <w:rPr>
                      <w:rFonts w:hint="eastAsia"/>
                      <w:color w:val="000000" w:themeColor="text1"/>
                      <w:szCs w:val="21"/>
                      <w:lang w:val="en-US" w:eastAsia="zh-CN"/>
                      <w14:textFill>
                        <w14:solidFill>
                          <w14:schemeClr w14:val="tx1"/>
                        </w14:solidFill>
                      </w14:textFill>
                    </w:rPr>
                    <w:t>溶剂油墨、清洗剂</w:t>
                  </w:r>
                  <w:r>
                    <w:rPr>
                      <w:rFonts w:hint="eastAsia"/>
                      <w:bCs/>
                      <w:color w:val="000000" w:themeColor="text1"/>
                      <w:szCs w:val="21"/>
                      <w:highlight w:val="none"/>
                      <w:lang w:val="en-US" w:eastAsia="zh-CN"/>
                      <w14:textFill>
                        <w14:solidFill>
                          <w14:schemeClr w14:val="tx1"/>
                        </w14:solidFill>
                      </w14:textFill>
                    </w:rPr>
                    <w:t>在包围式集气罩下</w:t>
                  </w:r>
                  <w:r>
                    <w:rPr>
                      <w:rFonts w:hint="eastAsia"/>
                      <w:color w:val="000000" w:themeColor="text1"/>
                      <w:szCs w:val="21"/>
                      <w:highlight w:val="none"/>
                      <w14:textFill>
                        <w14:solidFill>
                          <w14:schemeClr w14:val="tx1"/>
                        </w14:solidFill>
                      </w14:textFill>
                    </w:rPr>
                    <w:t>进行投加。</w:t>
                  </w:r>
                </w:p>
                <w:p w14:paraId="67E1164D">
                  <w:pPr>
                    <w:autoSpaceDE w:val="0"/>
                    <w:autoSpaceDN w:val="0"/>
                    <w:adjustRightInd w:val="0"/>
                    <w:snapToGrid w:val="0"/>
                    <w:rPr>
                      <w:rFonts w:hint="eastAsia"/>
                      <w:color w:val="000000" w:themeColor="text1"/>
                      <w:szCs w:val="21"/>
                      <w:highlight w:val="none"/>
                      <w14:textFill>
                        <w14:solidFill>
                          <w14:schemeClr w14:val="tx1"/>
                        </w14:solidFill>
                      </w14:textFill>
                    </w:rPr>
                  </w:pPr>
                  <w:r>
                    <w:rPr>
                      <w:rFonts w:hint="eastAsia"/>
                      <w:bCs/>
                      <w:color w:val="000000" w:themeColor="text1"/>
                      <w:szCs w:val="21"/>
                      <w14:textFill>
                        <w14:solidFill>
                          <w14:schemeClr w14:val="tx1"/>
                        </w14:solidFill>
                      </w14:textFill>
                    </w:rPr>
                    <w:t>本项目</w:t>
                  </w:r>
                  <w:r>
                    <w:rPr>
                      <w:rFonts w:hint="eastAsia"/>
                      <w:bCs/>
                      <w:color w:val="000000" w:themeColor="text1"/>
                      <w:szCs w:val="21"/>
                      <w:lang w:val="en-US" w:eastAsia="zh-CN"/>
                      <w14:textFill>
                        <w14:solidFill>
                          <w14:schemeClr w14:val="tx1"/>
                        </w14:solidFill>
                      </w14:textFill>
                    </w:rPr>
                    <w:t>吹塑、印刷、烘干、</w:t>
                  </w:r>
                  <w:r>
                    <w:rPr>
                      <w:rFonts w:hint="eastAsia"/>
                      <w:color w:val="000000" w:themeColor="text1"/>
                      <w:szCs w:val="21"/>
                      <w:lang w:val="en-US" w:eastAsia="zh-CN"/>
                      <w14:textFill>
                        <w14:solidFill>
                          <w14:schemeClr w14:val="tx1"/>
                        </w14:solidFill>
                      </w14:textFill>
                    </w:rPr>
                    <w:t>印刷机清理</w:t>
                  </w:r>
                  <w:r>
                    <w:rPr>
                      <w:rFonts w:hint="eastAsia"/>
                      <w:bCs/>
                      <w:color w:val="000000" w:themeColor="text1"/>
                      <w:szCs w:val="21"/>
                      <w14:textFill>
                        <w14:solidFill>
                          <w14:schemeClr w14:val="tx1"/>
                        </w14:solidFill>
                      </w14:textFill>
                    </w:rPr>
                    <w:t>工序产生的有机废气</w:t>
                  </w:r>
                  <w:r>
                    <w:rPr>
                      <w:rFonts w:hint="eastAsia"/>
                      <w:bCs/>
                      <w:color w:val="000000" w:themeColor="text1"/>
                      <w:szCs w:val="21"/>
                      <w:lang w:val="en-US" w:eastAsia="zh-CN"/>
                      <w14:textFill>
                        <w14:solidFill>
                          <w14:schemeClr w14:val="tx1"/>
                        </w14:solidFill>
                      </w14:textFill>
                    </w:rPr>
                    <w:t>无法密闭收集，</w:t>
                  </w:r>
                  <w:r>
                    <w:rPr>
                      <w:rFonts w:hint="eastAsia"/>
                      <w:bCs/>
                      <w:color w:val="000000" w:themeColor="text1"/>
                      <w:szCs w:val="21"/>
                      <w14:textFill>
                        <w14:solidFill>
                          <w14:schemeClr w14:val="tx1"/>
                        </w14:solidFill>
                      </w14:textFill>
                    </w:rPr>
                    <w:t>由包围式集气罩收集，经二级活性炭吸附装置</w:t>
                  </w:r>
                  <w:r>
                    <w:rPr>
                      <w:rFonts w:hint="eastAsia"/>
                      <w:color w:val="000000" w:themeColor="text1"/>
                      <w:szCs w:val="21"/>
                      <w:lang w:val="en-US" w:eastAsia="zh-CN"/>
                      <w14:textFill>
                        <w14:solidFill>
                          <w14:schemeClr w14:val="tx1"/>
                        </w14:solidFill>
                      </w14:textFill>
                    </w:rPr>
                    <w:t>T</w:t>
                  </w:r>
                  <w:r>
                    <w:rPr>
                      <w:rFonts w:hint="eastAsia"/>
                      <w:color w:val="000000" w:themeColor="text1"/>
                      <w:szCs w:val="21"/>
                      <w14:textFill>
                        <w14:solidFill>
                          <w14:schemeClr w14:val="tx1"/>
                        </w14:solidFill>
                      </w14:textFill>
                    </w:rPr>
                    <w:t>A001</w:t>
                  </w:r>
                  <w:r>
                    <w:rPr>
                      <w:rFonts w:hint="eastAsia"/>
                      <w:bCs/>
                      <w:color w:val="000000" w:themeColor="text1"/>
                      <w:szCs w:val="21"/>
                      <w14:textFill>
                        <w14:solidFill>
                          <w14:schemeClr w14:val="tx1"/>
                        </w14:solidFill>
                      </w14:textFill>
                    </w:rPr>
                    <w:t>处理后</w:t>
                  </w:r>
                  <w:r>
                    <w:rPr>
                      <w:rFonts w:hint="eastAsia"/>
                      <w:bCs/>
                      <w:color w:val="000000" w:themeColor="text1"/>
                      <w:szCs w:val="21"/>
                      <w:lang w:val="en-US" w:eastAsia="zh-CN"/>
                      <w14:textFill>
                        <w14:solidFill>
                          <w14:schemeClr w14:val="tx1"/>
                        </w14:solidFill>
                      </w14:textFill>
                    </w:rPr>
                    <w:t>有组织</w:t>
                  </w:r>
                  <w:r>
                    <w:rPr>
                      <w:rFonts w:hint="eastAsia"/>
                      <w:bCs/>
                      <w:color w:val="000000" w:themeColor="text1"/>
                      <w:szCs w:val="21"/>
                      <w14:textFill>
                        <w14:solidFill>
                          <w14:schemeClr w14:val="tx1"/>
                        </w14:solidFill>
                      </w14:textFill>
                    </w:rPr>
                    <w:t>排放</w:t>
                  </w:r>
                  <w:r>
                    <w:rPr>
                      <w:rFonts w:hint="eastAsia"/>
                      <w:color w:val="000000" w:themeColor="text1"/>
                      <w:szCs w:val="21"/>
                      <w:highlight w:val="none"/>
                      <w14:textFill>
                        <w14:solidFill>
                          <w14:schemeClr w14:val="tx1"/>
                        </w14:solidFill>
                      </w14:textFill>
                    </w:rPr>
                    <w:t>，处理率90%。</w:t>
                  </w:r>
                </w:p>
                <w:p w14:paraId="686CE411">
                  <w:pPr>
                    <w:autoSpaceDE w:val="0"/>
                    <w:autoSpaceDN w:val="0"/>
                    <w:adjustRightInd w:val="0"/>
                    <w:snapToGrid w:val="0"/>
                    <w:rPr>
                      <w:rFonts w:hint="eastAsia"/>
                      <w:color w:val="000000" w:themeColor="text1"/>
                      <w14:textFill>
                        <w14:solidFill>
                          <w14:schemeClr w14:val="tx1"/>
                        </w14:solidFill>
                      </w14:textFill>
                    </w:rPr>
                  </w:pPr>
                  <w:r>
                    <w:rPr>
                      <w:rFonts w:hint="eastAsia"/>
                      <w:bCs/>
                      <w:color w:val="000000" w:themeColor="text1"/>
                      <w:szCs w:val="21"/>
                      <w:lang w:val="en-US" w:eastAsia="zh-CN"/>
                      <w14:textFill>
                        <w14:solidFill>
                          <w14:schemeClr w14:val="tx1"/>
                        </w14:solidFill>
                      </w14:textFill>
                    </w:rPr>
                    <w:t>吹塑、印刷、烘干、</w:t>
                  </w:r>
                  <w:r>
                    <w:rPr>
                      <w:rFonts w:hint="eastAsia"/>
                      <w:color w:val="000000" w:themeColor="text1"/>
                      <w:szCs w:val="21"/>
                      <w:lang w:val="en-US" w:eastAsia="zh-CN"/>
                      <w14:textFill>
                        <w14:solidFill>
                          <w14:schemeClr w14:val="tx1"/>
                        </w14:solidFill>
                      </w14:textFill>
                    </w:rPr>
                    <w:t>印刷机清理</w:t>
                  </w:r>
                  <w:r>
                    <w:rPr>
                      <w:rFonts w:hint="eastAsia"/>
                      <w:color w:val="000000" w:themeColor="text1"/>
                      <w:szCs w:val="21"/>
                      <w:highlight w:val="none"/>
                      <w14:textFill>
                        <w14:solidFill>
                          <w14:schemeClr w14:val="tx1"/>
                        </w14:solidFill>
                      </w14:textFill>
                    </w:rPr>
                    <w:t>过程有机废气产生速率为</w:t>
                  </w:r>
                  <w:r>
                    <w:rPr>
                      <w:rFonts w:hint="eastAsia"/>
                      <w:color w:val="000000" w:themeColor="text1"/>
                      <w:szCs w:val="21"/>
                      <w:highlight w:val="none"/>
                      <w:lang w:val="en-US" w:eastAsia="zh-CN"/>
                      <w14:textFill>
                        <w14:solidFill>
                          <w14:schemeClr w14:val="tx1"/>
                        </w14:solidFill>
                      </w14:textFill>
                    </w:rPr>
                    <w:t>0.131</w:t>
                  </w:r>
                  <w:r>
                    <w:rPr>
                      <w:rFonts w:hint="eastAsia"/>
                      <w:color w:val="000000" w:themeColor="text1"/>
                      <w:szCs w:val="21"/>
                      <w:highlight w:val="none"/>
                      <w14:textFill>
                        <w14:solidFill>
                          <w14:schemeClr w14:val="tx1"/>
                        </w14:solidFill>
                      </w14:textFill>
                    </w:rPr>
                    <w:t>kg/h＜2kg/h。</w:t>
                  </w:r>
                </w:p>
                <w:p w14:paraId="79C32BEE">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本项目</w:t>
                  </w:r>
                  <w:r>
                    <w:rPr>
                      <w:rFonts w:hint="eastAsia"/>
                      <w:bCs/>
                      <w:color w:val="000000" w:themeColor="text1"/>
                      <w:szCs w:val="21"/>
                      <w:lang w:val="en-US" w:eastAsia="zh-CN"/>
                      <w14:textFill>
                        <w14:solidFill>
                          <w14:schemeClr w14:val="tx1"/>
                        </w14:solidFill>
                      </w14:textFill>
                    </w:rPr>
                    <w:t>吹塑、印刷、烘干、</w:t>
                  </w:r>
                  <w:r>
                    <w:rPr>
                      <w:rFonts w:hint="eastAsia"/>
                      <w:color w:val="000000" w:themeColor="text1"/>
                      <w:szCs w:val="21"/>
                      <w:lang w:val="en-US" w:eastAsia="zh-CN"/>
                      <w14:textFill>
                        <w14:solidFill>
                          <w14:schemeClr w14:val="tx1"/>
                        </w14:solidFill>
                      </w14:textFill>
                    </w:rPr>
                    <w:t>印刷机清理</w:t>
                  </w:r>
                  <w:r>
                    <w:rPr>
                      <w:rFonts w:hint="eastAsia"/>
                      <w:color w:val="000000" w:themeColor="text1"/>
                      <w:szCs w:val="21"/>
                      <w:highlight w:val="none"/>
                      <w14:textFill>
                        <w14:solidFill>
                          <w14:schemeClr w14:val="tx1"/>
                        </w14:solidFill>
                      </w14:textFill>
                    </w:rPr>
                    <w:t>与对应的</w:t>
                  </w:r>
                  <w:r>
                    <w:rPr>
                      <w:rFonts w:hint="eastAsia"/>
                      <w:color w:val="000000" w:themeColor="text1"/>
                      <w:szCs w:val="21"/>
                      <w:highlight w:val="none"/>
                      <w:lang w:val="en-US" w:eastAsia="zh-CN"/>
                      <w14:textFill>
                        <w14:solidFill>
                          <w14:schemeClr w14:val="tx1"/>
                        </w14:solidFill>
                      </w14:textFill>
                    </w:rPr>
                    <w:t>包围式集气罩</w:t>
                  </w:r>
                  <w:r>
                    <w:rPr>
                      <w:rFonts w:hint="eastAsia"/>
                      <w:color w:val="000000" w:themeColor="text1"/>
                      <w:szCs w:val="21"/>
                      <w:highlight w:val="none"/>
                      <w14:textFill>
                        <w14:solidFill>
                          <w14:schemeClr w14:val="tx1"/>
                        </w14:solidFill>
                      </w14:textFill>
                    </w:rPr>
                    <w:t>+二级活性炭吸附装置</w:t>
                  </w:r>
                  <w:r>
                    <w:rPr>
                      <w:rFonts w:hint="eastAsia"/>
                      <w:color w:val="000000" w:themeColor="text1"/>
                      <w:szCs w:val="21"/>
                      <w:lang w:val="en-US" w:eastAsia="zh-CN"/>
                      <w14:textFill>
                        <w14:solidFill>
                          <w14:schemeClr w14:val="tx1"/>
                        </w14:solidFill>
                      </w14:textFill>
                    </w:rPr>
                    <w:t>T</w:t>
                  </w:r>
                  <w:r>
                    <w:rPr>
                      <w:rFonts w:hint="eastAsia"/>
                      <w:color w:val="000000" w:themeColor="text1"/>
                      <w:szCs w:val="21"/>
                      <w14:textFill>
                        <w14:solidFill>
                          <w14:schemeClr w14:val="tx1"/>
                        </w14:solidFill>
                      </w14:textFill>
                    </w:rPr>
                    <w:t>A001</w:t>
                  </w:r>
                  <w:r>
                    <w:rPr>
                      <w:rFonts w:hint="eastAsia"/>
                      <w:color w:val="000000" w:themeColor="text1"/>
                      <w:szCs w:val="21"/>
                      <w:highlight w:val="none"/>
                      <w14:textFill>
                        <w14:solidFill>
                          <w14:schemeClr w14:val="tx1"/>
                        </w14:solidFill>
                      </w14:textFill>
                    </w:rPr>
                    <w:t>“同启同停”；</w:t>
                  </w:r>
                  <w:r>
                    <w:rPr>
                      <w:color w:val="000000" w:themeColor="text1"/>
                      <w:szCs w:val="21"/>
                      <w:highlight w:val="none"/>
                      <w14:textFill>
                        <w14:solidFill>
                          <w14:schemeClr w14:val="tx1"/>
                        </w14:solidFill>
                      </w14:textFill>
                    </w:rPr>
                    <w:t>在处理设施达到正常运行条件后方可启动生产设备，在生产设备停止、残留VOCs废气收集处理完毕后，方可停运处理设施。</w:t>
                  </w:r>
                </w:p>
                <w:p w14:paraId="060C212C">
                  <w:pPr>
                    <w:autoSpaceDE w:val="0"/>
                    <w:autoSpaceDN w:val="0"/>
                    <w:adjustRightInd w:val="0"/>
                    <w:snapToGrid w:val="0"/>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本项目使用的</w:t>
                  </w:r>
                  <w:r>
                    <w:rPr>
                      <w:rFonts w:hint="eastAsia"/>
                      <w:bCs/>
                      <w:color w:val="000000" w:themeColor="text1"/>
                      <w:szCs w:val="21"/>
                      <w:lang w:val="en-US" w:eastAsia="zh-CN"/>
                      <w14:textFill>
                        <w14:solidFill>
                          <w14:schemeClr w14:val="tx1"/>
                        </w14:solidFill>
                      </w14:textFill>
                    </w:rPr>
                    <w:t>溶剂油墨</w:t>
                  </w:r>
                  <w:r>
                    <w:rPr>
                      <w:rFonts w:hint="eastAsia"/>
                      <w:bCs/>
                      <w:color w:val="000000" w:themeColor="text1"/>
                      <w:szCs w:val="21"/>
                      <w14:textFill>
                        <w14:solidFill>
                          <w14:schemeClr w14:val="tx1"/>
                        </w14:solidFill>
                      </w14:textFill>
                    </w:rPr>
                    <w:t>符合</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油墨中可挥发性有机化合物（VOCs）含量的限值</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GB38507-2020</w:t>
                  </w:r>
                  <w:r>
                    <w:rPr>
                      <w:color w:val="000000" w:themeColor="text1"/>
                      <w:szCs w:val="21"/>
                      <w14:textFill>
                        <w14:solidFill>
                          <w14:schemeClr w14:val="tx1"/>
                        </w14:solidFill>
                      </w14:textFill>
                    </w:rPr>
                    <w:t>）</w:t>
                  </w:r>
                  <w:r>
                    <w:rPr>
                      <w:rFonts w:hint="eastAsia"/>
                      <w:color w:val="000000" w:themeColor="text1"/>
                      <w:kern w:val="0"/>
                      <w14:textFill>
                        <w14:solidFill>
                          <w14:schemeClr w14:val="tx1"/>
                        </w14:solidFill>
                      </w14:textFill>
                    </w:rPr>
                    <w:t>的要求</w:t>
                  </w:r>
                  <w:r>
                    <w:rPr>
                      <w:rFonts w:hint="eastAsia"/>
                      <w:color w:val="000000" w:themeColor="text1"/>
                      <w:kern w:val="0"/>
                      <w:lang w:eastAsia="zh-CN"/>
                      <w14:textFill>
                        <w14:solidFill>
                          <w14:schemeClr w14:val="tx1"/>
                        </w14:solidFill>
                      </w14:textFill>
                    </w:rPr>
                    <w:t>，</w:t>
                  </w:r>
                  <w:r>
                    <w:rPr>
                      <w:rFonts w:hint="eastAsia"/>
                      <w:color w:val="000000" w:themeColor="text1"/>
                      <w:kern w:val="0"/>
                      <w:lang w:val="en-US" w:eastAsia="zh-CN"/>
                      <w14:textFill>
                        <w14:solidFill>
                          <w14:schemeClr w14:val="tx1"/>
                        </w14:solidFill>
                      </w14:textFill>
                    </w:rPr>
                    <w:t>溶剂清洗剂符合</w:t>
                  </w:r>
                  <w:r>
                    <w:rPr>
                      <w:rFonts w:hint="eastAsia"/>
                      <w:color w:val="000000" w:themeColor="text1"/>
                      <w:szCs w:val="21"/>
                      <w14:textFill>
                        <w14:solidFill>
                          <w14:schemeClr w14:val="tx1"/>
                        </w14:solidFill>
                      </w14:textFill>
                    </w:rPr>
                    <w:t>《清洗剂挥发性有机化合物含量限值》（GB 38508-2020）</w:t>
                  </w:r>
                  <w:r>
                    <w:rPr>
                      <w:bCs/>
                      <w:color w:val="000000" w:themeColor="text1"/>
                      <w:szCs w:val="21"/>
                      <w14:textFill>
                        <w14:solidFill>
                          <w14:schemeClr w14:val="tx1"/>
                        </w14:solidFill>
                      </w14:textFill>
                    </w:rPr>
                    <w:t>的要求</w:t>
                  </w:r>
                  <w:r>
                    <w:rPr>
                      <w:rFonts w:hint="eastAsia"/>
                      <w:bCs/>
                      <w:color w:val="000000" w:themeColor="text1"/>
                      <w:szCs w:val="21"/>
                      <w14:textFill>
                        <w14:solidFill>
                          <w14:schemeClr w14:val="tx1"/>
                        </w14:solidFill>
                      </w14:textFill>
                    </w:rPr>
                    <w:t>。</w:t>
                  </w:r>
                </w:p>
                <w:p w14:paraId="333D8658">
                  <w:pPr>
                    <w:autoSpaceDE w:val="0"/>
                    <w:autoSpaceDN w:val="0"/>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本项目应按报告表要求开展自行监测。</w:t>
                  </w:r>
                </w:p>
                <w:p w14:paraId="7B931721">
                  <w:pPr>
                    <w:autoSpaceDE w:val="0"/>
                    <w:autoSpaceDN w:val="0"/>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本项目应建立</w:t>
                  </w:r>
                  <w:r>
                    <w:rPr>
                      <w:color w:val="000000" w:themeColor="text1"/>
                      <w:szCs w:val="21"/>
                      <w:highlight w:val="none"/>
                      <w14:textFill>
                        <w14:solidFill>
                          <w14:schemeClr w14:val="tx1"/>
                        </w14:solidFill>
                      </w14:textFill>
                    </w:rPr>
                    <w:t>VOCs治理设施的运行维护规程</w:t>
                  </w:r>
                  <w:r>
                    <w:rPr>
                      <w:rFonts w:hint="eastAsia"/>
                      <w:color w:val="000000" w:themeColor="text1"/>
                      <w:szCs w:val="21"/>
                      <w:highlight w:val="none"/>
                      <w14:textFill>
                        <w14:solidFill>
                          <w14:schemeClr w14:val="tx1"/>
                        </w14:solidFill>
                      </w14:textFill>
                    </w:rPr>
                    <w:t>和台账，并定期对</w:t>
                  </w:r>
                  <w:r>
                    <w:rPr>
                      <w:color w:val="000000" w:themeColor="text1"/>
                      <w:szCs w:val="21"/>
                      <w:highlight w:val="none"/>
                      <w14:textFill>
                        <w14:solidFill>
                          <w14:schemeClr w14:val="tx1"/>
                        </w14:solidFill>
                      </w14:textFill>
                    </w:rPr>
                    <w:t>各类设备、电气、自控仪表等进行检修维护</w:t>
                  </w:r>
                  <w:r>
                    <w:rPr>
                      <w:rFonts w:hint="eastAsia"/>
                      <w:color w:val="000000" w:themeColor="text1"/>
                      <w:szCs w:val="21"/>
                      <w:highlight w:val="none"/>
                      <w14:textFill>
                        <w14:solidFill>
                          <w14:schemeClr w14:val="tx1"/>
                        </w14:solidFill>
                      </w14:textFill>
                    </w:rPr>
                    <w:t>。</w:t>
                  </w:r>
                </w:p>
                <w:p w14:paraId="1FABDAD0">
                  <w:pPr>
                    <w:autoSpaceDE w:val="0"/>
                    <w:autoSpaceDN w:val="0"/>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本项目应编制</w:t>
                  </w:r>
                  <w:r>
                    <w:rPr>
                      <w:color w:val="000000" w:themeColor="text1"/>
                      <w:szCs w:val="21"/>
                      <w:highlight w:val="none"/>
                      <w14:textFill>
                        <w14:solidFill>
                          <w14:schemeClr w14:val="tx1"/>
                        </w14:solidFill>
                      </w14:textFill>
                    </w:rPr>
                    <w:t>事故火灾等应急救援预案，配备应急救援人员和器材，并开展应急演练</w:t>
                  </w:r>
                  <w:r>
                    <w:rPr>
                      <w:rFonts w:hint="eastAsia"/>
                      <w:color w:val="000000" w:themeColor="text1"/>
                      <w:szCs w:val="21"/>
                      <w:highlight w:val="none"/>
                      <w14:textFill>
                        <w14:solidFill>
                          <w14:schemeClr w14:val="tx1"/>
                        </w14:solidFill>
                      </w14:textFill>
                    </w:rPr>
                    <w:t>。</w:t>
                  </w:r>
                </w:p>
                <w:p w14:paraId="02DFFAE2">
                  <w:pPr>
                    <w:autoSpaceDE w:val="0"/>
                    <w:autoSpaceDN w:val="0"/>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w:t>
                  </w:r>
                  <w:r>
                    <w:rPr>
                      <w:color w:val="000000" w:themeColor="text1"/>
                      <w:szCs w:val="21"/>
                      <w:highlight w:val="none"/>
                      <w14:textFill>
                        <w14:solidFill>
                          <w14:schemeClr w14:val="tx1"/>
                        </w14:solidFill>
                      </w14:textFill>
                    </w:rPr>
                    <w:t>VOCs物料储存无组织排放控制、VOCs物料转移和输送无组织排放控制、工艺过程VOCs无组织排放控制、设备与管线组件VOCs泄漏控制</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以及VOCs无组织排放废气收集系统和厂区内VOCs无组织污染监控</w:t>
                  </w:r>
                  <w:r>
                    <w:rPr>
                      <w:rFonts w:hint="eastAsia"/>
                      <w:color w:val="000000" w:themeColor="text1"/>
                      <w:szCs w:val="21"/>
                      <w:highlight w:val="none"/>
                      <w14:textFill>
                        <w14:solidFill>
                          <w14:schemeClr w14:val="tx1"/>
                        </w14:solidFill>
                      </w14:textFill>
                    </w:rPr>
                    <w:t>均按照</w:t>
                  </w:r>
                  <w:r>
                    <w:rPr>
                      <w:color w:val="000000" w:themeColor="text1"/>
                      <w:szCs w:val="21"/>
                      <w:highlight w:val="none"/>
                      <w14:textFill>
                        <w14:solidFill>
                          <w14:schemeClr w14:val="tx1"/>
                        </w14:solidFill>
                      </w14:textFill>
                    </w:rPr>
                    <w:t>GB 37822</w:t>
                  </w:r>
                  <w:r>
                    <w:rPr>
                      <w:rFonts w:hint="eastAsia"/>
                      <w:color w:val="000000" w:themeColor="text1"/>
                      <w:szCs w:val="21"/>
                      <w:highlight w:val="none"/>
                      <w14:textFill>
                        <w14:solidFill>
                          <w14:schemeClr w14:val="tx1"/>
                        </w14:solidFill>
                      </w14:textFill>
                    </w:rPr>
                    <w:t>要求进行执行。</w:t>
                  </w:r>
                </w:p>
                <w:p w14:paraId="05FD4A84">
                  <w:pPr>
                    <w:autoSpaceDE w:val="0"/>
                    <w:autoSpaceDN w:val="0"/>
                    <w:adjustRightInd w:val="0"/>
                    <w:snapToGrid w:val="0"/>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本项目</w:t>
                  </w:r>
                  <w:r>
                    <w:rPr>
                      <w:rFonts w:hint="eastAsia"/>
                      <w:bCs/>
                      <w:color w:val="000000" w:themeColor="text1"/>
                      <w:szCs w:val="21"/>
                      <w:lang w:val="en-US" w:eastAsia="zh-CN"/>
                      <w14:textFill>
                        <w14:solidFill>
                          <w14:schemeClr w14:val="tx1"/>
                        </w14:solidFill>
                      </w14:textFill>
                    </w:rPr>
                    <w:t>吹塑、印刷、烘干、</w:t>
                  </w:r>
                  <w:r>
                    <w:rPr>
                      <w:rFonts w:hint="eastAsia"/>
                      <w:color w:val="000000" w:themeColor="text1"/>
                      <w:szCs w:val="21"/>
                      <w:lang w:val="en-US" w:eastAsia="zh-CN"/>
                      <w14:textFill>
                        <w14:solidFill>
                          <w14:schemeClr w14:val="tx1"/>
                        </w14:solidFill>
                      </w14:textFill>
                    </w:rPr>
                    <w:t>印刷机清理过程产生的有机废气通过1套</w:t>
                  </w:r>
                  <w:r>
                    <w:rPr>
                      <w:rFonts w:hint="eastAsia"/>
                      <w:color w:val="000000" w:themeColor="text1"/>
                      <w:szCs w:val="21"/>
                      <w:highlight w:val="none"/>
                      <w14:textFill>
                        <w14:solidFill>
                          <w14:schemeClr w14:val="tx1"/>
                        </w14:solidFill>
                      </w14:textFill>
                    </w:rPr>
                    <w:t>二级活性炭吸附装置</w:t>
                  </w:r>
                  <w:r>
                    <w:rPr>
                      <w:rFonts w:hint="eastAsia"/>
                      <w:color w:val="000000" w:themeColor="text1"/>
                      <w:szCs w:val="21"/>
                      <w:lang w:val="en-US" w:eastAsia="zh-CN"/>
                      <w14:textFill>
                        <w14:solidFill>
                          <w14:schemeClr w14:val="tx1"/>
                        </w14:solidFill>
                      </w14:textFill>
                    </w:rPr>
                    <w:t>T</w:t>
                  </w:r>
                  <w:r>
                    <w:rPr>
                      <w:rFonts w:hint="eastAsia"/>
                      <w:color w:val="000000" w:themeColor="text1"/>
                      <w:szCs w:val="21"/>
                      <w14:textFill>
                        <w14:solidFill>
                          <w14:schemeClr w14:val="tx1"/>
                        </w14:solidFill>
                      </w14:textFill>
                    </w:rPr>
                    <w:t>A001</w:t>
                  </w:r>
                  <w:r>
                    <w:rPr>
                      <w:rFonts w:hint="eastAsia"/>
                      <w:color w:val="000000" w:themeColor="text1"/>
                      <w:szCs w:val="21"/>
                      <w:lang w:val="en-US" w:eastAsia="zh-CN"/>
                      <w14:textFill>
                        <w14:solidFill>
                          <w14:schemeClr w14:val="tx1"/>
                        </w14:solidFill>
                      </w14:textFill>
                    </w:rPr>
                    <w:t>处理，</w:t>
                  </w:r>
                  <w:r>
                    <w:rPr>
                      <w:color w:val="000000" w:themeColor="text1"/>
                      <w:szCs w:val="21"/>
                      <w14:textFill>
                        <w14:solidFill>
                          <w14:schemeClr w14:val="tx1"/>
                        </w14:solidFill>
                      </w14:textFill>
                    </w:rPr>
                    <w:t>采用颗粒活性炭作为吸附剂，其碘值不低于800mg/g</w:t>
                  </w:r>
                  <w:r>
                    <w:rPr>
                      <w:rFonts w:hint="eastAsia"/>
                      <w:color w:val="000000" w:themeColor="text1"/>
                      <w:szCs w:val="21"/>
                      <w:lang w:eastAsia="zh-CN"/>
                      <w14:textFill>
                        <w14:solidFill>
                          <w14:schemeClr w14:val="tx1"/>
                        </w14:solidFill>
                      </w14:textFill>
                    </w:rPr>
                    <w:t>。</w:t>
                  </w:r>
                </w:p>
              </w:tc>
              <w:tc>
                <w:tcPr>
                  <w:tcW w:w="761" w:type="dxa"/>
                  <w:tcBorders>
                    <w:left w:val="single" w:color="auto" w:sz="4" w:space="0"/>
                  </w:tcBorders>
                  <w:noWrap/>
                  <w:vAlign w:val="center"/>
                </w:tcPr>
                <w:p w14:paraId="066C3191">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6A76CD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48" w:type="dxa"/>
                  <w:vMerge w:val="continue"/>
                  <w:tcBorders>
                    <w:right w:val="single" w:color="auto" w:sz="4" w:space="0"/>
                  </w:tcBorders>
                  <w:noWrap/>
                  <w:vAlign w:val="center"/>
                </w:tcPr>
                <w:p w14:paraId="0079AAB5">
                  <w:pPr>
                    <w:snapToGrid w:val="0"/>
                    <w:jc w:val="center"/>
                    <w:rPr>
                      <w:rFonts w:hint="eastAsia"/>
                      <w:color w:val="000000" w:themeColor="text1"/>
                      <w:szCs w:val="21"/>
                      <w:lang w:val="en-US" w:eastAsia="zh-CN"/>
                      <w14:textFill>
                        <w14:solidFill>
                          <w14:schemeClr w14:val="tx1"/>
                        </w14:solidFill>
                      </w14:textFill>
                    </w:rPr>
                  </w:pPr>
                </w:p>
              </w:tc>
              <w:tc>
                <w:tcPr>
                  <w:tcW w:w="2293" w:type="dxa"/>
                  <w:vMerge w:val="continue"/>
                  <w:tcBorders>
                    <w:left w:val="single" w:color="auto" w:sz="4" w:space="0"/>
                    <w:right w:val="single" w:color="auto" w:sz="4" w:space="0"/>
                  </w:tcBorders>
                  <w:noWrap/>
                  <w:vAlign w:val="center"/>
                </w:tcPr>
                <w:p w14:paraId="2B781A22">
                  <w:pPr>
                    <w:autoSpaceDE w:val="0"/>
                    <w:autoSpaceDN w:val="0"/>
                    <w:adjustRightInd w:val="0"/>
                    <w:snapToGrid w:val="0"/>
                    <w:jc w:val="center"/>
                    <w:rPr>
                      <w:color w:val="000000" w:themeColor="text1"/>
                      <w:szCs w:val="21"/>
                      <w14:textFill>
                        <w14:solidFill>
                          <w14:schemeClr w14:val="tx1"/>
                        </w14:solidFill>
                      </w14:textFill>
                    </w:rPr>
                  </w:pPr>
                </w:p>
              </w:tc>
              <w:tc>
                <w:tcPr>
                  <w:tcW w:w="5958" w:type="dxa"/>
                  <w:tcBorders>
                    <w:left w:val="single" w:color="auto" w:sz="4" w:space="0"/>
                    <w:right w:val="single" w:color="auto" w:sz="4" w:space="0"/>
                  </w:tcBorders>
                  <w:noWrap/>
                  <w:vAlign w:val="center"/>
                </w:tcPr>
                <w:p w14:paraId="5F73ACDE">
                  <w:pPr>
                    <w:autoSpaceDE w:val="0"/>
                    <w:autoSpaceDN w:val="0"/>
                    <w:adjustRightInd w:val="0"/>
                    <w:snapToGrid w:val="0"/>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有机聚合物产品用于制品生产的过程，在混合</w:t>
                  </w:r>
                  <w:r>
                    <w:rPr>
                      <w:color w:val="000000" w:themeColor="text1"/>
                      <w:kern w:val="0"/>
                      <w:szCs w:val="21"/>
                      <w:lang w:bidi="ar"/>
                      <w14:textFill>
                        <w14:solidFill>
                          <w14:schemeClr w14:val="tx1"/>
                        </w14:solidFill>
                      </w14:textFill>
                    </w:rPr>
                    <w:t>/</w:t>
                  </w:r>
                  <w:r>
                    <w:rPr>
                      <w:rFonts w:hint="eastAsia" w:ascii="宋体" w:hAnsi="宋体" w:cs="宋体"/>
                      <w:color w:val="000000" w:themeColor="text1"/>
                      <w:kern w:val="0"/>
                      <w:szCs w:val="21"/>
                      <w:lang w:bidi="ar"/>
                      <w14:textFill>
                        <w14:solidFill>
                          <w14:schemeClr w14:val="tx1"/>
                        </w14:solidFill>
                      </w14:textFill>
                    </w:rPr>
                    <w:t>混炼、塑炼</w:t>
                  </w:r>
                  <w:r>
                    <w:rPr>
                      <w:color w:val="000000" w:themeColor="text1"/>
                      <w:kern w:val="0"/>
                      <w:szCs w:val="21"/>
                      <w:lang w:bidi="ar"/>
                      <w14:textFill>
                        <w14:solidFill>
                          <w14:schemeClr w14:val="tx1"/>
                        </w14:solidFill>
                      </w14:textFill>
                    </w:rPr>
                    <w:t>/</w:t>
                  </w:r>
                  <w:r>
                    <w:rPr>
                      <w:rFonts w:hint="eastAsia" w:ascii="宋体" w:hAnsi="宋体" w:cs="宋体"/>
                      <w:color w:val="000000" w:themeColor="text1"/>
                      <w:kern w:val="0"/>
                      <w:szCs w:val="21"/>
                      <w:lang w:bidi="ar"/>
                      <w14:textFill>
                        <w14:solidFill>
                          <w14:schemeClr w14:val="tx1"/>
                        </w14:solidFill>
                      </w14:textFill>
                    </w:rPr>
                    <w:t>塑化</w:t>
                  </w:r>
                  <w:r>
                    <w:rPr>
                      <w:color w:val="000000" w:themeColor="text1"/>
                      <w:kern w:val="0"/>
                      <w:szCs w:val="21"/>
                      <w:lang w:bidi="ar"/>
                      <w14:textFill>
                        <w14:solidFill>
                          <w14:schemeClr w14:val="tx1"/>
                        </w14:solidFill>
                      </w14:textFill>
                    </w:rPr>
                    <w:t>/</w:t>
                  </w:r>
                  <w:r>
                    <w:rPr>
                      <w:rFonts w:hint="eastAsia" w:ascii="宋体" w:hAnsi="宋体" w:cs="宋体"/>
                      <w:color w:val="000000" w:themeColor="text1"/>
                      <w:kern w:val="0"/>
                      <w:szCs w:val="21"/>
                      <w:lang w:bidi="ar"/>
                      <w14:textFill>
                        <w14:solidFill>
                          <w14:schemeClr w14:val="tx1"/>
                        </w14:solidFill>
                      </w14:textFill>
                    </w:rPr>
                    <w:t>熔化、加工成型（挤出、注射、压制、压延、发泡、纺丝等）等作业中应采用密闭设备或在密闭空间内操作，废气应排至</w:t>
                  </w:r>
                  <w:r>
                    <w:rPr>
                      <w:color w:val="000000" w:themeColor="text1"/>
                      <w:kern w:val="0"/>
                      <w:szCs w:val="21"/>
                      <w:lang w:bidi="ar"/>
                      <w14:textFill>
                        <w14:solidFill>
                          <w14:schemeClr w14:val="tx1"/>
                        </w14:solidFill>
                      </w14:textFill>
                    </w:rPr>
                    <w:t>VOCs</w:t>
                  </w:r>
                  <w:r>
                    <w:rPr>
                      <w:rFonts w:hint="eastAsia" w:ascii="宋体" w:hAnsi="宋体" w:cs="宋体"/>
                      <w:color w:val="000000" w:themeColor="text1"/>
                      <w:kern w:val="0"/>
                      <w:szCs w:val="21"/>
                      <w:lang w:bidi="ar"/>
                      <w14:textFill>
                        <w14:solidFill>
                          <w14:schemeClr w14:val="tx1"/>
                        </w14:solidFill>
                      </w14:textFill>
                    </w:rPr>
                    <w:t>废气收集处理系统；无法密闭的，应采取局部气体收集措施，废气应排至</w:t>
                  </w:r>
                  <w:r>
                    <w:rPr>
                      <w:color w:val="000000" w:themeColor="text1"/>
                      <w:kern w:val="0"/>
                      <w:szCs w:val="21"/>
                      <w:lang w:bidi="ar"/>
                      <w14:textFill>
                        <w14:solidFill>
                          <w14:schemeClr w14:val="tx1"/>
                        </w14:solidFill>
                      </w14:textFill>
                    </w:rPr>
                    <w:t>VOCs</w:t>
                  </w:r>
                  <w:r>
                    <w:rPr>
                      <w:rFonts w:hint="eastAsia" w:ascii="宋体" w:hAnsi="宋体" w:cs="宋体"/>
                      <w:color w:val="000000" w:themeColor="text1"/>
                      <w:kern w:val="0"/>
                      <w:szCs w:val="21"/>
                      <w:lang w:bidi="ar"/>
                      <w14:textFill>
                        <w14:solidFill>
                          <w14:schemeClr w14:val="tx1"/>
                        </w14:solidFill>
                      </w14:textFill>
                    </w:rPr>
                    <w:t>废气收集处理系统。</w:t>
                  </w:r>
                </w:p>
              </w:tc>
              <w:tc>
                <w:tcPr>
                  <w:tcW w:w="3421" w:type="dxa"/>
                  <w:vMerge w:val="continue"/>
                  <w:tcBorders>
                    <w:left w:val="single" w:color="auto" w:sz="4" w:space="0"/>
                  </w:tcBorders>
                  <w:noWrap/>
                  <w:vAlign w:val="center"/>
                </w:tcPr>
                <w:p w14:paraId="71659140">
                  <w:pPr>
                    <w:autoSpaceDE w:val="0"/>
                    <w:autoSpaceDN w:val="0"/>
                    <w:adjustRightInd w:val="0"/>
                    <w:snapToGrid w:val="0"/>
                    <w:rPr>
                      <w:rFonts w:hint="eastAsia"/>
                      <w:color w:val="000000" w:themeColor="text1"/>
                      <w:szCs w:val="21"/>
                      <w:highlight w:val="none"/>
                      <w:lang w:val="en-US" w:eastAsia="zh-CN"/>
                      <w14:textFill>
                        <w14:solidFill>
                          <w14:schemeClr w14:val="tx1"/>
                        </w14:solidFill>
                      </w14:textFill>
                    </w:rPr>
                  </w:pPr>
                </w:p>
              </w:tc>
              <w:tc>
                <w:tcPr>
                  <w:tcW w:w="761" w:type="dxa"/>
                  <w:tcBorders>
                    <w:left w:val="single" w:color="auto" w:sz="4" w:space="0"/>
                  </w:tcBorders>
                  <w:noWrap/>
                  <w:vAlign w:val="center"/>
                </w:tcPr>
                <w:p w14:paraId="427299A1">
                  <w:pPr>
                    <w:autoSpaceDE w:val="0"/>
                    <w:autoSpaceDN w:val="0"/>
                    <w:adjustRightInd w:val="0"/>
                    <w:snapToGrid w:val="0"/>
                    <w:jc w:val="center"/>
                    <w:rPr>
                      <w:color w:val="000000" w:themeColor="text1"/>
                      <w:szCs w:val="21"/>
                      <w14:textFill>
                        <w14:solidFill>
                          <w14:schemeClr w14:val="tx1"/>
                        </w14:solidFill>
                      </w14:textFill>
                    </w:rPr>
                  </w:pPr>
                </w:p>
              </w:tc>
            </w:tr>
            <w:tr w14:paraId="6E3F22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48" w:type="dxa"/>
                  <w:vMerge w:val="continue"/>
                  <w:tcBorders>
                    <w:right w:val="single" w:color="auto" w:sz="4" w:space="0"/>
                  </w:tcBorders>
                  <w:noWrap/>
                  <w:vAlign w:val="center"/>
                </w:tcPr>
                <w:p w14:paraId="7163F07F">
                  <w:pPr>
                    <w:snapToGrid w:val="0"/>
                    <w:jc w:val="center"/>
                    <w:rPr>
                      <w:color w:val="000000" w:themeColor="text1"/>
                      <w:szCs w:val="21"/>
                      <w14:textFill>
                        <w14:solidFill>
                          <w14:schemeClr w14:val="tx1"/>
                        </w14:solidFill>
                      </w14:textFill>
                    </w:rPr>
                  </w:pPr>
                </w:p>
              </w:tc>
              <w:tc>
                <w:tcPr>
                  <w:tcW w:w="2293" w:type="dxa"/>
                  <w:vMerge w:val="continue"/>
                  <w:tcBorders>
                    <w:left w:val="single" w:color="auto" w:sz="4" w:space="0"/>
                    <w:right w:val="single" w:color="auto" w:sz="4" w:space="0"/>
                  </w:tcBorders>
                  <w:noWrap/>
                  <w:vAlign w:val="center"/>
                </w:tcPr>
                <w:p w14:paraId="65494C47">
                  <w:pPr>
                    <w:autoSpaceDE w:val="0"/>
                    <w:autoSpaceDN w:val="0"/>
                    <w:adjustRightInd w:val="0"/>
                    <w:snapToGrid w:val="0"/>
                    <w:jc w:val="center"/>
                    <w:rPr>
                      <w:color w:val="000000" w:themeColor="text1"/>
                      <w:szCs w:val="21"/>
                      <w14:textFill>
                        <w14:solidFill>
                          <w14:schemeClr w14:val="tx1"/>
                        </w14:solidFill>
                      </w14:textFill>
                    </w:rPr>
                  </w:pPr>
                </w:p>
              </w:tc>
              <w:tc>
                <w:tcPr>
                  <w:tcW w:w="5958" w:type="dxa"/>
                  <w:tcBorders>
                    <w:left w:val="single" w:color="auto" w:sz="4" w:space="0"/>
                    <w:right w:val="single" w:color="auto" w:sz="4" w:space="0"/>
                  </w:tcBorders>
                  <w:noWrap/>
                  <w:vAlign w:val="center"/>
                </w:tcPr>
                <w:p w14:paraId="724A99ED">
                  <w:pPr>
                    <w:widowControl/>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液态VOCs物料应采用密闭管道输送。采用非管道输送方式转移液态VOCs物料时，应采用密闭容器、罐车。</w:t>
                  </w:r>
                  <w:r>
                    <w:rPr>
                      <w:rFonts w:hint="eastAsia" w:ascii="宋体" w:hAnsi="宋体" w:cs="宋体"/>
                      <w:color w:val="000000" w:themeColor="text1"/>
                      <w:kern w:val="0"/>
                      <w:szCs w:val="21"/>
                      <w14:textFill>
                        <w14:solidFill>
                          <w14:schemeClr w14:val="tx1"/>
                        </w14:solidFill>
                      </w14:textFill>
                    </w:rPr>
                    <w:t xml:space="preserve"> </w:t>
                  </w:r>
                </w:p>
              </w:tc>
              <w:tc>
                <w:tcPr>
                  <w:tcW w:w="3421" w:type="dxa"/>
                  <w:vMerge w:val="continue"/>
                  <w:tcBorders>
                    <w:left w:val="single" w:color="auto" w:sz="4" w:space="0"/>
                  </w:tcBorders>
                  <w:noWrap/>
                  <w:vAlign w:val="center"/>
                </w:tcPr>
                <w:p w14:paraId="325EE66A">
                  <w:pPr>
                    <w:rPr>
                      <w:color w:val="000000" w:themeColor="text1"/>
                      <w:szCs w:val="21"/>
                      <w14:textFill>
                        <w14:solidFill>
                          <w14:schemeClr w14:val="tx1"/>
                        </w14:solidFill>
                      </w14:textFill>
                    </w:rPr>
                  </w:pPr>
                </w:p>
              </w:tc>
              <w:tc>
                <w:tcPr>
                  <w:tcW w:w="761" w:type="dxa"/>
                  <w:tcBorders>
                    <w:left w:val="single" w:color="auto" w:sz="4" w:space="0"/>
                  </w:tcBorders>
                  <w:noWrap/>
                  <w:vAlign w:val="center"/>
                </w:tcPr>
                <w:p w14:paraId="75A61822">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35D530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48" w:type="dxa"/>
                  <w:vMerge w:val="continue"/>
                  <w:tcBorders>
                    <w:right w:val="single" w:color="auto" w:sz="4" w:space="0"/>
                  </w:tcBorders>
                  <w:noWrap/>
                  <w:vAlign w:val="center"/>
                </w:tcPr>
                <w:p w14:paraId="438B10AF">
                  <w:pPr>
                    <w:snapToGrid w:val="0"/>
                    <w:jc w:val="center"/>
                    <w:rPr>
                      <w:color w:val="000000" w:themeColor="text1"/>
                      <w:szCs w:val="21"/>
                      <w14:textFill>
                        <w14:solidFill>
                          <w14:schemeClr w14:val="tx1"/>
                        </w14:solidFill>
                      </w14:textFill>
                    </w:rPr>
                  </w:pPr>
                </w:p>
              </w:tc>
              <w:tc>
                <w:tcPr>
                  <w:tcW w:w="2293" w:type="dxa"/>
                  <w:vMerge w:val="continue"/>
                  <w:tcBorders>
                    <w:left w:val="single" w:color="auto" w:sz="4" w:space="0"/>
                    <w:right w:val="single" w:color="auto" w:sz="4" w:space="0"/>
                  </w:tcBorders>
                  <w:noWrap/>
                  <w:vAlign w:val="center"/>
                </w:tcPr>
                <w:p w14:paraId="17ED26DD">
                  <w:pPr>
                    <w:autoSpaceDE w:val="0"/>
                    <w:autoSpaceDN w:val="0"/>
                    <w:adjustRightInd w:val="0"/>
                    <w:snapToGrid w:val="0"/>
                    <w:jc w:val="center"/>
                    <w:rPr>
                      <w:color w:val="000000" w:themeColor="text1"/>
                      <w:szCs w:val="21"/>
                      <w14:textFill>
                        <w14:solidFill>
                          <w14:schemeClr w14:val="tx1"/>
                        </w14:solidFill>
                      </w14:textFill>
                    </w:rPr>
                  </w:pPr>
                </w:p>
              </w:tc>
              <w:tc>
                <w:tcPr>
                  <w:tcW w:w="5958" w:type="dxa"/>
                  <w:tcBorders>
                    <w:left w:val="single" w:color="auto" w:sz="4" w:space="0"/>
                    <w:right w:val="single" w:color="auto" w:sz="4" w:space="0"/>
                  </w:tcBorders>
                  <w:noWrap/>
                  <w:vAlign w:val="center"/>
                </w:tcPr>
                <w:p w14:paraId="130D280C">
                  <w:pPr>
                    <w:widowControl/>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液态VOCs物料应采用密闭管道输送方式或采用高位槽（罐）、桶泵等给料方式密闭投加。无法密闭投加的，应在密闭空间内操作，或进行局部气体收集，废气应排至VOCs废气收集处理系统。</w:t>
                  </w:r>
                </w:p>
              </w:tc>
              <w:tc>
                <w:tcPr>
                  <w:tcW w:w="3421" w:type="dxa"/>
                  <w:vMerge w:val="continue"/>
                  <w:tcBorders>
                    <w:left w:val="single" w:color="auto" w:sz="4" w:space="0"/>
                  </w:tcBorders>
                  <w:noWrap/>
                  <w:vAlign w:val="center"/>
                </w:tcPr>
                <w:p w14:paraId="451F4799">
                  <w:pPr>
                    <w:rPr>
                      <w:color w:val="000000" w:themeColor="text1"/>
                      <w:szCs w:val="21"/>
                      <w14:textFill>
                        <w14:solidFill>
                          <w14:schemeClr w14:val="tx1"/>
                        </w14:solidFill>
                      </w14:textFill>
                    </w:rPr>
                  </w:pPr>
                </w:p>
              </w:tc>
              <w:tc>
                <w:tcPr>
                  <w:tcW w:w="761" w:type="dxa"/>
                  <w:tcBorders>
                    <w:left w:val="single" w:color="auto" w:sz="4" w:space="0"/>
                  </w:tcBorders>
                  <w:noWrap/>
                  <w:vAlign w:val="center"/>
                </w:tcPr>
                <w:p w14:paraId="53829381">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4B798E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48" w:type="dxa"/>
                  <w:vMerge w:val="continue"/>
                  <w:tcBorders>
                    <w:right w:val="single" w:color="auto" w:sz="4" w:space="0"/>
                  </w:tcBorders>
                  <w:noWrap/>
                  <w:vAlign w:val="center"/>
                </w:tcPr>
                <w:p w14:paraId="7A4DB756">
                  <w:pPr>
                    <w:snapToGrid w:val="0"/>
                    <w:jc w:val="center"/>
                    <w:rPr>
                      <w:color w:val="000000" w:themeColor="text1"/>
                      <w:szCs w:val="21"/>
                      <w14:textFill>
                        <w14:solidFill>
                          <w14:schemeClr w14:val="tx1"/>
                        </w14:solidFill>
                      </w14:textFill>
                    </w:rPr>
                  </w:pPr>
                </w:p>
              </w:tc>
              <w:tc>
                <w:tcPr>
                  <w:tcW w:w="2293" w:type="dxa"/>
                  <w:vMerge w:val="continue"/>
                  <w:tcBorders>
                    <w:left w:val="single" w:color="auto" w:sz="4" w:space="0"/>
                    <w:right w:val="single" w:color="auto" w:sz="4" w:space="0"/>
                  </w:tcBorders>
                  <w:noWrap/>
                  <w:vAlign w:val="center"/>
                </w:tcPr>
                <w:p w14:paraId="47905955">
                  <w:pPr>
                    <w:autoSpaceDE w:val="0"/>
                    <w:autoSpaceDN w:val="0"/>
                    <w:adjustRightInd w:val="0"/>
                    <w:snapToGrid w:val="0"/>
                    <w:jc w:val="center"/>
                    <w:rPr>
                      <w:color w:val="000000" w:themeColor="text1"/>
                      <w:szCs w:val="21"/>
                      <w14:textFill>
                        <w14:solidFill>
                          <w14:schemeClr w14:val="tx1"/>
                        </w14:solidFill>
                      </w14:textFill>
                    </w:rPr>
                  </w:pPr>
                </w:p>
              </w:tc>
              <w:tc>
                <w:tcPr>
                  <w:tcW w:w="5958" w:type="dxa"/>
                  <w:tcBorders>
                    <w:left w:val="single" w:color="auto" w:sz="4" w:space="0"/>
                    <w:right w:val="single" w:color="auto" w:sz="4" w:space="0"/>
                  </w:tcBorders>
                  <w:noWrap/>
                  <w:vAlign w:val="center"/>
                </w:tcPr>
                <w:p w14:paraId="5C1799DA">
                  <w:pPr>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VOCs废气收集处理系统发生故障或检修时，对应的生产工艺设备应停止运行，待检修完毕后同步投入使用；生产工艺设备不能停止运行或不能及时停止运行的，应设置废气应急处理设施或采取其他替代措施等。</w:t>
                  </w:r>
                </w:p>
              </w:tc>
              <w:tc>
                <w:tcPr>
                  <w:tcW w:w="3421" w:type="dxa"/>
                  <w:vMerge w:val="continue"/>
                  <w:tcBorders>
                    <w:left w:val="single" w:color="auto" w:sz="4" w:space="0"/>
                  </w:tcBorders>
                  <w:noWrap/>
                  <w:vAlign w:val="center"/>
                </w:tcPr>
                <w:p w14:paraId="12FB9224">
                  <w:pPr>
                    <w:rPr>
                      <w:color w:val="000000" w:themeColor="text1"/>
                      <w:szCs w:val="21"/>
                      <w14:textFill>
                        <w14:solidFill>
                          <w14:schemeClr w14:val="tx1"/>
                        </w14:solidFill>
                      </w14:textFill>
                    </w:rPr>
                  </w:pPr>
                </w:p>
              </w:tc>
              <w:tc>
                <w:tcPr>
                  <w:tcW w:w="761" w:type="dxa"/>
                  <w:tcBorders>
                    <w:left w:val="single" w:color="auto" w:sz="4" w:space="0"/>
                  </w:tcBorders>
                  <w:noWrap/>
                  <w:vAlign w:val="center"/>
                </w:tcPr>
                <w:p w14:paraId="6CFB4D51">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0CB7DF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48" w:type="dxa"/>
                  <w:vMerge w:val="continue"/>
                  <w:tcBorders>
                    <w:right w:val="single" w:color="auto" w:sz="4" w:space="0"/>
                  </w:tcBorders>
                  <w:noWrap/>
                  <w:vAlign w:val="center"/>
                </w:tcPr>
                <w:p w14:paraId="4BBBAA6A">
                  <w:pPr>
                    <w:snapToGrid w:val="0"/>
                    <w:jc w:val="center"/>
                    <w:rPr>
                      <w:color w:val="000000" w:themeColor="text1"/>
                      <w:szCs w:val="21"/>
                      <w14:textFill>
                        <w14:solidFill>
                          <w14:schemeClr w14:val="tx1"/>
                        </w14:solidFill>
                      </w14:textFill>
                    </w:rPr>
                  </w:pPr>
                </w:p>
              </w:tc>
              <w:tc>
                <w:tcPr>
                  <w:tcW w:w="2293" w:type="dxa"/>
                  <w:vMerge w:val="continue"/>
                  <w:tcBorders>
                    <w:left w:val="single" w:color="auto" w:sz="4" w:space="0"/>
                    <w:right w:val="single" w:color="auto" w:sz="4" w:space="0"/>
                  </w:tcBorders>
                  <w:noWrap/>
                  <w:vAlign w:val="center"/>
                </w:tcPr>
                <w:p w14:paraId="2A771ACB">
                  <w:pPr>
                    <w:autoSpaceDE w:val="0"/>
                    <w:autoSpaceDN w:val="0"/>
                    <w:adjustRightInd w:val="0"/>
                    <w:snapToGrid w:val="0"/>
                    <w:jc w:val="center"/>
                    <w:rPr>
                      <w:color w:val="000000" w:themeColor="text1"/>
                      <w:szCs w:val="21"/>
                      <w14:textFill>
                        <w14:solidFill>
                          <w14:schemeClr w14:val="tx1"/>
                        </w14:solidFill>
                      </w14:textFill>
                    </w:rPr>
                  </w:pPr>
                </w:p>
              </w:tc>
              <w:tc>
                <w:tcPr>
                  <w:tcW w:w="5958" w:type="dxa"/>
                  <w:tcBorders>
                    <w:left w:val="single" w:color="auto" w:sz="4" w:space="0"/>
                    <w:right w:val="single" w:color="auto" w:sz="4" w:space="0"/>
                  </w:tcBorders>
                  <w:noWrap/>
                  <w:vAlign w:val="center"/>
                </w:tcPr>
                <w:p w14:paraId="49E0A795">
                  <w:pPr>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VOCs废气收集处理系统应与生产工艺设备同步进行。</w:t>
                  </w:r>
                </w:p>
              </w:tc>
              <w:tc>
                <w:tcPr>
                  <w:tcW w:w="3421" w:type="dxa"/>
                  <w:vMerge w:val="continue"/>
                  <w:tcBorders>
                    <w:left w:val="single" w:color="auto" w:sz="4" w:space="0"/>
                  </w:tcBorders>
                  <w:noWrap/>
                  <w:vAlign w:val="center"/>
                </w:tcPr>
                <w:p w14:paraId="00357B04">
                  <w:pPr>
                    <w:rPr>
                      <w:color w:val="000000" w:themeColor="text1"/>
                      <w:szCs w:val="21"/>
                      <w14:textFill>
                        <w14:solidFill>
                          <w14:schemeClr w14:val="tx1"/>
                        </w14:solidFill>
                      </w14:textFill>
                    </w:rPr>
                  </w:pPr>
                </w:p>
              </w:tc>
              <w:tc>
                <w:tcPr>
                  <w:tcW w:w="761" w:type="dxa"/>
                  <w:tcBorders>
                    <w:left w:val="single" w:color="auto" w:sz="4" w:space="0"/>
                  </w:tcBorders>
                  <w:noWrap/>
                  <w:vAlign w:val="center"/>
                </w:tcPr>
                <w:p w14:paraId="7EEC3974">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596217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48" w:type="dxa"/>
                  <w:vMerge w:val="continue"/>
                  <w:tcBorders>
                    <w:right w:val="single" w:color="auto" w:sz="4" w:space="0"/>
                  </w:tcBorders>
                  <w:noWrap/>
                  <w:vAlign w:val="center"/>
                </w:tcPr>
                <w:p w14:paraId="5988EA51">
                  <w:pPr>
                    <w:snapToGrid w:val="0"/>
                    <w:jc w:val="center"/>
                    <w:rPr>
                      <w:color w:val="000000" w:themeColor="text1"/>
                      <w:szCs w:val="21"/>
                      <w14:textFill>
                        <w14:solidFill>
                          <w14:schemeClr w14:val="tx1"/>
                        </w14:solidFill>
                      </w14:textFill>
                    </w:rPr>
                  </w:pPr>
                </w:p>
              </w:tc>
              <w:tc>
                <w:tcPr>
                  <w:tcW w:w="2293" w:type="dxa"/>
                  <w:vMerge w:val="continue"/>
                  <w:tcBorders>
                    <w:left w:val="single" w:color="auto" w:sz="4" w:space="0"/>
                    <w:right w:val="single" w:color="auto" w:sz="4" w:space="0"/>
                  </w:tcBorders>
                  <w:noWrap/>
                  <w:vAlign w:val="center"/>
                </w:tcPr>
                <w:p w14:paraId="5F5B76AF">
                  <w:pPr>
                    <w:autoSpaceDE w:val="0"/>
                    <w:autoSpaceDN w:val="0"/>
                    <w:adjustRightInd w:val="0"/>
                    <w:snapToGrid w:val="0"/>
                    <w:jc w:val="center"/>
                    <w:rPr>
                      <w:color w:val="000000" w:themeColor="text1"/>
                      <w:szCs w:val="21"/>
                      <w14:textFill>
                        <w14:solidFill>
                          <w14:schemeClr w14:val="tx1"/>
                        </w14:solidFill>
                      </w14:textFill>
                    </w:rPr>
                  </w:pPr>
                </w:p>
              </w:tc>
              <w:tc>
                <w:tcPr>
                  <w:tcW w:w="5958" w:type="dxa"/>
                  <w:tcBorders>
                    <w:left w:val="single" w:color="auto" w:sz="4" w:space="0"/>
                    <w:right w:val="single" w:color="auto" w:sz="4" w:space="0"/>
                  </w:tcBorders>
                  <w:noWrap/>
                  <w:vAlign w:val="center"/>
                </w:tcPr>
                <w:p w14:paraId="595CEC2D">
                  <w:pPr>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VOCs质量占比大于等于10%的含VOCs产品，其使用过程应采用密闭设备或在密闭空间内操作，废气应排至VOCs废气收集处理系统；无法密闭的，应采取局部废气收集措施，废气应排至VOCs废气收集处理系统。</w:t>
                  </w:r>
                </w:p>
              </w:tc>
              <w:tc>
                <w:tcPr>
                  <w:tcW w:w="3421" w:type="dxa"/>
                  <w:vMerge w:val="continue"/>
                  <w:tcBorders>
                    <w:left w:val="single" w:color="auto" w:sz="4" w:space="0"/>
                  </w:tcBorders>
                  <w:noWrap/>
                  <w:vAlign w:val="center"/>
                </w:tcPr>
                <w:p w14:paraId="634664A6">
                  <w:pPr>
                    <w:autoSpaceDE w:val="0"/>
                    <w:autoSpaceDN w:val="0"/>
                    <w:adjustRightInd w:val="0"/>
                    <w:snapToGrid w:val="0"/>
                    <w:rPr>
                      <w:color w:val="000000" w:themeColor="text1"/>
                      <w:szCs w:val="21"/>
                      <w14:textFill>
                        <w14:solidFill>
                          <w14:schemeClr w14:val="tx1"/>
                        </w14:solidFill>
                      </w14:textFill>
                    </w:rPr>
                  </w:pPr>
                </w:p>
              </w:tc>
              <w:tc>
                <w:tcPr>
                  <w:tcW w:w="761" w:type="dxa"/>
                  <w:tcBorders>
                    <w:left w:val="single" w:color="auto" w:sz="4" w:space="0"/>
                  </w:tcBorders>
                  <w:noWrap/>
                  <w:vAlign w:val="center"/>
                </w:tcPr>
                <w:p w14:paraId="373F7D8D">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0C2437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48" w:type="dxa"/>
                  <w:vMerge w:val="continue"/>
                  <w:tcBorders>
                    <w:right w:val="single" w:color="auto" w:sz="4" w:space="0"/>
                  </w:tcBorders>
                  <w:noWrap/>
                  <w:vAlign w:val="center"/>
                </w:tcPr>
                <w:p w14:paraId="63E33635">
                  <w:pPr>
                    <w:snapToGrid w:val="0"/>
                    <w:jc w:val="center"/>
                    <w:rPr>
                      <w:color w:val="000000" w:themeColor="text1"/>
                      <w:szCs w:val="21"/>
                      <w14:textFill>
                        <w14:solidFill>
                          <w14:schemeClr w14:val="tx1"/>
                        </w14:solidFill>
                      </w14:textFill>
                    </w:rPr>
                  </w:pPr>
                </w:p>
              </w:tc>
              <w:tc>
                <w:tcPr>
                  <w:tcW w:w="2293" w:type="dxa"/>
                  <w:vMerge w:val="continue"/>
                  <w:tcBorders>
                    <w:left w:val="single" w:color="auto" w:sz="4" w:space="0"/>
                    <w:right w:val="single" w:color="auto" w:sz="4" w:space="0"/>
                  </w:tcBorders>
                  <w:noWrap/>
                  <w:vAlign w:val="center"/>
                </w:tcPr>
                <w:p w14:paraId="7A0B2E70">
                  <w:pPr>
                    <w:autoSpaceDE w:val="0"/>
                    <w:autoSpaceDN w:val="0"/>
                    <w:adjustRightInd w:val="0"/>
                    <w:snapToGrid w:val="0"/>
                    <w:jc w:val="center"/>
                    <w:rPr>
                      <w:color w:val="000000" w:themeColor="text1"/>
                      <w:szCs w:val="21"/>
                      <w14:textFill>
                        <w14:solidFill>
                          <w14:schemeClr w14:val="tx1"/>
                        </w14:solidFill>
                      </w14:textFill>
                    </w:rPr>
                  </w:pPr>
                </w:p>
              </w:tc>
              <w:tc>
                <w:tcPr>
                  <w:tcW w:w="5958" w:type="dxa"/>
                  <w:tcBorders>
                    <w:left w:val="single" w:color="auto" w:sz="4" w:space="0"/>
                    <w:right w:val="single" w:color="auto" w:sz="4" w:space="0"/>
                  </w:tcBorders>
                  <w:noWrap/>
                  <w:vAlign w:val="center"/>
                </w:tcPr>
                <w:p w14:paraId="7BA075A1">
                  <w:pPr>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收集的废气中NMHC初始排放速率≥3kg/h时，应配置VOC</w:t>
                  </w: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处理设施，处理效率不应</w:t>
                  </w:r>
                  <w:r>
                    <w:rPr>
                      <w:rFonts w:hint="eastAsia"/>
                      <w:color w:val="000000" w:themeColor="text1"/>
                      <w:szCs w:val="21"/>
                      <w14:textFill>
                        <w14:solidFill>
                          <w14:schemeClr w14:val="tx1"/>
                        </w14:solidFill>
                      </w14:textFill>
                    </w:rPr>
                    <w:t>低于</w:t>
                  </w:r>
                  <w:r>
                    <w:rPr>
                      <w:color w:val="000000" w:themeColor="text1"/>
                      <w:szCs w:val="21"/>
                      <w14:textFill>
                        <w14:solidFill>
                          <w14:schemeClr w14:val="tx1"/>
                        </w14:solidFill>
                      </w14:textFill>
                    </w:rPr>
                    <w:t>80%；对于重点地区，收集的废气中NMHC初始排放速率≥2kg/h时，应配置VOCs处理设施，处理效率不应低于80%</w:t>
                  </w:r>
                </w:p>
              </w:tc>
              <w:tc>
                <w:tcPr>
                  <w:tcW w:w="3421" w:type="dxa"/>
                  <w:vMerge w:val="continue"/>
                  <w:tcBorders>
                    <w:left w:val="single" w:color="auto" w:sz="4" w:space="0"/>
                  </w:tcBorders>
                  <w:noWrap/>
                  <w:vAlign w:val="center"/>
                </w:tcPr>
                <w:p w14:paraId="52DE67FB">
                  <w:pPr>
                    <w:autoSpaceDE w:val="0"/>
                    <w:autoSpaceDN w:val="0"/>
                    <w:adjustRightInd w:val="0"/>
                    <w:snapToGrid w:val="0"/>
                    <w:jc w:val="left"/>
                    <w:rPr>
                      <w:color w:val="000000" w:themeColor="text1"/>
                      <w:szCs w:val="21"/>
                      <w14:textFill>
                        <w14:solidFill>
                          <w14:schemeClr w14:val="tx1"/>
                        </w14:solidFill>
                      </w14:textFill>
                    </w:rPr>
                  </w:pPr>
                </w:p>
              </w:tc>
              <w:tc>
                <w:tcPr>
                  <w:tcW w:w="761" w:type="dxa"/>
                  <w:tcBorders>
                    <w:left w:val="single" w:color="auto" w:sz="4" w:space="0"/>
                  </w:tcBorders>
                  <w:noWrap/>
                  <w:vAlign w:val="center"/>
                </w:tcPr>
                <w:p w14:paraId="3E68909C">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51B793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48" w:type="dxa"/>
                  <w:vMerge w:val="restart"/>
                  <w:tcBorders>
                    <w:right w:val="single" w:color="auto" w:sz="4" w:space="0"/>
                  </w:tcBorders>
                  <w:noWrap/>
                  <w:vAlign w:val="center"/>
                </w:tcPr>
                <w:p w14:paraId="33A2675A">
                  <w:pPr>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2293" w:type="dxa"/>
                  <w:vMerge w:val="restart"/>
                  <w:tcBorders>
                    <w:left w:val="single" w:color="auto" w:sz="4" w:space="0"/>
                    <w:right w:val="single" w:color="auto" w:sz="4" w:space="0"/>
                  </w:tcBorders>
                  <w:noWrap/>
                  <w:vAlign w:val="center"/>
                </w:tcPr>
                <w:p w14:paraId="62E060AE">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《印刷工业大气污染物排放标准》（DB32/4438-2022）</w:t>
                  </w:r>
                </w:p>
              </w:tc>
              <w:tc>
                <w:tcPr>
                  <w:tcW w:w="5958" w:type="dxa"/>
                  <w:tcBorders>
                    <w:left w:val="single" w:color="auto" w:sz="4" w:space="0"/>
                    <w:right w:val="single" w:color="auto" w:sz="4" w:space="0"/>
                  </w:tcBorders>
                  <w:noWrap/>
                  <w:vAlign w:val="center"/>
                </w:tcPr>
                <w:p w14:paraId="6D137168">
                  <w:pPr>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企业油墨、清洗剂、胶黏剂等含VOC</w:t>
                  </w: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产品的使用</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按照GB38507、GB38508</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GB33372等相应标准要求执行</w:t>
                  </w:r>
                  <w:r>
                    <w:rPr>
                      <w:rFonts w:hint="eastAsia"/>
                      <w:color w:val="000000" w:themeColor="text1"/>
                      <w:szCs w:val="21"/>
                      <w14:textFill>
                        <w14:solidFill>
                          <w14:schemeClr w14:val="tx1"/>
                        </w14:solidFill>
                      </w14:textFill>
                    </w:rPr>
                    <w:t>。</w:t>
                  </w:r>
                </w:p>
              </w:tc>
              <w:tc>
                <w:tcPr>
                  <w:tcW w:w="3421" w:type="dxa"/>
                  <w:vMerge w:val="continue"/>
                  <w:tcBorders>
                    <w:left w:val="single" w:color="auto" w:sz="4" w:space="0"/>
                  </w:tcBorders>
                  <w:noWrap/>
                  <w:vAlign w:val="center"/>
                </w:tcPr>
                <w:p w14:paraId="7C89DF17">
                  <w:pPr>
                    <w:autoSpaceDE w:val="0"/>
                    <w:autoSpaceDN w:val="0"/>
                    <w:adjustRightInd w:val="0"/>
                    <w:snapToGrid w:val="0"/>
                    <w:jc w:val="left"/>
                    <w:rPr>
                      <w:color w:val="000000" w:themeColor="text1"/>
                      <w:szCs w:val="21"/>
                      <w14:textFill>
                        <w14:solidFill>
                          <w14:schemeClr w14:val="tx1"/>
                        </w14:solidFill>
                      </w14:textFill>
                    </w:rPr>
                  </w:pPr>
                </w:p>
              </w:tc>
              <w:tc>
                <w:tcPr>
                  <w:tcW w:w="761" w:type="dxa"/>
                  <w:tcBorders>
                    <w:left w:val="single" w:color="auto" w:sz="4" w:space="0"/>
                  </w:tcBorders>
                  <w:noWrap/>
                  <w:vAlign w:val="center"/>
                </w:tcPr>
                <w:p w14:paraId="45C248EE">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3BCC1E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48" w:type="dxa"/>
                  <w:vMerge w:val="continue"/>
                  <w:tcBorders>
                    <w:right w:val="single" w:color="auto" w:sz="4" w:space="0"/>
                  </w:tcBorders>
                  <w:noWrap/>
                  <w:vAlign w:val="center"/>
                </w:tcPr>
                <w:p w14:paraId="1EDE8C3D">
                  <w:pPr>
                    <w:snapToGrid w:val="0"/>
                    <w:jc w:val="center"/>
                    <w:rPr>
                      <w:rFonts w:hint="eastAsia" w:eastAsia="宋体"/>
                      <w:color w:val="000000" w:themeColor="text1"/>
                      <w:szCs w:val="21"/>
                      <w:lang w:eastAsia="zh-CN"/>
                      <w14:textFill>
                        <w14:solidFill>
                          <w14:schemeClr w14:val="tx1"/>
                        </w14:solidFill>
                      </w14:textFill>
                    </w:rPr>
                  </w:pPr>
                </w:p>
              </w:tc>
              <w:tc>
                <w:tcPr>
                  <w:tcW w:w="2293" w:type="dxa"/>
                  <w:vMerge w:val="continue"/>
                  <w:tcBorders>
                    <w:left w:val="single" w:color="auto" w:sz="4" w:space="0"/>
                    <w:right w:val="single" w:color="auto" w:sz="4" w:space="0"/>
                  </w:tcBorders>
                  <w:noWrap/>
                  <w:vAlign w:val="center"/>
                </w:tcPr>
                <w:p w14:paraId="62ED31A9">
                  <w:pPr>
                    <w:autoSpaceDE w:val="0"/>
                    <w:autoSpaceDN w:val="0"/>
                    <w:adjustRightInd w:val="0"/>
                    <w:snapToGrid w:val="0"/>
                    <w:jc w:val="center"/>
                    <w:rPr>
                      <w:color w:val="000000" w:themeColor="text1"/>
                      <w:szCs w:val="21"/>
                      <w14:textFill>
                        <w14:solidFill>
                          <w14:schemeClr w14:val="tx1"/>
                        </w14:solidFill>
                      </w14:textFill>
                    </w:rPr>
                  </w:pPr>
                </w:p>
              </w:tc>
              <w:tc>
                <w:tcPr>
                  <w:tcW w:w="5958" w:type="dxa"/>
                  <w:tcBorders>
                    <w:left w:val="single" w:color="auto" w:sz="4" w:space="0"/>
                    <w:right w:val="single" w:color="auto" w:sz="4" w:space="0"/>
                  </w:tcBorders>
                  <w:noWrap/>
                  <w:vAlign w:val="center"/>
                </w:tcPr>
                <w:p w14:paraId="65157F8C">
                  <w:pPr>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企业VOCs无组织排放(包括VOCs物料储存无组织排放、VOCs物料转移和输送无组织排放</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工艺过程VOCs无组织排放、设备与管线组件VOCs泄漏开液面VOCs无组织排放)控制及VOCs无组织排放废气收集处理系统要求执行GB 37822的规定。</w:t>
                  </w:r>
                </w:p>
              </w:tc>
              <w:tc>
                <w:tcPr>
                  <w:tcW w:w="3421" w:type="dxa"/>
                  <w:vMerge w:val="continue"/>
                  <w:tcBorders>
                    <w:left w:val="single" w:color="auto" w:sz="4" w:space="0"/>
                  </w:tcBorders>
                  <w:noWrap/>
                  <w:vAlign w:val="center"/>
                </w:tcPr>
                <w:p w14:paraId="4F89FF59">
                  <w:pPr>
                    <w:autoSpaceDE w:val="0"/>
                    <w:autoSpaceDN w:val="0"/>
                    <w:adjustRightInd w:val="0"/>
                    <w:snapToGrid w:val="0"/>
                    <w:jc w:val="left"/>
                    <w:rPr>
                      <w:color w:val="000000" w:themeColor="text1"/>
                      <w:szCs w:val="21"/>
                      <w14:textFill>
                        <w14:solidFill>
                          <w14:schemeClr w14:val="tx1"/>
                        </w14:solidFill>
                      </w14:textFill>
                    </w:rPr>
                  </w:pPr>
                </w:p>
              </w:tc>
              <w:tc>
                <w:tcPr>
                  <w:tcW w:w="761" w:type="dxa"/>
                  <w:tcBorders>
                    <w:left w:val="single" w:color="auto" w:sz="4" w:space="0"/>
                  </w:tcBorders>
                  <w:noWrap/>
                  <w:vAlign w:val="center"/>
                </w:tcPr>
                <w:p w14:paraId="768B07BA">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4DC7F2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48" w:type="dxa"/>
                  <w:vMerge w:val="continue"/>
                  <w:tcBorders>
                    <w:right w:val="single" w:color="auto" w:sz="4" w:space="0"/>
                  </w:tcBorders>
                  <w:noWrap/>
                  <w:vAlign w:val="center"/>
                </w:tcPr>
                <w:p w14:paraId="28A5A1F9">
                  <w:pPr>
                    <w:snapToGrid w:val="0"/>
                    <w:jc w:val="center"/>
                    <w:rPr>
                      <w:rFonts w:hint="eastAsia" w:eastAsia="宋体"/>
                      <w:color w:val="000000" w:themeColor="text1"/>
                      <w:szCs w:val="21"/>
                      <w:lang w:eastAsia="zh-CN"/>
                      <w14:textFill>
                        <w14:solidFill>
                          <w14:schemeClr w14:val="tx1"/>
                        </w14:solidFill>
                      </w14:textFill>
                    </w:rPr>
                  </w:pPr>
                </w:p>
              </w:tc>
              <w:tc>
                <w:tcPr>
                  <w:tcW w:w="2293" w:type="dxa"/>
                  <w:vMerge w:val="continue"/>
                  <w:tcBorders>
                    <w:left w:val="single" w:color="auto" w:sz="4" w:space="0"/>
                    <w:right w:val="single" w:color="auto" w:sz="4" w:space="0"/>
                  </w:tcBorders>
                  <w:shd w:val="clear" w:color="auto" w:fill="auto"/>
                  <w:noWrap/>
                  <w:vAlign w:val="center"/>
                </w:tcPr>
                <w:p w14:paraId="4F9FD000">
                  <w:pPr>
                    <w:autoSpaceDE w:val="0"/>
                    <w:autoSpaceDN w:val="0"/>
                    <w:adjustRightInd w:val="0"/>
                    <w:snapToGrid w:val="0"/>
                    <w:jc w:val="center"/>
                    <w:rPr>
                      <w:color w:val="000000" w:themeColor="text1"/>
                      <w:szCs w:val="21"/>
                      <w14:textFill>
                        <w14:solidFill>
                          <w14:schemeClr w14:val="tx1"/>
                        </w14:solidFill>
                      </w14:textFill>
                    </w:rPr>
                  </w:pPr>
                </w:p>
              </w:tc>
              <w:tc>
                <w:tcPr>
                  <w:tcW w:w="5958" w:type="dxa"/>
                  <w:tcBorders>
                    <w:left w:val="single" w:color="auto" w:sz="4" w:space="0"/>
                    <w:right w:val="single" w:color="auto" w:sz="4" w:space="0"/>
                  </w:tcBorders>
                  <w:shd w:val="clear" w:color="auto" w:fill="auto"/>
                  <w:noWrap/>
                  <w:vAlign w:val="center"/>
                </w:tcPr>
                <w:p w14:paraId="6612742D">
                  <w:pPr>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油墨、稀释剂、胶黏剂等VOCs物料应储存于</w:t>
                  </w:r>
                  <w:r>
                    <w:rPr>
                      <w:rFonts w:hint="eastAsia"/>
                      <w:color w:val="000000" w:themeColor="text1"/>
                      <w:szCs w:val="21"/>
                      <w14:textFill>
                        <w14:solidFill>
                          <w14:schemeClr w14:val="tx1"/>
                        </w14:solidFill>
                      </w14:textFill>
                    </w:rPr>
                    <w:t>密闭</w:t>
                  </w:r>
                  <w:r>
                    <w:rPr>
                      <w:color w:val="000000" w:themeColor="text1"/>
                      <w:szCs w:val="21"/>
                      <w14:textFill>
                        <w14:solidFill>
                          <w14:schemeClr w14:val="tx1"/>
                        </w14:solidFill>
                      </w14:textFill>
                    </w:rPr>
                    <w:t>的容器或包装袋中。</w:t>
                  </w:r>
                  <w:r>
                    <w:rPr>
                      <w:rFonts w:hint="eastAsia"/>
                      <w:color w:val="000000" w:themeColor="text1"/>
                      <w:szCs w:val="21"/>
                      <w14:textFill>
                        <w14:solidFill>
                          <w14:schemeClr w14:val="tx1"/>
                        </w14:solidFill>
                      </w14:textFill>
                    </w:rPr>
                    <w:t>盛装</w:t>
                  </w:r>
                  <w:r>
                    <w:rPr>
                      <w:color w:val="000000" w:themeColor="text1"/>
                      <w:szCs w:val="21"/>
                      <w14:textFill>
                        <w14:solidFill>
                          <w14:schemeClr w14:val="tx1"/>
                        </w14:solidFill>
                      </w14:textFill>
                    </w:rPr>
                    <w:t>VOCs物料的容器应存放于密闭空间。盛装VOCs物料的容器或包装袋在非取用状态时应加盖、封口</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保持密闭。</w:t>
                  </w:r>
                </w:p>
              </w:tc>
              <w:tc>
                <w:tcPr>
                  <w:tcW w:w="3421" w:type="dxa"/>
                  <w:vMerge w:val="continue"/>
                  <w:tcBorders>
                    <w:left w:val="single" w:color="auto" w:sz="4" w:space="0"/>
                  </w:tcBorders>
                  <w:noWrap/>
                  <w:vAlign w:val="center"/>
                </w:tcPr>
                <w:p w14:paraId="15CF9C9F">
                  <w:pPr>
                    <w:autoSpaceDE w:val="0"/>
                    <w:autoSpaceDN w:val="0"/>
                    <w:adjustRightInd w:val="0"/>
                    <w:snapToGrid w:val="0"/>
                    <w:jc w:val="left"/>
                    <w:rPr>
                      <w:color w:val="000000" w:themeColor="text1"/>
                      <w:szCs w:val="21"/>
                      <w14:textFill>
                        <w14:solidFill>
                          <w14:schemeClr w14:val="tx1"/>
                        </w14:solidFill>
                      </w14:textFill>
                    </w:rPr>
                  </w:pPr>
                </w:p>
              </w:tc>
              <w:tc>
                <w:tcPr>
                  <w:tcW w:w="761" w:type="dxa"/>
                  <w:tcBorders>
                    <w:left w:val="single" w:color="auto" w:sz="4" w:space="0"/>
                  </w:tcBorders>
                  <w:noWrap/>
                  <w:vAlign w:val="center"/>
                </w:tcPr>
                <w:p w14:paraId="354373A3">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3EBED6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48" w:type="dxa"/>
                  <w:vMerge w:val="continue"/>
                  <w:tcBorders>
                    <w:right w:val="single" w:color="auto" w:sz="4" w:space="0"/>
                  </w:tcBorders>
                  <w:noWrap/>
                  <w:vAlign w:val="center"/>
                </w:tcPr>
                <w:p w14:paraId="1234B4E3">
                  <w:pPr>
                    <w:snapToGrid w:val="0"/>
                    <w:jc w:val="center"/>
                    <w:rPr>
                      <w:color w:val="000000" w:themeColor="text1"/>
                      <w:szCs w:val="21"/>
                      <w14:textFill>
                        <w14:solidFill>
                          <w14:schemeClr w14:val="tx1"/>
                        </w14:solidFill>
                      </w14:textFill>
                    </w:rPr>
                  </w:pPr>
                </w:p>
              </w:tc>
              <w:tc>
                <w:tcPr>
                  <w:tcW w:w="2293" w:type="dxa"/>
                  <w:vMerge w:val="continue"/>
                  <w:tcBorders>
                    <w:left w:val="single" w:color="auto" w:sz="4" w:space="0"/>
                    <w:right w:val="single" w:color="auto" w:sz="4" w:space="0"/>
                  </w:tcBorders>
                  <w:shd w:val="clear" w:color="auto" w:fill="auto"/>
                  <w:noWrap/>
                  <w:vAlign w:val="center"/>
                </w:tcPr>
                <w:p w14:paraId="2FFCF4A8">
                  <w:pPr>
                    <w:autoSpaceDE w:val="0"/>
                    <w:autoSpaceDN w:val="0"/>
                    <w:adjustRightInd w:val="0"/>
                    <w:snapToGrid w:val="0"/>
                    <w:jc w:val="center"/>
                    <w:rPr>
                      <w:color w:val="000000" w:themeColor="text1"/>
                      <w14:textFill>
                        <w14:solidFill>
                          <w14:schemeClr w14:val="tx1"/>
                        </w14:solidFill>
                      </w14:textFill>
                    </w:rPr>
                  </w:pPr>
                </w:p>
              </w:tc>
              <w:tc>
                <w:tcPr>
                  <w:tcW w:w="5958" w:type="dxa"/>
                  <w:tcBorders>
                    <w:left w:val="single" w:color="auto" w:sz="4" w:space="0"/>
                    <w:right w:val="single" w:color="auto" w:sz="4" w:space="0"/>
                  </w:tcBorders>
                  <w:shd w:val="clear" w:color="auto" w:fill="auto"/>
                  <w:noWrap/>
                  <w:vAlign w:val="center"/>
                </w:tcPr>
                <w:p w14:paraId="4990125B">
                  <w:pPr>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油墨、胶黏剂等VOCs物料的调配</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涂布、印刷、复合、上光、洗车等工序均应采用</w:t>
                  </w:r>
                  <w:r>
                    <w:rPr>
                      <w:rFonts w:hint="eastAsia"/>
                      <w:color w:val="000000" w:themeColor="text1"/>
                      <w:szCs w:val="21"/>
                      <w:lang w:eastAsia="zh-CN"/>
                      <w14:textFill>
                        <w14:solidFill>
                          <w14:schemeClr w14:val="tx1"/>
                        </w14:solidFill>
                      </w14:textFill>
                    </w:rPr>
                    <w:t>密闭</w:t>
                  </w:r>
                  <w:r>
                    <w:rPr>
                      <w:color w:val="000000" w:themeColor="text1"/>
                      <w:szCs w:val="21"/>
                      <w14:textFill>
                        <w14:solidFill>
                          <w14:schemeClr w14:val="tx1"/>
                        </w14:solidFill>
                      </w14:textFill>
                    </w:rPr>
                    <w:t>设备或在密闭空间内操作</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密闭空间产生的废气应排至VOCs废气收集处理系统;设备无法密闭的</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应采取局部气体收集措施，废气应排至VOCs废气收集处理系统，处理后达标排放。</w:t>
                  </w:r>
                </w:p>
              </w:tc>
              <w:tc>
                <w:tcPr>
                  <w:tcW w:w="3421" w:type="dxa"/>
                  <w:vMerge w:val="continue"/>
                  <w:tcBorders>
                    <w:left w:val="single" w:color="auto" w:sz="4" w:space="0"/>
                  </w:tcBorders>
                  <w:noWrap/>
                  <w:vAlign w:val="center"/>
                </w:tcPr>
                <w:p w14:paraId="28EE2A66">
                  <w:pPr>
                    <w:autoSpaceDE w:val="0"/>
                    <w:autoSpaceDN w:val="0"/>
                    <w:adjustRightInd w:val="0"/>
                    <w:snapToGrid w:val="0"/>
                    <w:jc w:val="left"/>
                    <w:rPr>
                      <w:color w:val="000000" w:themeColor="text1"/>
                      <w:szCs w:val="21"/>
                      <w14:textFill>
                        <w14:solidFill>
                          <w14:schemeClr w14:val="tx1"/>
                        </w14:solidFill>
                      </w14:textFill>
                    </w:rPr>
                  </w:pPr>
                </w:p>
              </w:tc>
              <w:tc>
                <w:tcPr>
                  <w:tcW w:w="761" w:type="dxa"/>
                  <w:tcBorders>
                    <w:left w:val="single" w:color="auto" w:sz="4" w:space="0"/>
                  </w:tcBorders>
                  <w:noWrap/>
                  <w:vAlign w:val="center"/>
                </w:tcPr>
                <w:p w14:paraId="608878AD">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075FB6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48" w:type="dxa"/>
                  <w:tcBorders>
                    <w:right w:val="single" w:color="auto" w:sz="4" w:space="0"/>
                  </w:tcBorders>
                  <w:noWrap/>
                  <w:vAlign w:val="center"/>
                </w:tcPr>
                <w:p w14:paraId="109C5470">
                  <w:pPr>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c>
                <w:tcPr>
                  <w:tcW w:w="2293" w:type="dxa"/>
                  <w:tcBorders>
                    <w:left w:val="single" w:color="auto" w:sz="4" w:space="0"/>
                    <w:right w:val="single" w:color="auto" w:sz="4" w:space="0"/>
                  </w:tcBorders>
                  <w:noWrap/>
                  <w:vAlign w:val="center"/>
                </w:tcPr>
                <w:p w14:paraId="4F3E9AED">
                  <w:pPr>
                    <w:autoSpaceDE w:val="0"/>
                    <w:autoSpaceDN w:val="0"/>
                    <w:adjustRightInd w:val="0"/>
                    <w:snapToGrid w:val="0"/>
                    <w:rPr>
                      <w:rFonts w:hint="eastAsia"/>
                      <w:color w:val="000000" w:themeColor="text1"/>
                      <w:kern w:val="0"/>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市政府办公室印发《常熟市“十四五”生态环境保护规划》的通知</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常政办发〔2022〕32号</w:t>
                  </w:r>
                  <w:r>
                    <w:rPr>
                      <w:rFonts w:hint="eastAsia" w:ascii="Times New Roman" w:hAnsi="Times New Roman" w:eastAsia="宋体" w:cs="Times New Roman"/>
                      <w:color w:val="000000" w:themeColor="text1"/>
                      <w:szCs w:val="21"/>
                      <w:lang w:eastAsia="zh-CN"/>
                      <w14:textFill>
                        <w14:solidFill>
                          <w14:schemeClr w14:val="tx1"/>
                        </w14:solidFill>
                      </w14:textFill>
                    </w:rPr>
                    <w:t>）</w:t>
                  </w:r>
                </w:p>
              </w:tc>
              <w:tc>
                <w:tcPr>
                  <w:tcW w:w="5958" w:type="dxa"/>
                  <w:tcBorders>
                    <w:left w:val="single" w:color="auto" w:sz="4" w:space="0"/>
                    <w:right w:val="single" w:color="auto" w:sz="4" w:space="0"/>
                  </w:tcBorders>
                  <w:noWrap/>
                  <w:vAlign w:val="center"/>
                </w:tcPr>
                <w:p w14:paraId="7E1FE69E">
                  <w:pPr>
                    <w:autoSpaceDE w:val="0"/>
                    <w:autoSpaceDN w:val="0"/>
                    <w:adjustRightInd w:val="0"/>
                    <w:snapToGrid w:val="0"/>
                    <w:rPr>
                      <w:rFonts w:hint="eastAsia"/>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加大VOCs治理力度，按照“应收尽收、分质收集”的原则，优先采用密闭集气罩收集废气，提高废气收集率。加强非正常工况排放控制，规范化工装置开停工及维检修流程。</w:t>
                  </w:r>
                </w:p>
              </w:tc>
              <w:tc>
                <w:tcPr>
                  <w:tcW w:w="3421" w:type="dxa"/>
                  <w:tcBorders>
                    <w:left w:val="single" w:color="auto" w:sz="4" w:space="0"/>
                  </w:tcBorders>
                  <w:noWrap/>
                  <w:vAlign w:val="center"/>
                </w:tcPr>
                <w:p w14:paraId="34151627">
                  <w:pPr>
                    <w:autoSpaceDE w:val="0"/>
                    <w:autoSpaceDN w:val="0"/>
                    <w:adjustRightInd w:val="0"/>
                    <w:snapToGrid w:val="0"/>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14:textFill>
                        <w14:solidFill>
                          <w14:schemeClr w14:val="tx1"/>
                        </w14:solidFill>
                      </w14:textFill>
                    </w:rPr>
                    <w:t>本项目</w:t>
                  </w:r>
                  <w:r>
                    <w:rPr>
                      <w:rFonts w:hint="eastAsia"/>
                      <w:bCs/>
                      <w:color w:val="000000" w:themeColor="text1"/>
                      <w:szCs w:val="21"/>
                      <w:lang w:val="en-US" w:eastAsia="zh-CN"/>
                      <w14:textFill>
                        <w14:solidFill>
                          <w14:schemeClr w14:val="tx1"/>
                        </w14:solidFill>
                      </w14:textFill>
                    </w:rPr>
                    <w:t>吹塑、印刷、烘干、</w:t>
                  </w:r>
                  <w:r>
                    <w:rPr>
                      <w:rFonts w:hint="eastAsia"/>
                      <w:color w:val="000000" w:themeColor="text1"/>
                      <w:szCs w:val="21"/>
                      <w:lang w:val="en-US" w:eastAsia="zh-CN"/>
                      <w14:textFill>
                        <w14:solidFill>
                          <w14:schemeClr w14:val="tx1"/>
                        </w14:solidFill>
                      </w14:textFill>
                    </w:rPr>
                    <w:t>印刷机清理</w:t>
                  </w:r>
                  <w:r>
                    <w:rPr>
                      <w:rFonts w:hint="eastAsia"/>
                      <w:bCs/>
                      <w:color w:val="000000" w:themeColor="text1"/>
                      <w:szCs w:val="21"/>
                      <w14:textFill>
                        <w14:solidFill>
                          <w14:schemeClr w14:val="tx1"/>
                        </w14:solidFill>
                      </w14:textFill>
                    </w:rPr>
                    <w:t>工序产生的有机废气</w:t>
                  </w:r>
                  <w:r>
                    <w:rPr>
                      <w:rFonts w:hint="eastAsia"/>
                      <w:bCs/>
                      <w:color w:val="000000" w:themeColor="text1"/>
                      <w:szCs w:val="21"/>
                      <w:lang w:val="en-US" w:eastAsia="zh-CN"/>
                      <w14:textFill>
                        <w14:solidFill>
                          <w14:schemeClr w14:val="tx1"/>
                        </w14:solidFill>
                      </w14:textFill>
                    </w:rPr>
                    <w:t>无法密闭收集，</w:t>
                  </w:r>
                  <w:r>
                    <w:rPr>
                      <w:rFonts w:hint="eastAsia"/>
                      <w:bCs/>
                      <w:color w:val="000000" w:themeColor="text1"/>
                      <w:szCs w:val="21"/>
                      <w14:textFill>
                        <w14:solidFill>
                          <w14:schemeClr w14:val="tx1"/>
                        </w14:solidFill>
                      </w14:textFill>
                    </w:rPr>
                    <w:t>由包围式集气罩收集，经二级活性炭吸附装置</w:t>
                  </w:r>
                  <w:r>
                    <w:rPr>
                      <w:rFonts w:hint="eastAsia"/>
                      <w:color w:val="000000" w:themeColor="text1"/>
                      <w:szCs w:val="21"/>
                      <w:lang w:val="en-US" w:eastAsia="zh-CN"/>
                      <w14:textFill>
                        <w14:solidFill>
                          <w14:schemeClr w14:val="tx1"/>
                        </w14:solidFill>
                      </w14:textFill>
                    </w:rPr>
                    <w:t>T</w:t>
                  </w:r>
                  <w:r>
                    <w:rPr>
                      <w:rFonts w:hint="eastAsia"/>
                      <w:color w:val="000000" w:themeColor="text1"/>
                      <w:szCs w:val="21"/>
                      <w14:textFill>
                        <w14:solidFill>
                          <w14:schemeClr w14:val="tx1"/>
                        </w14:solidFill>
                      </w14:textFill>
                    </w:rPr>
                    <w:t>A001</w:t>
                  </w:r>
                  <w:r>
                    <w:rPr>
                      <w:rFonts w:hint="eastAsia"/>
                      <w:bCs/>
                      <w:color w:val="000000" w:themeColor="text1"/>
                      <w:szCs w:val="21"/>
                      <w14:textFill>
                        <w14:solidFill>
                          <w14:schemeClr w14:val="tx1"/>
                        </w14:solidFill>
                      </w14:textFill>
                    </w:rPr>
                    <w:t>处理后</w:t>
                  </w:r>
                  <w:r>
                    <w:rPr>
                      <w:rFonts w:hint="eastAsia"/>
                      <w:bCs/>
                      <w:color w:val="000000" w:themeColor="text1"/>
                      <w:szCs w:val="21"/>
                      <w:lang w:val="en-US" w:eastAsia="zh-CN"/>
                      <w14:textFill>
                        <w14:solidFill>
                          <w14:schemeClr w14:val="tx1"/>
                        </w14:solidFill>
                      </w14:textFill>
                    </w:rPr>
                    <w:t>有组织</w:t>
                  </w:r>
                  <w:r>
                    <w:rPr>
                      <w:rFonts w:hint="eastAsia"/>
                      <w:bCs/>
                      <w:color w:val="000000" w:themeColor="text1"/>
                      <w:szCs w:val="21"/>
                      <w14:textFill>
                        <w14:solidFill>
                          <w14:schemeClr w14:val="tx1"/>
                        </w14:solidFill>
                      </w14:textFill>
                    </w:rPr>
                    <w:t>排放</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本项目不涉及</w:t>
                  </w:r>
                  <w:r>
                    <w:rPr>
                      <w:rFonts w:hint="eastAsia" w:ascii="Times New Roman" w:hAnsi="Times New Roman" w:eastAsia="宋体" w:cs="Times New Roman"/>
                      <w:color w:val="000000" w:themeColor="text1"/>
                      <w:szCs w:val="21"/>
                      <w:lang w:val="en-US" w:eastAsia="zh-CN"/>
                      <w14:textFill>
                        <w14:solidFill>
                          <w14:schemeClr w14:val="tx1"/>
                        </w14:solidFill>
                      </w14:textFill>
                    </w:rPr>
                    <w:t>化工，项目</w:t>
                  </w:r>
                  <w:r>
                    <w:rPr>
                      <w:rFonts w:hint="eastAsia"/>
                      <w:bCs/>
                      <w:color w:val="000000" w:themeColor="text1"/>
                      <w:szCs w:val="21"/>
                      <w:lang w:val="en-US" w:eastAsia="zh-CN"/>
                      <w14:textFill>
                        <w14:solidFill>
                          <w14:schemeClr w14:val="tx1"/>
                        </w14:solidFill>
                      </w14:textFill>
                    </w:rPr>
                    <w:t>投产运行后</w:t>
                  </w:r>
                  <w:r>
                    <w:rPr>
                      <w:rFonts w:hint="eastAsia" w:ascii="Times New Roman" w:hAnsi="Times New Roman" w:eastAsia="宋体" w:cs="Times New Roman"/>
                      <w:color w:val="000000" w:themeColor="text1"/>
                      <w:szCs w:val="21"/>
                      <w:lang w:val="en-US" w:eastAsia="zh-CN"/>
                      <w14:textFill>
                        <w14:solidFill>
                          <w14:schemeClr w14:val="tx1"/>
                        </w14:solidFill>
                      </w14:textFill>
                    </w:rPr>
                    <w:t>加强非正常工况排放控制。</w:t>
                  </w:r>
                </w:p>
              </w:tc>
              <w:tc>
                <w:tcPr>
                  <w:tcW w:w="761" w:type="dxa"/>
                  <w:tcBorders>
                    <w:left w:val="single" w:color="auto" w:sz="4" w:space="0"/>
                  </w:tcBorders>
                  <w:noWrap/>
                  <w:vAlign w:val="center"/>
                </w:tcPr>
                <w:p w14:paraId="39B68013">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4E467C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48" w:type="dxa"/>
                  <w:vMerge w:val="restart"/>
                  <w:tcBorders>
                    <w:right w:val="single" w:color="auto" w:sz="4" w:space="0"/>
                  </w:tcBorders>
                  <w:noWrap/>
                  <w:vAlign w:val="center"/>
                </w:tcPr>
                <w:p w14:paraId="1527F053">
                  <w:pPr>
                    <w:snapToGrid w:val="0"/>
                    <w:jc w:val="center"/>
                    <w:rPr>
                      <w:rFonts w:hint="eastAsia" w:eastAsia="宋体"/>
                      <w:color w:val="000000" w:themeColor="text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c>
                <w:tcPr>
                  <w:tcW w:w="2293" w:type="dxa"/>
                  <w:vMerge w:val="restart"/>
                  <w:tcBorders>
                    <w:left w:val="single" w:color="auto" w:sz="4" w:space="0"/>
                    <w:right w:val="single" w:color="auto" w:sz="4" w:space="0"/>
                  </w:tcBorders>
                  <w:noWrap/>
                  <w:vAlign w:val="center"/>
                </w:tcPr>
                <w:p w14:paraId="0F3D10BB">
                  <w:pPr>
                    <w:widowControl/>
                    <w:jc w:val="center"/>
                    <w:rPr>
                      <w:color w:val="000000" w:themeColor="text1"/>
                      <w14:textFill>
                        <w14:solidFill>
                          <w14:schemeClr w14:val="tx1"/>
                        </w14:solidFill>
                      </w14:textFill>
                    </w:rPr>
                  </w:pPr>
                  <w:r>
                    <w:rPr>
                      <w:rFonts w:hint="eastAsia"/>
                      <w:color w:val="000000" w:themeColor="text1"/>
                      <w:kern w:val="0"/>
                      <w:szCs w:val="21"/>
                      <w14:textFill>
                        <w14:solidFill>
                          <w14:schemeClr w14:val="tx1"/>
                        </w14:solidFill>
                      </w14:textFill>
                    </w:rPr>
                    <w:t>《合成树脂工业污染物排放标准》（GB31572-2015，含2024年修改单）</w:t>
                  </w:r>
                </w:p>
              </w:tc>
              <w:tc>
                <w:tcPr>
                  <w:tcW w:w="5958" w:type="dxa"/>
                  <w:tcBorders>
                    <w:left w:val="single" w:color="auto" w:sz="4" w:space="0"/>
                    <w:right w:val="single" w:color="auto" w:sz="4" w:space="0"/>
                  </w:tcBorders>
                  <w:noWrap/>
                  <w:vAlign w:val="center"/>
                </w:tcPr>
                <w:p w14:paraId="356F816F">
                  <w:pPr>
                    <w:autoSpaceDE w:val="0"/>
                    <w:autoSpaceDN w:val="0"/>
                    <w:adjustRightInd w:val="0"/>
                    <w:snapToGrid w:val="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废气收集系统</w:t>
                  </w:r>
                </w:p>
                <w:p w14:paraId="287A9058">
                  <w:pPr>
                    <w:autoSpaceDE w:val="0"/>
                    <w:autoSpaceDN w:val="0"/>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a）生产设施应采用密闭式，并具有与废气收集系统有效连接的部件或装置。</w:t>
                  </w:r>
                </w:p>
                <w:p w14:paraId="78F01421">
                  <w:pPr>
                    <w:autoSpaceDE w:val="0"/>
                    <w:autoSpaceDN w:val="0"/>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b）根据生产工艺、操作方式以及废气性质、处理和处置方法，设置不同的废气收集系统，尽可能对废气进行分质收集，各个废气收集系统均应实现压力损失平衡以及较高的收集效率。</w:t>
                  </w:r>
                </w:p>
                <w:p w14:paraId="671E65EC">
                  <w:pPr>
                    <w:autoSpaceDE w:val="0"/>
                    <w:autoSpaceDN w:val="0"/>
                    <w:adjustRightInd w:val="0"/>
                    <w:snapToGrid w:val="0"/>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c）废气收集系统应综合考虑防火、防爆、防腐蚀、耐高温、防结露、防堵塞等问题。</w:t>
                  </w:r>
                </w:p>
              </w:tc>
              <w:tc>
                <w:tcPr>
                  <w:tcW w:w="3421" w:type="dxa"/>
                  <w:tcBorders>
                    <w:left w:val="single" w:color="auto" w:sz="4" w:space="0"/>
                  </w:tcBorders>
                  <w:noWrap/>
                  <w:vAlign w:val="center"/>
                </w:tcPr>
                <w:p w14:paraId="30786383">
                  <w:pPr>
                    <w:autoSpaceDE w:val="0"/>
                    <w:autoSpaceDN w:val="0"/>
                    <w:adjustRightInd w:val="0"/>
                    <w:snapToGrid w:val="0"/>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本项目吹塑、印刷、烘干、</w:t>
                  </w:r>
                  <w:r>
                    <w:rPr>
                      <w:rFonts w:hint="eastAsia"/>
                      <w:color w:val="000000" w:themeColor="text1"/>
                      <w:szCs w:val="21"/>
                      <w:lang w:val="en-US" w:eastAsia="zh-CN"/>
                      <w14:textFill>
                        <w14:solidFill>
                          <w14:schemeClr w14:val="tx1"/>
                        </w14:solidFill>
                      </w14:textFill>
                    </w:rPr>
                    <w:t>印刷机清理</w:t>
                  </w:r>
                  <w:r>
                    <w:rPr>
                      <w:rFonts w:hint="eastAsia"/>
                      <w:bCs/>
                      <w:color w:val="000000" w:themeColor="text1"/>
                      <w:szCs w:val="21"/>
                      <w:lang w:val="en-US" w:eastAsia="zh-CN"/>
                      <w14:textFill>
                        <w14:solidFill>
                          <w14:schemeClr w14:val="tx1"/>
                        </w14:solidFill>
                      </w14:textFill>
                    </w:rPr>
                    <w:t>过程产生的废气采用包围式集气罩进行废气收集。本项目建成后废气收集系统能够满足防火、防爆、防腐蚀、耐高温、防结露、防堵塞等相关要求。</w:t>
                  </w:r>
                </w:p>
              </w:tc>
              <w:tc>
                <w:tcPr>
                  <w:tcW w:w="761" w:type="dxa"/>
                  <w:tcBorders>
                    <w:left w:val="single" w:color="auto" w:sz="4" w:space="0"/>
                  </w:tcBorders>
                  <w:noWrap/>
                  <w:vAlign w:val="center"/>
                </w:tcPr>
                <w:p w14:paraId="6018AFA0">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1B7AB6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48" w:type="dxa"/>
                  <w:vMerge w:val="continue"/>
                  <w:tcBorders>
                    <w:right w:val="single" w:color="auto" w:sz="4" w:space="0"/>
                  </w:tcBorders>
                  <w:noWrap/>
                  <w:vAlign w:val="center"/>
                </w:tcPr>
                <w:p w14:paraId="5B5C9EEF">
                  <w:pPr>
                    <w:snapToGrid w:val="0"/>
                    <w:jc w:val="center"/>
                    <w:rPr>
                      <w:color w:val="000000" w:themeColor="text1"/>
                      <w14:textFill>
                        <w14:solidFill>
                          <w14:schemeClr w14:val="tx1"/>
                        </w14:solidFill>
                      </w14:textFill>
                    </w:rPr>
                  </w:pPr>
                </w:p>
              </w:tc>
              <w:tc>
                <w:tcPr>
                  <w:tcW w:w="2293" w:type="dxa"/>
                  <w:vMerge w:val="continue"/>
                  <w:tcBorders>
                    <w:left w:val="single" w:color="auto" w:sz="4" w:space="0"/>
                    <w:right w:val="single" w:color="auto" w:sz="4" w:space="0"/>
                  </w:tcBorders>
                  <w:noWrap/>
                  <w:vAlign w:val="center"/>
                </w:tcPr>
                <w:p w14:paraId="1B8A57B2">
                  <w:pPr>
                    <w:widowControl/>
                    <w:jc w:val="center"/>
                    <w:rPr>
                      <w:color w:val="000000" w:themeColor="text1"/>
                      <w14:textFill>
                        <w14:solidFill>
                          <w14:schemeClr w14:val="tx1"/>
                        </w14:solidFill>
                      </w14:textFill>
                    </w:rPr>
                  </w:pPr>
                </w:p>
              </w:tc>
              <w:tc>
                <w:tcPr>
                  <w:tcW w:w="5958" w:type="dxa"/>
                  <w:tcBorders>
                    <w:left w:val="single" w:color="auto" w:sz="4" w:space="0"/>
                    <w:right w:val="single" w:color="auto" w:sz="4" w:space="0"/>
                  </w:tcBorders>
                  <w:noWrap/>
                  <w:vAlign w:val="center"/>
                </w:tcPr>
                <w:p w14:paraId="579E9013">
                  <w:pPr>
                    <w:autoSpaceDE w:val="0"/>
                    <w:autoSpaceDN w:val="0"/>
                    <w:adjustRightInd w:val="0"/>
                    <w:snapToGrid w:val="0"/>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废气处理系统</w:t>
                  </w:r>
                </w:p>
                <w:p w14:paraId="4B898B6F">
                  <w:pPr>
                    <w:autoSpaceDE w:val="0"/>
                    <w:autoSpaceDN w:val="0"/>
                    <w:adjustRightInd w:val="0"/>
                    <w:snapToGrid w:val="0"/>
                    <w:rPr>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吸附装置的吸附剂更换/再生周期、操作温度应满足设计参数的要求</w:t>
                  </w: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3421" w:type="dxa"/>
                  <w:tcBorders>
                    <w:left w:val="single" w:color="auto" w:sz="4" w:space="0"/>
                  </w:tcBorders>
                  <w:noWrap/>
                  <w:vAlign w:val="center"/>
                </w:tcPr>
                <w:p w14:paraId="38AE2257">
                  <w:pPr>
                    <w:autoSpaceDE w:val="0"/>
                    <w:autoSpaceDN w:val="0"/>
                    <w:adjustRightInd w:val="0"/>
                    <w:snapToGrid w:val="0"/>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本项目二级活性炭吸附</w:t>
                  </w:r>
                  <w:r>
                    <w:rPr>
                      <w:rFonts w:hint="eastAsia"/>
                      <w:bCs/>
                      <w:color w:val="000000" w:themeColor="text1"/>
                      <w:szCs w:val="21"/>
                      <w:highlight w:val="none"/>
                      <w:lang w:val="en-US" w:eastAsia="zh-CN"/>
                      <w14:textFill>
                        <w14:solidFill>
                          <w14:schemeClr w14:val="tx1"/>
                        </w14:solidFill>
                      </w14:textFill>
                    </w:rPr>
                    <w:t>装置TA001的活性炭一年更换5次，</w:t>
                  </w:r>
                  <w:r>
                    <w:rPr>
                      <w:rFonts w:hint="eastAsia"/>
                      <w:bCs/>
                      <w:color w:val="000000" w:themeColor="text1"/>
                      <w:szCs w:val="21"/>
                      <w:lang w:val="en-US" w:eastAsia="zh-CN"/>
                      <w14:textFill>
                        <w14:solidFill>
                          <w14:schemeClr w14:val="tx1"/>
                        </w14:solidFill>
                      </w14:textFill>
                    </w:rPr>
                    <w:t>操作温度低于40℃，满足相关要求。</w:t>
                  </w:r>
                </w:p>
              </w:tc>
              <w:tc>
                <w:tcPr>
                  <w:tcW w:w="761" w:type="dxa"/>
                  <w:tcBorders>
                    <w:left w:val="single" w:color="auto" w:sz="4" w:space="0"/>
                  </w:tcBorders>
                  <w:noWrap/>
                  <w:vAlign w:val="center"/>
                </w:tcPr>
                <w:p w14:paraId="0613CE07">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相符</w:t>
                  </w:r>
                </w:p>
              </w:tc>
            </w:tr>
            <w:tr w14:paraId="4EC3CE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48" w:type="dxa"/>
                  <w:vMerge w:val="restart"/>
                  <w:tcBorders>
                    <w:right w:val="single" w:color="auto" w:sz="4" w:space="0"/>
                  </w:tcBorders>
                  <w:noWrap/>
                  <w:vAlign w:val="center"/>
                </w:tcPr>
                <w:p w14:paraId="4CEB73F5">
                  <w:pPr>
                    <w:autoSpaceDE w:val="0"/>
                    <w:autoSpaceDN w:val="0"/>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2293" w:type="dxa"/>
                  <w:vMerge w:val="restart"/>
                  <w:tcBorders>
                    <w:left w:val="single" w:color="auto" w:sz="4" w:space="0"/>
                    <w:right w:val="single" w:color="auto" w:sz="4" w:space="0"/>
                  </w:tcBorders>
                  <w:noWrap/>
                  <w:vAlign w:val="center"/>
                </w:tcPr>
                <w:p w14:paraId="41B2E85E">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kern w:val="0"/>
                      <w:szCs w:val="21"/>
                      <w14:textFill>
                        <w14:solidFill>
                          <w14:schemeClr w14:val="tx1"/>
                        </w14:solidFill>
                      </w14:textFill>
                    </w:rPr>
                    <w:t>《中华人民共和国长江保护法》</w:t>
                  </w:r>
                </w:p>
              </w:tc>
              <w:tc>
                <w:tcPr>
                  <w:tcW w:w="5958" w:type="dxa"/>
                  <w:tcBorders>
                    <w:left w:val="single" w:color="auto" w:sz="4" w:space="0"/>
                    <w:right w:val="single" w:color="auto" w:sz="4" w:space="0"/>
                  </w:tcBorders>
                  <w:noWrap/>
                  <w:vAlign w:val="center"/>
                </w:tcPr>
                <w:p w14:paraId="179B9DDC">
                  <w:pPr>
                    <w:widowControl/>
                    <w:jc w:val="left"/>
                    <w:rPr>
                      <w:color w:val="000000" w:themeColor="text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国务院自然资源主管部门会同国务院有关部门组织编制长江流域国土空间规划，科学有序统筹安排长江流域生态、农业、城镇等功能空间，划定生态保护红线、永久基本农田、城镇开发边界，优化国土空间结构和布局，统领长江流域国土空间利用任务，报国务院批准后实施。涉及长江流域国土空间利用的专项规划应当与长江流域国土空间规划相衔接。</w:t>
                  </w:r>
                </w:p>
              </w:tc>
              <w:tc>
                <w:tcPr>
                  <w:tcW w:w="3421" w:type="dxa"/>
                  <w:vMerge w:val="restart"/>
                  <w:tcBorders>
                    <w:left w:val="single" w:color="auto" w:sz="4" w:space="0"/>
                  </w:tcBorders>
                  <w:noWrap/>
                  <w:vAlign w:val="center"/>
                </w:tcPr>
                <w:p w14:paraId="5FCE9D43">
                  <w:pPr>
                    <w:autoSpaceDE w:val="0"/>
                    <w:autoSpaceDN w:val="0"/>
                    <w:adjustRightInd w:val="0"/>
                    <w:snapToGrid w:val="0"/>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本项目不占用生态保护红线、永久基本农田、城镇开发边界，不在长江干支流岸线一公里范围内。</w:t>
                  </w:r>
                </w:p>
                <w:p w14:paraId="3F56F5C1">
                  <w:pPr>
                    <w:autoSpaceDE w:val="0"/>
                    <w:autoSpaceDN w:val="0"/>
                    <w:adjustRightInd w:val="0"/>
                    <w:snapToGrid w:val="0"/>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本项目无生产废水排</w:t>
                  </w:r>
                  <w:r>
                    <w:rPr>
                      <w:rFonts w:hint="eastAsia"/>
                      <w:color w:val="000000" w:themeColor="text1"/>
                      <w14:textFill>
                        <w14:solidFill>
                          <w14:schemeClr w14:val="tx1"/>
                        </w14:solidFill>
                      </w14:textFill>
                    </w:rPr>
                    <w:t>放，生活污水接管</w:t>
                  </w:r>
                  <w:r>
                    <w:rPr>
                      <w:rFonts w:hint="eastAsia"/>
                      <w:color w:val="000000" w:themeColor="text1"/>
                      <w:szCs w:val="21"/>
                      <w14:textFill>
                        <w14:solidFill>
                          <w14:schemeClr w14:val="tx1"/>
                        </w14:solidFill>
                      </w14:textFill>
                    </w:rPr>
                    <w:t>至</w:t>
                  </w:r>
                  <w:r>
                    <w:rPr>
                      <w:rFonts w:hint="eastAsia"/>
                      <w:bCs/>
                      <w:color w:val="000000" w:themeColor="text1"/>
                      <w:szCs w:val="21"/>
                      <w:lang w:eastAsia="zh-CN"/>
                      <w14:textFill>
                        <w14:solidFill>
                          <w14:schemeClr w14:val="tx1"/>
                        </w14:solidFill>
                      </w14:textFill>
                    </w:rPr>
                    <w:t>江苏中法水务股份有限公司（城东水质净化厂）</w:t>
                  </w:r>
                  <w:r>
                    <w:rPr>
                      <w:color w:val="000000" w:themeColor="text1"/>
                      <w:szCs w:val="21"/>
                      <w14:textFill>
                        <w14:solidFill>
                          <w14:schemeClr w14:val="tx1"/>
                        </w14:solidFill>
                      </w14:textFill>
                    </w:rPr>
                    <w:t>集中处理</w:t>
                  </w:r>
                  <w:r>
                    <w:rPr>
                      <w:rFonts w:hint="eastAsia"/>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尾水排至</w:t>
                  </w:r>
                  <w:r>
                    <w:rPr>
                      <w:rFonts w:hint="eastAsia"/>
                      <w:bCs/>
                      <w:color w:val="000000" w:themeColor="text1"/>
                      <w:szCs w:val="21"/>
                      <w:lang w:val="en-US" w:eastAsia="zh-CN"/>
                      <w14:textFill>
                        <w14:solidFill>
                          <w14:schemeClr w14:val="tx1"/>
                        </w14:solidFill>
                      </w14:textFill>
                    </w:rPr>
                    <w:t>大滃</w:t>
                  </w:r>
                  <w:r>
                    <w:rPr>
                      <w:rFonts w:hint="eastAsia"/>
                      <w:color w:val="000000" w:themeColor="text1"/>
                      <w14:textFill>
                        <w14:solidFill>
                          <w14:schemeClr w14:val="tx1"/>
                        </w14:solidFill>
                      </w14:textFill>
                    </w:rPr>
                    <w:t>。</w:t>
                  </w:r>
                </w:p>
                <w:p w14:paraId="718710C2">
                  <w:pPr>
                    <w:autoSpaceDE w:val="0"/>
                    <w:autoSpaceDN w:val="0"/>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本项目实施后，对生态系统无明显影响。</w:t>
                  </w:r>
                </w:p>
              </w:tc>
              <w:tc>
                <w:tcPr>
                  <w:tcW w:w="761" w:type="dxa"/>
                  <w:tcBorders>
                    <w:left w:val="single" w:color="auto" w:sz="4" w:space="0"/>
                  </w:tcBorders>
                  <w:noWrap/>
                  <w:vAlign w:val="center"/>
                </w:tcPr>
                <w:p w14:paraId="0DE2FB53">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相符</w:t>
                  </w:r>
                </w:p>
              </w:tc>
            </w:tr>
            <w:tr w14:paraId="0DCE61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48" w:type="dxa"/>
                  <w:vMerge w:val="continue"/>
                  <w:tcBorders>
                    <w:right w:val="single" w:color="auto" w:sz="4" w:space="0"/>
                  </w:tcBorders>
                  <w:noWrap/>
                  <w:vAlign w:val="center"/>
                </w:tcPr>
                <w:p w14:paraId="50B76AED">
                  <w:pPr>
                    <w:autoSpaceDE w:val="0"/>
                    <w:autoSpaceDN w:val="0"/>
                    <w:adjustRightInd w:val="0"/>
                    <w:snapToGrid w:val="0"/>
                    <w:jc w:val="center"/>
                    <w:rPr>
                      <w:rFonts w:hint="default" w:eastAsia="宋体"/>
                      <w:color w:val="000000" w:themeColor="text1"/>
                      <w:lang w:val="en-US" w:eastAsia="zh-CN"/>
                      <w14:textFill>
                        <w14:solidFill>
                          <w14:schemeClr w14:val="tx1"/>
                        </w14:solidFill>
                      </w14:textFill>
                    </w:rPr>
                  </w:pPr>
                </w:p>
              </w:tc>
              <w:tc>
                <w:tcPr>
                  <w:tcW w:w="2293" w:type="dxa"/>
                  <w:vMerge w:val="continue"/>
                  <w:tcBorders>
                    <w:left w:val="single" w:color="auto" w:sz="4" w:space="0"/>
                    <w:right w:val="single" w:color="auto" w:sz="4" w:space="0"/>
                  </w:tcBorders>
                  <w:noWrap/>
                  <w:vAlign w:val="center"/>
                </w:tcPr>
                <w:p w14:paraId="68EBC673">
                  <w:pPr>
                    <w:autoSpaceDE w:val="0"/>
                    <w:autoSpaceDN w:val="0"/>
                    <w:adjustRightInd w:val="0"/>
                    <w:snapToGrid w:val="0"/>
                    <w:jc w:val="center"/>
                    <w:rPr>
                      <w:rFonts w:hint="eastAsia"/>
                      <w:color w:val="000000" w:themeColor="text1"/>
                      <w14:textFill>
                        <w14:solidFill>
                          <w14:schemeClr w14:val="tx1"/>
                        </w14:solidFill>
                      </w14:textFill>
                    </w:rPr>
                  </w:pPr>
                </w:p>
              </w:tc>
              <w:tc>
                <w:tcPr>
                  <w:tcW w:w="5958" w:type="dxa"/>
                  <w:tcBorders>
                    <w:left w:val="single" w:color="auto" w:sz="4" w:space="0"/>
                    <w:right w:val="single" w:color="auto" w:sz="4" w:space="0"/>
                  </w:tcBorders>
                  <w:noWrap/>
                  <w:vAlign w:val="center"/>
                </w:tcPr>
                <w:p w14:paraId="1C904042">
                  <w:pPr>
                    <w:autoSpaceDE w:val="0"/>
                    <w:autoSpaceDN w:val="0"/>
                    <w:adjustRightInd w:val="0"/>
                    <w:snapToGrid w:val="0"/>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r>
                    <w:rPr>
                      <w:rFonts w:hint="eastAsia"/>
                      <w:color w:val="000000" w:themeColor="text1"/>
                      <w:szCs w:val="21"/>
                      <w14:textFill>
                        <w14:solidFill>
                          <w14:schemeClr w14:val="tx1"/>
                        </w14:solidFill>
                      </w14:textFill>
                    </w:rPr>
                    <w:t>国务院生态环境主管部门根据水环境质量改善目标和水污染防治要求，确定长江流域各省级行政区域重点污染物排放总量控制指标。长江流域水质超标的水功能区，应当实施更严格的污染物排放总量削减要求。企业事业单位应当按照要求，采取污染物排放总量控制措施。</w:t>
                  </w:r>
                </w:p>
              </w:tc>
              <w:tc>
                <w:tcPr>
                  <w:tcW w:w="3421" w:type="dxa"/>
                  <w:vMerge w:val="continue"/>
                  <w:tcBorders>
                    <w:left w:val="single" w:color="auto" w:sz="4" w:space="0"/>
                  </w:tcBorders>
                  <w:noWrap/>
                  <w:vAlign w:val="center"/>
                </w:tcPr>
                <w:p w14:paraId="17E48D48">
                  <w:pPr>
                    <w:autoSpaceDE w:val="0"/>
                    <w:autoSpaceDN w:val="0"/>
                    <w:adjustRightInd w:val="0"/>
                    <w:snapToGrid w:val="0"/>
                    <w:rPr>
                      <w:color w:val="000000" w:themeColor="text1"/>
                      <w:szCs w:val="21"/>
                      <w14:textFill>
                        <w14:solidFill>
                          <w14:schemeClr w14:val="tx1"/>
                        </w14:solidFill>
                      </w14:textFill>
                    </w:rPr>
                  </w:pPr>
                </w:p>
              </w:tc>
              <w:tc>
                <w:tcPr>
                  <w:tcW w:w="761" w:type="dxa"/>
                  <w:tcBorders>
                    <w:left w:val="single" w:color="auto" w:sz="4" w:space="0"/>
                  </w:tcBorders>
                  <w:noWrap/>
                  <w:vAlign w:val="center"/>
                </w:tcPr>
                <w:p w14:paraId="709B64F2">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相符</w:t>
                  </w:r>
                </w:p>
              </w:tc>
            </w:tr>
            <w:tr w14:paraId="642211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48" w:type="dxa"/>
                  <w:vMerge w:val="continue"/>
                  <w:tcBorders>
                    <w:right w:val="single" w:color="auto" w:sz="4" w:space="0"/>
                  </w:tcBorders>
                  <w:noWrap/>
                  <w:vAlign w:val="center"/>
                </w:tcPr>
                <w:p w14:paraId="0AA91F66">
                  <w:pPr>
                    <w:autoSpaceDE w:val="0"/>
                    <w:autoSpaceDN w:val="0"/>
                    <w:adjustRightInd w:val="0"/>
                    <w:snapToGrid w:val="0"/>
                    <w:jc w:val="center"/>
                    <w:rPr>
                      <w:rFonts w:hint="default"/>
                      <w:color w:val="000000" w:themeColor="text1"/>
                      <w:lang w:val="en-US" w:eastAsia="zh-CN"/>
                      <w14:textFill>
                        <w14:solidFill>
                          <w14:schemeClr w14:val="tx1"/>
                        </w14:solidFill>
                      </w14:textFill>
                    </w:rPr>
                  </w:pPr>
                </w:p>
              </w:tc>
              <w:tc>
                <w:tcPr>
                  <w:tcW w:w="2293" w:type="dxa"/>
                  <w:vMerge w:val="continue"/>
                  <w:tcBorders>
                    <w:left w:val="single" w:color="auto" w:sz="4" w:space="0"/>
                    <w:right w:val="single" w:color="auto" w:sz="4" w:space="0"/>
                  </w:tcBorders>
                  <w:noWrap/>
                  <w:vAlign w:val="center"/>
                </w:tcPr>
                <w:p w14:paraId="464B118F">
                  <w:pPr>
                    <w:autoSpaceDE w:val="0"/>
                    <w:autoSpaceDN w:val="0"/>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5958" w:type="dxa"/>
                  <w:tcBorders>
                    <w:left w:val="single" w:color="auto" w:sz="4" w:space="0"/>
                    <w:right w:val="single" w:color="auto" w:sz="4" w:space="0"/>
                  </w:tcBorders>
                  <w:noWrap/>
                  <w:vAlign w:val="center"/>
                </w:tcPr>
                <w:p w14:paraId="59CA8817">
                  <w:pPr>
                    <w:autoSpaceDE w:val="0"/>
                    <w:autoSpaceDN w:val="0"/>
                    <w:adjustRightInd w:val="0"/>
                    <w:snapToGrid w:val="0"/>
                    <w:rPr>
                      <w:rFonts w:hint="eastAsia"/>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长江流域产业结构和布局应当与长江流域生态系统和资源环境承载能力相适应。禁止在长江流域重点生态功能区布局对生态系统有严重影响的产业。禁止重污染企业和项目向长江中上游转移。</w:t>
                  </w:r>
                </w:p>
              </w:tc>
              <w:tc>
                <w:tcPr>
                  <w:tcW w:w="3421" w:type="dxa"/>
                  <w:vMerge w:val="continue"/>
                  <w:tcBorders>
                    <w:left w:val="single" w:color="auto" w:sz="4" w:space="0"/>
                  </w:tcBorders>
                  <w:noWrap/>
                  <w:vAlign w:val="center"/>
                </w:tcPr>
                <w:p w14:paraId="228F60EB">
                  <w:pPr>
                    <w:autoSpaceDE w:val="0"/>
                    <w:autoSpaceDN w:val="0"/>
                    <w:adjustRightInd w:val="0"/>
                    <w:snapToGrid w:val="0"/>
                    <w:rPr>
                      <w:color w:val="000000" w:themeColor="text1"/>
                      <w:szCs w:val="21"/>
                      <w14:textFill>
                        <w14:solidFill>
                          <w14:schemeClr w14:val="tx1"/>
                        </w14:solidFill>
                      </w14:textFill>
                    </w:rPr>
                  </w:pPr>
                </w:p>
              </w:tc>
              <w:tc>
                <w:tcPr>
                  <w:tcW w:w="761" w:type="dxa"/>
                  <w:tcBorders>
                    <w:left w:val="single" w:color="auto" w:sz="4" w:space="0"/>
                  </w:tcBorders>
                  <w:noWrap/>
                  <w:vAlign w:val="center"/>
                </w:tcPr>
                <w:p w14:paraId="1FB15669">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相符</w:t>
                  </w:r>
                </w:p>
              </w:tc>
            </w:tr>
          </w:tbl>
          <w:p w14:paraId="45BE9591">
            <w:pPr>
              <w:pStyle w:val="18"/>
              <w:jc w:val="both"/>
              <w:outlineLvl w:val="0"/>
              <w:rPr>
                <w:rFonts w:ascii="Times New Roman" w:hAnsi="Times New Roman" w:eastAsia="黑体"/>
                <w:snapToGrid w:val="0"/>
                <w:color w:val="000000" w:themeColor="text1"/>
                <w:sz w:val="30"/>
                <w:szCs w:val="30"/>
                <w14:textFill>
                  <w14:solidFill>
                    <w14:schemeClr w14:val="tx1"/>
                  </w14:solidFill>
                </w14:textFill>
              </w:rPr>
            </w:pPr>
          </w:p>
        </w:tc>
      </w:tr>
    </w:tbl>
    <w:p w14:paraId="656D2330">
      <w:pPr>
        <w:pStyle w:val="2"/>
        <w:rPr>
          <w:color w:val="000000" w:themeColor="text1"/>
          <w14:textFill>
            <w14:solidFill>
              <w14:schemeClr w14:val="tx1"/>
            </w14:solidFill>
          </w14:textFill>
        </w:rPr>
        <w:sectPr>
          <w:pgSz w:w="16838" w:h="11906" w:orient="landscape"/>
          <w:pgMar w:top="1531" w:right="1701" w:bottom="1531" w:left="1701" w:header="851" w:footer="1134" w:gutter="0"/>
          <w:pgBorders>
            <w:top w:val="none" w:sz="0" w:space="0"/>
            <w:left w:val="none" w:sz="0" w:space="0"/>
            <w:bottom w:val="none" w:sz="0" w:space="0"/>
            <w:right w:val="none" w:sz="0" w:space="0"/>
          </w:pgBorders>
          <w:cols w:space="720" w:num="1"/>
          <w:docGrid w:linePitch="312" w:charSpace="0"/>
        </w:sectPr>
      </w:pPr>
    </w:p>
    <w:p w14:paraId="75CB04E4">
      <w:pPr>
        <w:pStyle w:val="18"/>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二、建设项目工程分析</w:t>
      </w: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8304"/>
      </w:tblGrid>
      <w:tr w14:paraId="6286B2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46" w:hRule="atLeast"/>
          <w:jc w:val="center"/>
        </w:trPr>
        <w:tc>
          <w:tcPr>
            <w:tcW w:w="235" w:type="pct"/>
            <w:noWrap/>
            <w:vAlign w:val="center"/>
          </w:tcPr>
          <w:p w14:paraId="169A06BB">
            <w:pPr>
              <w:pStyle w:val="18"/>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建设内容</w:t>
            </w:r>
          </w:p>
        </w:tc>
        <w:tc>
          <w:tcPr>
            <w:tcW w:w="4764" w:type="pct"/>
            <w:noWrap/>
          </w:tcPr>
          <w:p w14:paraId="7D31A910">
            <w:pPr>
              <w:spacing w:line="360" w:lineRule="auto"/>
              <w:ind w:firstLine="422" w:firstLineChars="200"/>
              <w:rPr>
                <w:bCs/>
                <w:color w:val="000000" w:themeColor="text1"/>
                <w:szCs w:val="21"/>
                <w14:textFill>
                  <w14:solidFill>
                    <w14:schemeClr w14:val="tx1"/>
                  </w14:solidFill>
                </w14:textFill>
              </w:rPr>
            </w:pPr>
            <w:r>
              <w:rPr>
                <w:b/>
                <w:color w:val="000000" w:themeColor="text1"/>
                <w:szCs w:val="21"/>
                <w14:textFill>
                  <w14:solidFill>
                    <w14:schemeClr w14:val="tx1"/>
                  </w14:solidFill>
                </w14:textFill>
              </w:rPr>
              <w:t>2.</w:t>
            </w:r>
            <w:r>
              <w:rPr>
                <w:rFonts w:hint="eastAsia"/>
                <w:b/>
                <w:color w:val="000000" w:themeColor="text1"/>
                <w:szCs w:val="21"/>
                <w14:textFill>
                  <w14:solidFill>
                    <w14:schemeClr w14:val="tx1"/>
                  </w14:solidFill>
                </w14:textFill>
              </w:rPr>
              <w:t>1项目由来</w:t>
            </w:r>
          </w:p>
          <w:p w14:paraId="7D4ACAC4">
            <w:pPr>
              <w:spacing w:line="360" w:lineRule="auto"/>
              <w:ind w:firstLine="420" w:firstLineChars="200"/>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苏州金海威光塑胶</w:t>
            </w:r>
            <w:r>
              <w:rPr>
                <w:rFonts w:hint="eastAsia"/>
                <w:bCs/>
                <w:color w:val="000000" w:themeColor="text1"/>
                <w:szCs w:val="21"/>
                <w14:textFill>
                  <w14:solidFill>
                    <w14:schemeClr w14:val="tx1"/>
                  </w14:solidFill>
                </w14:textFill>
              </w:rPr>
              <w:t>有限公司</w:t>
            </w:r>
            <w:r>
              <w:rPr>
                <w:rFonts w:hint="eastAsia"/>
                <w:bCs/>
                <w:color w:val="000000" w:themeColor="text1"/>
                <w:szCs w:val="21"/>
                <w:lang w:val="en-US" w:eastAsia="zh-CN"/>
                <w14:textFill>
                  <w14:solidFill>
                    <w14:schemeClr w14:val="tx1"/>
                  </w14:solidFill>
                </w14:textFill>
              </w:rPr>
              <w:t>位于常熟市东南街道银环路28-1号10幢102</w:t>
            </w:r>
            <w:r>
              <w:rPr>
                <w:rFonts w:hint="eastAsia"/>
                <w:bCs/>
                <w:color w:val="000000" w:themeColor="text1"/>
                <w:szCs w:val="21"/>
                <w14:textFill>
                  <w14:solidFill>
                    <w14:schemeClr w14:val="tx1"/>
                  </w14:solidFill>
                </w14:textFill>
              </w:rPr>
              <w:t>，</w:t>
            </w:r>
            <w:r>
              <w:rPr>
                <w:rFonts w:hint="eastAsia"/>
                <w:bCs/>
                <w:color w:val="000000" w:themeColor="text1"/>
                <w:szCs w:val="21"/>
                <w:lang w:val="en-US" w:eastAsia="zh-CN"/>
                <w14:textFill>
                  <w14:solidFill>
                    <w14:schemeClr w14:val="tx1"/>
                  </w14:solidFill>
                </w14:textFill>
              </w:rPr>
              <w:t>主要从事塑料制品的生产和销售</w:t>
            </w:r>
            <w:r>
              <w:rPr>
                <w:rFonts w:hint="eastAsia"/>
                <w:bCs/>
                <w:color w:val="000000" w:themeColor="text1"/>
                <w:szCs w:val="21"/>
                <w14:textFill>
                  <w14:solidFill>
                    <w14:schemeClr w14:val="tx1"/>
                  </w14:solidFill>
                </w14:textFill>
              </w:rPr>
              <w:t>。</w:t>
            </w:r>
            <w:r>
              <w:rPr>
                <w:rFonts w:hint="eastAsia"/>
                <w:bCs/>
                <w:color w:val="000000" w:themeColor="text1"/>
                <w:szCs w:val="21"/>
                <w:lang w:val="en-US" w:eastAsia="zh-CN"/>
                <w14:textFill>
                  <w14:solidFill>
                    <w14:schemeClr w14:val="tx1"/>
                  </w14:solidFill>
                </w14:textFill>
              </w:rPr>
              <w:t>公司拟投资2000万元，利用建筑面积3526.28平方米，购置相关设备，年产医药冷链盒50万个、医用水箱20万个、汽车风管50万个、工具箱30万个。</w:t>
            </w:r>
          </w:p>
          <w:p w14:paraId="290FFEE8">
            <w:pPr>
              <w:adjustRightInd w:val="0"/>
              <w:snapToGrid w:val="0"/>
              <w:spacing w:line="360" w:lineRule="auto"/>
              <w:ind w:firstLine="420" w:firstLineChars="200"/>
              <w:jc w:val="left"/>
              <w:rPr>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本项目行业类别为塑料零件及其他塑料制品制造，</w:t>
            </w:r>
            <w:r>
              <w:rPr>
                <w:rFonts w:hint="default" w:ascii="Times New Roman" w:hAnsi="Times New Roman" w:eastAsia="宋体" w:cs="Times New Roman"/>
                <w:bCs/>
                <w:color w:val="000000" w:themeColor="text1"/>
                <w:szCs w:val="21"/>
                <w14:textFill>
                  <w14:solidFill>
                    <w14:schemeClr w14:val="tx1"/>
                  </w14:solidFill>
                </w14:textFill>
              </w:rPr>
              <w:t>根据《建设项目环境影响评价分类管理名录（2021年版）》</w:t>
            </w:r>
            <w:r>
              <w:rPr>
                <w:rFonts w:hint="eastAsia" w:ascii="Times New Roman" w:hAnsi="Times New Roman" w:eastAsia="宋体" w:cs="Times New Roman"/>
                <w:bCs/>
                <w:color w:val="000000" w:themeColor="text1"/>
                <w:szCs w:val="21"/>
                <w:lang w:val="en-US" w:eastAsia="zh-CN"/>
                <w14:textFill>
                  <w14:solidFill>
                    <w14:schemeClr w14:val="tx1"/>
                  </w14:solidFill>
                </w14:textFill>
              </w:rPr>
              <w:t>中“二十六</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橡胶和塑料制品</w:t>
            </w:r>
            <w:r>
              <w:rPr>
                <w:color w:val="000000" w:themeColor="text1"/>
                <w:szCs w:val="21"/>
                <w14:textFill>
                  <w14:solidFill>
                    <w14:schemeClr w14:val="tx1"/>
                  </w14:solidFill>
                </w14:textFill>
              </w:rPr>
              <w:t xml:space="preserve">业 </w:t>
            </w:r>
            <w:r>
              <w:rPr>
                <w:rFonts w:hint="eastAsia"/>
                <w:color w:val="000000" w:themeColor="text1"/>
                <w:szCs w:val="21"/>
                <w:lang w:val="en-US" w:eastAsia="zh-CN"/>
                <w14:textFill>
                  <w14:solidFill>
                    <w14:schemeClr w14:val="tx1"/>
                  </w14:solidFill>
                </w14:textFill>
              </w:rPr>
              <w:t>29</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53</w:t>
            </w:r>
            <w:r>
              <w:rPr>
                <w:color w:val="000000" w:themeColor="text1"/>
                <w:szCs w:val="21"/>
                <w14:textFill>
                  <w14:solidFill>
                    <w14:schemeClr w14:val="tx1"/>
                  </w14:solidFill>
                </w14:textFill>
              </w:rPr>
              <w:t xml:space="preserve"> </w:t>
            </w:r>
            <w:r>
              <w:rPr>
                <w:rFonts w:hint="eastAsia"/>
                <w:color w:val="000000" w:themeColor="text1"/>
                <w:szCs w:val="21"/>
                <w:lang w:val="en-US" w:eastAsia="zh-CN"/>
                <w14:textFill>
                  <w14:solidFill>
                    <w14:schemeClr w14:val="tx1"/>
                  </w14:solidFill>
                </w14:textFill>
              </w:rPr>
              <w:t>塑料制品业292</w:t>
            </w:r>
            <w:r>
              <w:rPr>
                <w:color w:val="000000" w:themeColor="text1"/>
                <w:szCs w:val="21"/>
                <w14:textFill>
                  <w14:solidFill>
                    <w14:schemeClr w14:val="tx1"/>
                  </w14:solidFill>
                </w14:textFill>
              </w:rPr>
              <w:t>）</w:t>
            </w:r>
            <w:r>
              <w:rPr>
                <w:rFonts w:hint="eastAsia" w:ascii="Times New Roman" w:hAnsi="Times New Roman" w:eastAsia="宋体" w:cs="Times New Roman"/>
                <w:bCs/>
                <w:color w:val="000000" w:themeColor="text1"/>
                <w:szCs w:val="21"/>
                <w:lang w:val="en-US" w:eastAsia="zh-CN"/>
                <w14:textFill>
                  <w14:solidFill>
                    <w14:schemeClr w14:val="tx1"/>
                  </w14:solidFill>
                </w14:textFill>
              </w:rPr>
              <w:t>”，“以再生塑料为原料生产的；有电镀工艺的；年用溶剂型胶黏剂10吨及以上的；年用溶剂型涂料（含稀释剂）10吨及以上的”编制报告书</w:t>
            </w:r>
            <w:r>
              <w:rPr>
                <w:rFonts w:hint="eastAsia" w:cs="Times New Roman"/>
                <w:bCs/>
                <w:color w:val="000000" w:themeColor="text1"/>
                <w:szCs w:val="21"/>
                <w:lang w:val="en-US" w:eastAsia="zh-CN"/>
                <w14:textFill>
                  <w14:solidFill>
                    <w14:schemeClr w14:val="tx1"/>
                  </w14:solidFill>
                </w14:textFill>
              </w:rPr>
              <w:t>，</w:t>
            </w: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r>
              <w:rPr>
                <w:color w:val="000000" w:themeColor="text1"/>
                <w:szCs w:val="21"/>
                <w14:textFill>
                  <w14:solidFill>
                    <w14:schemeClr w14:val="tx1"/>
                  </w14:solidFill>
                </w14:textFill>
              </w:rPr>
              <w:t>其他（</w:t>
            </w:r>
            <w:r>
              <w:rPr>
                <w:rFonts w:hint="eastAsia"/>
                <w:color w:val="000000" w:themeColor="text1"/>
                <w:szCs w:val="21"/>
                <w:lang w:val="en-US" w:eastAsia="zh-CN"/>
                <w14:textFill>
                  <w14:solidFill>
                    <w14:schemeClr w14:val="tx1"/>
                  </w14:solidFill>
                </w14:textFill>
              </w:rPr>
              <w:t>年用非溶剂型低VOCs含量涂料10吨以下的</w:t>
            </w:r>
            <w:r>
              <w:rPr>
                <w:color w:val="000000" w:themeColor="text1"/>
                <w:szCs w:val="21"/>
                <w14:textFill>
                  <w14:solidFill>
                    <w14:schemeClr w14:val="tx1"/>
                  </w14:solidFill>
                </w14:textFill>
              </w:rPr>
              <w:t>除外</w:t>
            </w:r>
            <w:r>
              <w:rPr>
                <w:rFonts w:hint="eastAsia"/>
                <w:color w:val="000000" w:themeColor="text1"/>
                <w:szCs w:val="21"/>
                <w:lang w:eastAsia="zh-CN"/>
                <w14:textFill>
                  <w14:solidFill>
                    <w14:schemeClr w14:val="tx1"/>
                  </w14:solidFill>
                </w14:textFill>
              </w:rPr>
              <w:t>）</w:t>
            </w: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r>
              <w:rPr>
                <w:rFonts w:hint="eastAsia" w:cs="Times New Roman"/>
                <w:bCs/>
                <w:color w:val="000000" w:themeColor="text1"/>
                <w:szCs w:val="21"/>
                <w:lang w:val="en-US" w:eastAsia="zh-CN"/>
                <w14:textFill>
                  <w14:solidFill>
                    <w14:schemeClr w14:val="tx1"/>
                  </w14:solidFill>
                </w14:textFill>
              </w:rPr>
              <w:t>编制报告表，本项目属于</w:t>
            </w:r>
            <w:r>
              <w:rPr>
                <w:color w:val="000000" w:themeColor="text1"/>
                <w:szCs w:val="21"/>
                <w14:textFill>
                  <w14:solidFill>
                    <w14:schemeClr w14:val="tx1"/>
                  </w14:solidFill>
                </w14:textFill>
              </w:rPr>
              <w:t>其他（</w:t>
            </w:r>
            <w:r>
              <w:rPr>
                <w:rFonts w:hint="eastAsia"/>
                <w:color w:val="000000" w:themeColor="text1"/>
                <w:szCs w:val="21"/>
                <w:lang w:val="en-US" w:eastAsia="zh-CN"/>
                <w14:textFill>
                  <w14:solidFill>
                    <w14:schemeClr w14:val="tx1"/>
                  </w14:solidFill>
                </w14:textFill>
              </w:rPr>
              <w:t>年用非溶剂型低VOCs含量涂料10吨以下的</w:t>
            </w:r>
            <w:r>
              <w:rPr>
                <w:color w:val="000000" w:themeColor="text1"/>
                <w:szCs w:val="21"/>
                <w14:textFill>
                  <w14:solidFill>
                    <w14:schemeClr w14:val="tx1"/>
                  </w14:solidFill>
                </w14:textFill>
              </w:rPr>
              <w:t>除外</w:t>
            </w:r>
            <w:r>
              <w:rPr>
                <w:rFonts w:hint="eastAsia"/>
                <w:color w:val="000000" w:themeColor="text1"/>
                <w:szCs w:val="21"/>
                <w:lang w:eastAsia="zh-CN"/>
                <w14:textFill>
                  <w14:solidFill>
                    <w14:schemeClr w14:val="tx1"/>
                  </w14:solidFill>
                </w14:textFill>
              </w:rPr>
              <w:t>）</w:t>
            </w:r>
            <w:r>
              <w:rPr>
                <w:rFonts w:hint="eastAsia" w:ascii="Times New Roman" w:hAnsi="Times New Roman" w:eastAsia="宋体" w:cs="Times New Roman"/>
                <w:bCs/>
                <w:color w:val="000000" w:themeColor="text1"/>
                <w:szCs w:val="21"/>
                <w:lang w:val="en-US" w:eastAsia="zh-CN"/>
                <w14:textFill>
                  <w14:solidFill>
                    <w14:schemeClr w14:val="tx1"/>
                  </w14:solidFill>
                </w14:textFill>
              </w:rPr>
              <w:t>，应编制环境影响报告表</w:t>
            </w:r>
            <w:r>
              <w:rPr>
                <w:bCs/>
                <w:color w:val="000000" w:themeColor="text1"/>
                <w:szCs w:val="21"/>
                <w14:textFill>
                  <w14:solidFill>
                    <w14:schemeClr w14:val="tx1"/>
                  </w14:solidFill>
                </w14:textFill>
              </w:rPr>
              <w:t>。</w:t>
            </w:r>
          </w:p>
          <w:p w14:paraId="5A79A3DE">
            <w:pPr>
              <w:spacing w:line="360" w:lineRule="auto"/>
              <w:ind w:firstLine="422" w:firstLineChars="20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2.</w:t>
            </w: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产品及产能</w:t>
            </w:r>
          </w:p>
          <w:p w14:paraId="6092CFA0">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w:t>
            </w:r>
            <w:r>
              <w:rPr>
                <w:bCs/>
                <w:color w:val="000000" w:themeColor="text1"/>
                <w:szCs w:val="21"/>
                <w14:textFill>
                  <w14:solidFill>
                    <w14:schemeClr w14:val="tx1"/>
                  </w14:solidFill>
                </w14:textFill>
              </w:rPr>
              <w:t>项目</w:t>
            </w:r>
            <w:r>
              <w:rPr>
                <w:rFonts w:hint="eastAsia"/>
                <w:bCs/>
                <w:color w:val="000000" w:themeColor="text1"/>
                <w:szCs w:val="21"/>
                <w14:textFill>
                  <w14:solidFill>
                    <w14:schemeClr w14:val="tx1"/>
                  </w14:solidFill>
                </w14:textFill>
              </w:rPr>
              <w:t>主要</w:t>
            </w:r>
            <w:r>
              <w:rPr>
                <w:bCs/>
                <w:color w:val="000000" w:themeColor="text1"/>
                <w:szCs w:val="21"/>
                <w14:textFill>
                  <w14:solidFill>
                    <w14:schemeClr w14:val="tx1"/>
                  </w14:solidFill>
                </w14:textFill>
              </w:rPr>
              <w:t>产品及产能见表2.</w:t>
            </w:r>
            <w:r>
              <w:rPr>
                <w:rFonts w:hint="eastAsia"/>
                <w:bCs/>
                <w:color w:val="000000" w:themeColor="text1"/>
                <w:szCs w:val="21"/>
                <w14:textFill>
                  <w14:solidFill>
                    <w14:schemeClr w14:val="tx1"/>
                  </w14:solidFill>
                </w14:textFill>
              </w:rPr>
              <w:t>2</w:t>
            </w:r>
            <w:r>
              <w:rPr>
                <w:bCs/>
                <w:color w:val="000000" w:themeColor="text1"/>
                <w:szCs w:val="21"/>
                <w14:textFill>
                  <w14:solidFill>
                    <w14:schemeClr w14:val="tx1"/>
                  </w14:solidFill>
                </w14:textFill>
              </w:rPr>
              <w:t>-1。</w:t>
            </w:r>
          </w:p>
          <w:p w14:paraId="6C6BFB7C">
            <w:pPr>
              <w:suppressAutoHyphens/>
              <w:spacing w:line="240" w:lineRule="auto"/>
              <w:jc w:val="center"/>
              <w:rPr>
                <w:b/>
                <w:bCs/>
                <w:color w:val="000000" w:themeColor="text1"/>
                <w:sz w:val="24"/>
                <w14:textFill>
                  <w14:solidFill>
                    <w14:schemeClr w14:val="tx1"/>
                  </w14:solidFill>
                </w14:textFill>
              </w:rPr>
            </w:pPr>
            <w:r>
              <w:rPr>
                <w:b/>
                <w:bCs/>
                <w:color w:val="000000" w:themeColor="text1"/>
                <w:szCs w:val="21"/>
                <w14:textFill>
                  <w14:solidFill>
                    <w14:schemeClr w14:val="tx1"/>
                  </w14:solidFill>
                </w14:textFill>
              </w:rPr>
              <w:t>表2.</w:t>
            </w:r>
            <w:r>
              <w:rPr>
                <w:rFonts w:hint="eastAsia"/>
                <w:b/>
                <w:bCs/>
                <w:color w:val="000000" w:themeColor="text1"/>
                <w:szCs w:val="21"/>
                <w14:textFill>
                  <w14:solidFill>
                    <w14:schemeClr w14:val="tx1"/>
                  </w14:solidFill>
                </w14:textFill>
              </w:rPr>
              <w:t>2</w:t>
            </w:r>
            <w:r>
              <w:rPr>
                <w:b/>
                <w:bCs/>
                <w:color w:val="000000" w:themeColor="text1"/>
                <w:szCs w:val="21"/>
                <w14:textFill>
                  <w14:solidFill>
                    <w14:schemeClr w14:val="tx1"/>
                  </w14:solidFill>
                </w14:textFill>
              </w:rPr>
              <w:t>-1  本</w:t>
            </w:r>
            <w:r>
              <w:rPr>
                <w:rFonts w:hint="eastAsia"/>
                <w:b/>
                <w:bCs/>
                <w:color w:val="000000" w:themeColor="text1"/>
                <w:szCs w:val="21"/>
                <w14:textFill>
                  <w14:solidFill>
                    <w14:schemeClr w14:val="tx1"/>
                  </w14:solidFill>
                </w14:textFill>
              </w:rPr>
              <w:t>项目主要</w:t>
            </w:r>
            <w:r>
              <w:rPr>
                <w:b/>
                <w:bCs/>
                <w:color w:val="000000" w:themeColor="text1"/>
                <w:szCs w:val="21"/>
                <w14:textFill>
                  <w14:solidFill>
                    <w14:schemeClr w14:val="tx1"/>
                  </w14:solidFill>
                </w14:textFill>
              </w:rPr>
              <w:t>产品及产能一览表</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36"/>
              <w:gridCol w:w="1138"/>
              <w:gridCol w:w="1905"/>
              <w:gridCol w:w="1143"/>
              <w:gridCol w:w="944"/>
              <w:gridCol w:w="1589"/>
              <w:gridCol w:w="733"/>
            </w:tblGrid>
            <w:tr w14:paraId="7A2B29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82" w:hRule="atLeast"/>
                <w:jc w:val="center"/>
              </w:trPr>
              <w:tc>
                <w:tcPr>
                  <w:tcW w:w="0" w:type="auto"/>
                  <w:vAlign w:val="center"/>
                </w:tcPr>
                <w:p w14:paraId="264D7A09">
                  <w:pPr>
                    <w:pStyle w:val="7"/>
                    <w:adjustRightInd w:val="0"/>
                    <w:snapToGrid w:val="0"/>
                    <w:ind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主要生产单元</w:t>
                  </w:r>
                </w:p>
              </w:tc>
              <w:tc>
                <w:tcPr>
                  <w:tcW w:w="0" w:type="auto"/>
                  <w:vAlign w:val="center"/>
                </w:tcPr>
                <w:p w14:paraId="503701E5">
                  <w:pPr>
                    <w:pStyle w:val="7"/>
                    <w:adjustRightInd w:val="0"/>
                    <w:snapToGrid w:val="0"/>
                    <w:ind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产品名称</w:t>
                  </w:r>
                </w:p>
              </w:tc>
              <w:tc>
                <w:tcPr>
                  <w:tcW w:w="0" w:type="auto"/>
                  <w:vAlign w:val="center"/>
                </w:tcPr>
                <w:p w14:paraId="59418D81">
                  <w:pPr>
                    <w:pStyle w:val="7"/>
                    <w:adjustRightInd w:val="0"/>
                    <w:snapToGrid w:val="0"/>
                    <w:ind w:firstLine="0" w:firstLineChars="0"/>
                    <w:jc w:val="center"/>
                    <w:rPr>
                      <w:rFonts w:hint="default"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规格（mm）</w:t>
                  </w:r>
                </w:p>
              </w:tc>
              <w:tc>
                <w:tcPr>
                  <w:tcW w:w="0" w:type="auto"/>
                  <w:vAlign w:val="center"/>
                </w:tcPr>
                <w:p w14:paraId="2EF179F9">
                  <w:pPr>
                    <w:pStyle w:val="7"/>
                    <w:adjustRightInd w:val="0"/>
                    <w:snapToGrid w:val="0"/>
                    <w:ind w:firstLine="0" w:firstLineChars="0"/>
                    <w:jc w:val="center"/>
                    <w:rPr>
                      <w:rFonts w:hint="default"/>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单位产品重量（kg）</w:t>
                  </w:r>
                </w:p>
              </w:tc>
              <w:tc>
                <w:tcPr>
                  <w:tcW w:w="944" w:type="dxa"/>
                  <w:vAlign w:val="center"/>
                </w:tcPr>
                <w:p w14:paraId="14A73C8D">
                  <w:pPr>
                    <w:pStyle w:val="7"/>
                    <w:adjustRightInd w:val="0"/>
                    <w:snapToGrid w:val="0"/>
                    <w:ind w:firstLine="0" w:firstLineChars="0"/>
                    <w:jc w:val="center"/>
                    <w:rPr>
                      <w:rFonts w:hint="eastAsia" w:eastAsia="宋体"/>
                      <w:b/>
                      <w:bCs/>
                      <w:color w:val="000000" w:themeColor="text1"/>
                      <w:szCs w:val="21"/>
                      <w:lang w:eastAsia="zh-CN"/>
                      <w14:textFill>
                        <w14:solidFill>
                          <w14:schemeClr w14:val="tx1"/>
                        </w14:solidFill>
                      </w14:textFill>
                    </w:rPr>
                  </w:pPr>
                  <w:r>
                    <w:rPr>
                      <w:rFonts w:hint="eastAsia"/>
                      <w:b/>
                      <w:bCs/>
                      <w:color w:val="000000" w:themeColor="text1"/>
                      <w:szCs w:val="21"/>
                      <w14:textFill>
                        <w14:solidFill>
                          <w14:schemeClr w14:val="tx1"/>
                        </w14:solidFill>
                      </w14:textFill>
                    </w:rPr>
                    <w:t>年生产能力</w:t>
                  </w:r>
                </w:p>
              </w:tc>
              <w:tc>
                <w:tcPr>
                  <w:tcW w:w="1589" w:type="dxa"/>
                  <w:vAlign w:val="center"/>
                </w:tcPr>
                <w:p w14:paraId="09DD9A55">
                  <w:pPr>
                    <w:pStyle w:val="7"/>
                    <w:adjustRightInd w:val="0"/>
                    <w:snapToGrid w:val="0"/>
                    <w:ind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主要工艺</w:t>
                  </w:r>
                </w:p>
              </w:tc>
              <w:tc>
                <w:tcPr>
                  <w:tcW w:w="0" w:type="auto"/>
                  <w:vAlign w:val="center"/>
                </w:tcPr>
                <w:p w14:paraId="19D0823A">
                  <w:pPr>
                    <w:pStyle w:val="7"/>
                    <w:adjustRightInd w:val="0"/>
                    <w:snapToGrid w:val="0"/>
                    <w:ind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工作</w:t>
                  </w:r>
                </w:p>
                <w:p w14:paraId="2B51379B">
                  <w:pPr>
                    <w:pStyle w:val="7"/>
                    <w:adjustRightInd w:val="0"/>
                    <w:snapToGrid w:val="0"/>
                    <w:ind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时数</w:t>
                  </w:r>
                </w:p>
              </w:tc>
            </w:tr>
            <w:tr w14:paraId="295F33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0" w:type="auto"/>
                  <w:vMerge w:val="restart"/>
                  <w:vAlign w:val="center"/>
                </w:tcPr>
                <w:p w14:paraId="1CB0EFCF">
                  <w:pPr>
                    <w:pStyle w:val="7"/>
                    <w:adjustRightInd w:val="0"/>
                    <w:snapToGrid w:val="0"/>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w:t>
                  </w:r>
                </w:p>
                <w:p w14:paraId="2D2CBAFD">
                  <w:pPr>
                    <w:pStyle w:val="7"/>
                    <w:adjustRightInd w:val="0"/>
                    <w:snapToGrid w:val="0"/>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车间</w:t>
                  </w:r>
                </w:p>
              </w:tc>
              <w:tc>
                <w:tcPr>
                  <w:tcW w:w="0" w:type="auto"/>
                  <w:vAlign w:val="center"/>
                </w:tcPr>
                <w:p w14:paraId="39CF3E52">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宋体" w:hAnsi="宋体"/>
                      <w:color w:val="000000" w:themeColor="text1"/>
                      <w:sz w:val="21"/>
                      <w:szCs w:val="21"/>
                      <w:lang w:eastAsia="zh-CN"/>
                      <w14:textFill>
                        <w14:solidFill>
                          <w14:schemeClr w14:val="tx1"/>
                        </w14:solidFill>
                      </w14:textFill>
                    </w:rPr>
                    <w:t>医药冷链盒</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仅为外壳</w:t>
                  </w:r>
                  <w:r>
                    <w:rPr>
                      <w:rFonts w:hint="eastAsia"/>
                      <w:color w:val="000000" w:themeColor="text1"/>
                      <w:lang w:eastAsia="zh-CN"/>
                      <w14:textFill>
                        <w14:solidFill>
                          <w14:schemeClr w14:val="tx1"/>
                        </w14:solidFill>
                      </w14:textFill>
                    </w:rPr>
                    <w:t>）</w:t>
                  </w:r>
                </w:p>
              </w:tc>
              <w:tc>
                <w:tcPr>
                  <w:tcW w:w="0" w:type="auto"/>
                  <w:vAlign w:val="center"/>
                </w:tcPr>
                <w:p w14:paraId="10BED9F2">
                  <w:pPr>
                    <w:tabs>
                      <w:tab w:val="left" w:pos="265"/>
                      <w:tab w:val="center" w:pos="437"/>
                    </w:tabs>
                    <w:spacing w:line="480" w:lineRule="exact"/>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（185~486）*（185~486）*25</w:t>
                  </w:r>
                </w:p>
              </w:tc>
              <w:tc>
                <w:tcPr>
                  <w:tcW w:w="0" w:type="auto"/>
                  <w:vAlign w:val="center"/>
                </w:tcPr>
                <w:p w14:paraId="0336E8B3">
                  <w:pPr>
                    <w:tabs>
                      <w:tab w:val="left" w:pos="265"/>
                      <w:tab w:val="center" w:pos="437"/>
                    </w:tabs>
                    <w:spacing w:line="480" w:lineRule="exact"/>
                    <w:jc w:val="center"/>
                    <w:rPr>
                      <w:rFonts w:hint="default"/>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0.1-0.2</w:t>
                  </w:r>
                </w:p>
              </w:tc>
              <w:tc>
                <w:tcPr>
                  <w:tcW w:w="944" w:type="dxa"/>
                  <w:vAlign w:val="center"/>
                </w:tcPr>
                <w:p w14:paraId="11B775DD">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50万个</w:t>
                  </w:r>
                </w:p>
              </w:tc>
              <w:tc>
                <w:tcPr>
                  <w:tcW w:w="1589" w:type="dxa"/>
                  <w:vMerge w:val="restart"/>
                  <w:vAlign w:val="center"/>
                </w:tcPr>
                <w:p w14:paraId="27980ECF">
                  <w:pPr>
                    <w:pStyle w:val="7"/>
                    <w:adjustRightInd w:val="0"/>
                    <w:snapToGrid w:val="0"/>
                    <w:ind w:firstLine="0" w:firstLineChars="0"/>
                    <w:jc w:val="center"/>
                    <w:rPr>
                      <w:rFonts w:hint="default"/>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搅拌-吹塑-修边检验-印刷-烘干-机加工-检验-组装*-包装</w:t>
                  </w:r>
                </w:p>
              </w:tc>
              <w:tc>
                <w:tcPr>
                  <w:tcW w:w="0" w:type="auto"/>
                  <w:vMerge w:val="restart"/>
                  <w:vAlign w:val="center"/>
                </w:tcPr>
                <w:p w14:paraId="6E78E8A1">
                  <w:pPr>
                    <w:pStyle w:val="7"/>
                    <w:adjustRightInd w:val="0"/>
                    <w:snapToGrid w:val="0"/>
                    <w:ind w:firstLine="0" w:firstLineChars="0"/>
                    <w:jc w:val="center"/>
                    <w:rPr>
                      <w:b/>
                      <w:bCs/>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7200</w:t>
                  </w:r>
                  <w:r>
                    <w:rPr>
                      <w:rFonts w:hint="eastAsia"/>
                      <w:color w:val="000000" w:themeColor="text1"/>
                      <w:szCs w:val="21"/>
                      <w14:textFill>
                        <w14:solidFill>
                          <w14:schemeClr w14:val="tx1"/>
                        </w14:solidFill>
                      </w14:textFill>
                    </w:rPr>
                    <w:t>h/a</w:t>
                  </w:r>
                </w:p>
              </w:tc>
            </w:tr>
            <w:tr w14:paraId="3E8748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1" w:hRule="atLeast"/>
                <w:jc w:val="center"/>
              </w:trPr>
              <w:tc>
                <w:tcPr>
                  <w:tcW w:w="0" w:type="auto"/>
                  <w:vMerge w:val="continue"/>
                  <w:vAlign w:val="center"/>
                </w:tcPr>
                <w:p w14:paraId="2771D09D">
                  <w:pPr>
                    <w:pStyle w:val="7"/>
                    <w:adjustRightInd w:val="0"/>
                    <w:snapToGrid w:val="0"/>
                    <w:ind w:firstLine="0" w:firstLineChars="0"/>
                    <w:jc w:val="center"/>
                    <w:rPr>
                      <w:color w:val="000000" w:themeColor="text1"/>
                      <w:szCs w:val="21"/>
                      <w14:textFill>
                        <w14:solidFill>
                          <w14:schemeClr w14:val="tx1"/>
                        </w14:solidFill>
                      </w14:textFill>
                    </w:rPr>
                  </w:pPr>
                </w:p>
              </w:tc>
              <w:tc>
                <w:tcPr>
                  <w:tcW w:w="0" w:type="auto"/>
                  <w:vAlign w:val="center"/>
                </w:tcPr>
                <w:p w14:paraId="0B7C7AC8">
                  <w:pPr>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医用水箱</w:t>
                  </w:r>
                </w:p>
              </w:tc>
              <w:tc>
                <w:tcPr>
                  <w:tcW w:w="0" w:type="auto"/>
                  <w:vAlign w:val="center"/>
                </w:tcPr>
                <w:p w14:paraId="294A9516">
                  <w:pPr>
                    <w:spacing w:line="480" w:lineRule="exact"/>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375*265*160</w:t>
                  </w:r>
                </w:p>
              </w:tc>
              <w:tc>
                <w:tcPr>
                  <w:tcW w:w="0" w:type="auto"/>
                  <w:vAlign w:val="center"/>
                </w:tcPr>
                <w:p w14:paraId="783F5880">
                  <w:pPr>
                    <w:spacing w:line="480" w:lineRule="exact"/>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0.2-0.4</w:t>
                  </w:r>
                </w:p>
              </w:tc>
              <w:tc>
                <w:tcPr>
                  <w:tcW w:w="944" w:type="dxa"/>
                  <w:vAlign w:val="center"/>
                </w:tcPr>
                <w:p w14:paraId="10972DFE">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20万个</w:t>
                  </w:r>
                </w:p>
              </w:tc>
              <w:tc>
                <w:tcPr>
                  <w:tcW w:w="1589" w:type="dxa"/>
                  <w:vMerge w:val="continue"/>
                  <w:vAlign w:val="center"/>
                </w:tcPr>
                <w:p w14:paraId="7B7396B7">
                  <w:pPr>
                    <w:pStyle w:val="7"/>
                    <w:adjustRightInd w:val="0"/>
                    <w:snapToGrid w:val="0"/>
                    <w:ind w:firstLine="0" w:firstLineChars="0"/>
                    <w:jc w:val="center"/>
                    <w:rPr>
                      <w:rFonts w:hint="default" w:eastAsia="宋体"/>
                      <w:b w:val="0"/>
                      <w:bCs w:val="0"/>
                      <w:color w:val="000000" w:themeColor="text1"/>
                      <w:szCs w:val="21"/>
                      <w:lang w:val="en-US" w:eastAsia="zh-CN"/>
                      <w14:textFill>
                        <w14:solidFill>
                          <w14:schemeClr w14:val="tx1"/>
                        </w14:solidFill>
                      </w14:textFill>
                    </w:rPr>
                  </w:pPr>
                </w:p>
              </w:tc>
              <w:tc>
                <w:tcPr>
                  <w:tcW w:w="0" w:type="auto"/>
                  <w:vMerge w:val="continue"/>
                  <w:vAlign w:val="center"/>
                </w:tcPr>
                <w:p w14:paraId="3FCF875B">
                  <w:pPr>
                    <w:pStyle w:val="7"/>
                    <w:adjustRightInd w:val="0"/>
                    <w:snapToGrid w:val="0"/>
                    <w:ind w:firstLine="0" w:firstLineChars="0"/>
                    <w:jc w:val="center"/>
                    <w:rPr>
                      <w:color w:val="000000" w:themeColor="text1"/>
                      <w:szCs w:val="21"/>
                      <w14:textFill>
                        <w14:solidFill>
                          <w14:schemeClr w14:val="tx1"/>
                        </w14:solidFill>
                      </w14:textFill>
                    </w:rPr>
                  </w:pPr>
                </w:p>
              </w:tc>
            </w:tr>
            <w:tr w14:paraId="68923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2" w:hRule="atLeast"/>
                <w:jc w:val="center"/>
              </w:trPr>
              <w:tc>
                <w:tcPr>
                  <w:tcW w:w="0" w:type="auto"/>
                  <w:vMerge w:val="continue"/>
                  <w:vAlign w:val="center"/>
                </w:tcPr>
                <w:p w14:paraId="1D34844F">
                  <w:pPr>
                    <w:pStyle w:val="7"/>
                    <w:adjustRightInd w:val="0"/>
                    <w:snapToGrid w:val="0"/>
                    <w:ind w:firstLine="0" w:firstLineChars="0"/>
                    <w:jc w:val="center"/>
                    <w:rPr>
                      <w:b/>
                      <w:bCs/>
                      <w:color w:val="000000" w:themeColor="text1"/>
                      <w:szCs w:val="21"/>
                      <w14:textFill>
                        <w14:solidFill>
                          <w14:schemeClr w14:val="tx1"/>
                        </w14:solidFill>
                      </w14:textFill>
                    </w:rPr>
                  </w:pPr>
                </w:p>
              </w:tc>
              <w:tc>
                <w:tcPr>
                  <w:tcW w:w="0" w:type="auto"/>
                  <w:vAlign w:val="center"/>
                </w:tcPr>
                <w:p w14:paraId="7560DDCE">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汽车风管</w:t>
                  </w:r>
                </w:p>
              </w:tc>
              <w:tc>
                <w:tcPr>
                  <w:tcW w:w="0" w:type="auto"/>
                  <w:vAlign w:val="center"/>
                </w:tcPr>
                <w:p w14:paraId="013D63BA">
                  <w:pPr>
                    <w:spacing w:line="480" w:lineRule="exact"/>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450*170*70</w:t>
                  </w:r>
                </w:p>
              </w:tc>
              <w:tc>
                <w:tcPr>
                  <w:tcW w:w="0" w:type="auto"/>
                  <w:vAlign w:val="center"/>
                </w:tcPr>
                <w:p w14:paraId="7912F843">
                  <w:pPr>
                    <w:spacing w:line="480" w:lineRule="exact"/>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0.1-0.2</w:t>
                  </w:r>
                </w:p>
              </w:tc>
              <w:tc>
                <w:tcPr>
                  <w:tcW w:w="944" w:type="dxa"/>
                  <w:vAlign w:val="center"/>
                </w:tcPr>
                <w:p w14:paraId="6FE34036">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50万个</w:t>
                  </w:r>
                </w:p>
              </w:tc>
              <w:tc>
                <w:tcPr>
                  <w:tcW w:w="1589" w:type="dxa"/>
                  <w:vMerge w:val="continue"/>
                  <w:vAlign w:val="center"/>
                </w:tcPr>
                <w:p w14:paraId="11E5E17D">
                  <w:pPr>
                    <w:pStyle w:val="7"/>
                    <w:adjustRightInd w:val="0"/>
                    <w:snapToGrid w:val="0"/>
                    <w:ind w:firstLine="0" w:firstLineChars="0"/>
                    <w:jc w:val="center"/>
                    <w:rPr>
                      <w:b w:val="0"/>
                      <w:bCs w:val="0"/>
                      <w:color w:val="000000" w:themeColor="text1"/>
                      <w:szCs w:val="21"/>
                      <w14:textFill>
                        <w14:solidFill>
                          <w14:schemeClr w14:val="tx1"/>
                        </w14:solidFill>
                      </w14:textFill>
                    </w:rPr>
                  </w:pPr>
                </w:p>
              </w:tc>
              <w:tc>
                <w:tcPr>
                  <w:tcW w:w="0" w:type="auto"/>
                  <w:vMerge w:val="continue"/>
                  <w:vAlign w:val="center"/>
                </w:tcPr>
                <w:p w14:paraId="0686FCCC">
                  <w:pPr>
                    <w:pStyle w:val="7"/>
                    <w:adjustRightInd w:val="0"/>
                    <w:snapToGrid w:val="0"/>
                    <w:ind w:firstLine="0" w:firstLineChars="0"/>
                    <w:jc w:val="center"/>
                    <w:rPr>
                      <w:b/>
                      <w:bCs/>
                      <w:color w:val="000000" w:themeColor="text1"/>
                      <w:szCs w:val="21"/>
                      <w14:textFill>
                        <w14:solidFill>
                          <w14:schemeClr w14:val="tx1"/>
                        </w14:solidFill>
                      </w14:textFill>
                    </w:rPr>
                  </w:pPr>
                </w:p>
              </w:tc>
            </w:tr>
            <w:tr w14:paraId="5F5313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2" w:hRule="atLeast"/>
                <w:jc w:val="center"/>
              </w:trPr>
              <w:tc>
                <w:tcPr>
                  <w:tcW w:w="0" w:type="auto"/>
                  <w:vMerge w:val="continue"/>
                  <w:vAlign w:val="center"/>
                </w:tcPr>
                <w:p w14:paraId="76C61BF3">
                  <w:pPr>
                    <w:pStyle w:val="7"/>
                    <w:adjustRightInd w:val="0"/>
                    <w:snapToGrid w:val="0"/>
                    <w:ind w:firstLine="0" w:firstLineChars="0"/>
                    <w:jc w:val="center"/>
                    <w:rPr>
                      <w:b/>
                      <w:bCs/>
                      <w:color w:val="000000" w:themeColor="text1"/>
                      <w:szCs w:val="21"/>
                      <w14:textFill>
                        <w14:solidFill>
                          <w14:schemeClr w14:val="tx1"/>
                        </w14:solidFill>
                      </w14:textFill>
                    </w:rPr>
                  </w:pPr>
                </w:p>
              </w:tc>
              <w:tc>
                <w:tcPr>
                  <w:tcW w:w="0" w:type="auto"/>
                  <w:vAlign w:val="center"/>
                </w:tcPr>
                <w:p w14:paraId="7B65186C">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工具箱</w:t>
                  </w:r>
                </w:p>
              </w:tc>
              <w:tc>
                <w:tcPr>
                  <w:tcW w:w="0" w:type="auto"/>
                  <w:vAlign w:val="center"/>
                </w:tcPr>
                <w:p w14:paraId="0C2214EB">
                  <w:pPr>
                    <w:spacing w:line="480" w:lineRule="exact"/>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340*260*118、376*307*117</w:t>
                  </w:r>
                </w:p>
              </w:tc>
              <w:tc>
                <w:tcPr>
                  <w:tcW w:w="0" w:type="auto"/>
                  <w:vAlign w:val="center"/>
                </w:tcPr>
                <w:p w14:paraId="681E30A1">
                  <w:pPr>
                    <w:spacing w:line="480" w:lineRule="exact"/>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0.3-0.5</w:t>
                  </w:r>
                </w:p>
              </w:tc>
              <w:tc>
                <w:tcPr>
                  <w:tcW w:w="944" w:type="dxa"/>
                  <w:vAlign w:val="center"/>
                </w:tcPr>
                <w:p w14:paraId="097BDD63">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30万个</w:t>
                  </w:r>
                </w:p>
              </w:tc>
              <w:tc>
                <w:tcPr>
                  <w:tcW w:w="1589" w:type="dxa"/>
                  <w:vMerge w:val="continue"/>
                  <w:vAlign w:val="center"/>
                </w:tcPr>
                <w:p w14:paraId="6F9616EB">
                  <w:pPr>
                    <w:pStyle w:val="7"/>
                    <w:adjustRightInd w:val="0"/>
                    <w:snapToGrid w:val="0"/>
                    <w:ind w:firstLine="0" w:firstLineChars="0"/>
                    <w:jc w:val="center"/>
                    <w:rPr>
                      <w:rFonts w:hint="default"/>
                      <w:b w:val="0"/>
                      <w:bCs w:val="0"/>
                      <w:color w:val="000000" w:themeColor="text1"/>
                      <w:szCs w:val="21"/>
                      <w:lang w:val="en-US" w:eastAsia="zh-CN"/>
                      <w14:textFill>
                        <w14:solidFill>
                          <w14:schemeClr w14:val="tx1"/>
                        </w14:solidFill>
                      </w14:textFill>
                    </w:rPr>
                  </w:pPr>
                </w:p>
              </w:tc>
              <w:tc>
                <w:tcPr>
                  <w:tcW w:w="0" w:type="auto"/>
                  <w:vMerge w:val="continue"/>
                  <w:vAlign w:val="center"/>
                </w:tcPr>
                <w:p w14:paraId="7FC29534">
                  <w:pPr>
                    <w:pStyle w:val="7"/>
                    <w:adjustRightInd w:val="0"/>
                    <w:snapToGrid w:val="0"/>
                    <w:ind w:firstLine="0" w:firstLineChars="0"/>
                    <w:jc w:val="center"/>
                    <w:rPr>
                      <w:b/>
                      <w:bCs/>
                      <w:color w:val="000000" w:themeColor="text1"/>
                      <w:szCs w:val="21"/>
                      <w14:textFill>
                        <w14:solidFill>
                          <w14:schemeClr w14:val="tx1"/>
                        </w14:solidFill>
                      </w14:textFill>
                    </w:rPr>
                  </w:pPr>
                </w:p>
              </w:tc>
            </w:tr>
          </w:tbl>
          <w:p w14:paraId="15F3EB5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注：仅工具箱需要组装，仅工具箱需要印刷、烘干；</w:t>
            </w:r>
          </w:p>
          <w:p w14:paraId="6914119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val="0"/>
                <w:color w:val="000000" w:themeColor="text1"/>
                <w:szCs w:val="21"/>
                <w:lang w:val="en-US" w:eastAsia="zh-CN"/>
                <w14:textFill>
                  <w14:solidFill>
                    <w14:schemeClr w14:val="tx1"/>
                  </w14:solidFill>
                </w14:textFill>
              </w:rPr>
            </w:pPr>
            <w:r>
              <w:rPr>
                <w:rFonts w:hint="default" w:ascii="Times New Roman" w:hAnsi="Times New Roman" w:cs="Times New Roman"/>
                <w:b/>
                <w:bCs w:val="0"/>
                <w:color w:val="000000" w:themeColor="text1"/>
                <w:szCs w:val="21"/>
                <w:lang w:val="en-US" w:eastAsia="zh-CN"/>
                <w14:textFill>
                  <w14:solidFill>
                    <w14:schemeClr w14:val="tx1"/>
                  </w14:solidFill>
                </w14:textFill>
              </w:rPr>
              <w:t>根据产品的单位产品重量，</w:t>
            </w:r>
            <w:r>
              <w:rPr>
                <w:rFonts w:hint="default" w:ascii="Times New Roman" w:hAnsi="Times New Roman" w:cs="Times New Roman"/>
                <w:b/>
                <w:bCs w:val="0"/>
                <w:color w:val="000000" w:themeColor="text1"/>
                <w:sz w:val="21"/>
                <w:szCs w:val="21"/>
                <w14:textFill>
                  <w14:solidFill>
                    <w14:schemeClr w14:val="tx1"/>
                  </w14:solidFill>
                </w14:textFill>
              </w:rPr>
              <w:t>50万个</w:t>
            </w:r>
            <w:r>
              <w:rPr>
                <w:rFonts w:hint="default" w:ascii="Times New Roman" w:hAnsi="Times New Roman" w:cs="Times New Roman"/>
                <w:b/>
                <w:bCs w:val="0"/>
                <w:color w:val="000000" w:themeColor="text1"/>
                <w:sz w:val="21"/>
                <w:szCs w:val="21"/>
                <w:lang w:eastAsia="zh-CN"/>
                <w14:textFill>
                  <w14:solidFill>
                    <w14:schemeClr w14:val="tx1"/>
                  </w14:solidFill>
                </w14:textFill>
              </w:rPr>
              <w:t>医药冷链盒</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重量为50t-100t，以最大重量100t计；</w:t>
            </w:r>
            <w:r>
              <w:rPr>
                <w:rFonts w:hint="default" w:ascii="Times New Roman" w:hAnsi="Times New Roman" w:cs="Times New Roman"/>
                <w:b/>
                <w:bCs w:val="0"/>
                <w:color w:val="000000" w:themeColor="text1"/>
                <w:sz w:val="21"/>
                <w:szCs w:val="21"/>
                <w14:textFill>
                  <w14:solidFill>
                    <w14:schemeClr w14:val="tx1"/>
                  </w14:solidFill>
                </w14:textFill>
              </w:rPr>
              <w:t>20万个医用水箱</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重量为40t-80t，以最大重量80t计；</w:t>
            </w:r>
            <w:r>
              <w:rPr>
                <w:rFonts w:hint="default" w:ascii="Times New Roman" w:hAnsi="Times New Roman" w:cs="Times New Roman"/>
                <w:b/>
                <w:bCs w:val="0"/>
                <w:color w:val="000000" w:themeColor="text1"/>
                <w:sz w:val="21"/>
                <w:szCs w:val="21"/>
                <w14:textFill>
                  <w14:solidFill>
                    <w14:schemeClr w14:val="tx1"/>
                  </w14:solidFill>
                </w14:textFill>
              </w:rPr>
              <w:t>50万个汽车风管</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重量为50t-100t，以最大重量100t计；</w:t>
            </w:r>
            <w:r>
              <w:rPr>
                <w:rFonts w:hint="default" w:ascii="Times New Roman" w:hAnsi="Times New Roman" w:cs="Times New Roman"/>
                <w:b/>
                <w:bCs w:val="0"/>
                <w:color w:val="000000" w:themeColor="text1"/>
                <w:sz w:val="21"/>
                <w:szCs w:val="21"/>
                <w14:textFill>
                  <w14:solidFill>
                    <w14:schemeClr w14:val="tx1"/>
                  </w14:solidFill>
                </w14:textFill>
              </w:rPr>
              <w:t>30万个工具箱</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重量为90t-150t，以最大重量150t计</w:t>
            </w:r>
            <w:r>
              <w:rPr>
                <w:rFonts w:hint="default" w:ascii="Times New Roman" w:hAnsi="Times New Roman" w:cs="Times New Roman"/>
                <w:b/>
                <w:bCs w:val="0"/>
                <w:color w:val="000000" w:themeColor="text1"/>
                <w:szCs w:val="21"/>
                <w:lang w:val="en-US" w:eastAsia="zh-CN"/>
                <w14:textFill>
                  <w14:solidFill>
                    <w14:schemeClr w14:val="tx1"/>
                  </w14:solidFill>
                </w14:textFill>
              </w:rPr>
              <w:t>，由于产品根据客户要求存在不同规格，报告中按照企业最大规格产品计算，则全年产品总重量为430t。</w:t>
            </w:r>
            <w:r>
              <w:rPr>
                <w:rFonts w:hint="eastAsia" w:ascii="Times New Roman" w:hAnsi="Times New Roman" w:cs="Times New Roman"/>
                <w:b/>
                <w:bCs w:val="0"/>
                <w:color w:val="000000" w:themeColor="text1"/>
                <w:szCs w:val="21"/>
                <w:lang w:val="en-US" w:eastAsia="zh-CN"/>
                <w14:textFill>
                  <w14:solidFill>
                    <w14:schemeClr w14:val="tx1"/>
                  </w14:solidFill>
                </w14:textFill>
              </w:rPr>
              <w:t>结合下表2.5-1中HDPE年用量400吨，注塑件年用量30吨，原料合计用量430吨，因此原料用量合理。</w:t>
            </w:r>
          </w:p>
          <w:p w14:paraId="776547E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2.</w:t>
            </w:r>
            <w:r>
              <w:rPr>
                <w:rFonts w:hint="eastAsia"/>
                <w:b/>
                <w:color w:val="000000" w:themeColor="text1"/>
                <w:szCs w:val="21"/>
                <w14:textFill>
                  <w14:solidFill>
                    <w14:schemeClr w14:val="tx1"/>
                  </w14:solidFill>
                </w14:textFill>
              </w:rPr>
              <w:t>3</w:t>
            </w:r>
            <w:r>
              <w:rPr>
                <w:b/>
                <w:color w:val="000000" w:themeColor="text1"/>
                <w:szCs w:val="21"/>
                <w14:textFill>
                  <w14:solidFill>
                    <w14:schemeClr w14:val="tx1"/>
                  </w14:solidFill>
                </w14:textFill>
              </w:rPr>
              <w:t>工程内容</w:t>
            </w:r>
          </w:p>
          <w:p w14:paraId="763943E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本项目主体工程、</w:t>
            </w:r>
            <w:r>
              <w:rPr>
                <w:rFonts w:hint="eastAsia"/>
                <w:bCs/>
                <w:color w:val="000000" w:themeColor="text1"/>
                <w:szCs w:val="21"/>
                <w14:textFill>
                  <w14:solidFill>
                    <w14:schemeClr w14:val="tx1"/>
                  </w14:solidFill>
                </w14:textFill>
              </w:rPr>
              <w:t>辅助工程、储</w:t>
            </w:r>
            <w:r>
              <w:rPr>
                <w:bCs/>
                <w:color w:val="000000" w:themeColor="text1"/>
                <w:szCs w:val="21"/>
                <w14:textFill>
                  <w14:solidFill>
                    <w14:schemeClr w14:val="tx1"/>
                  </w14:solidFill>
                </w14:textFill>
              </w:rPr>
              <w:t>运工程、公用工程及环保工程见表2.</w:t>
            </w:r>
            <w:r>
              <w:rPr>
                <w:rFonts w:hint="eastAsia"/>
                <w:bCs/>
                <w:color w:val="000000" w:themeColor="text1"/>
                <w:szCs w:val="21"/>
                <w14:textFill>
                  <w14:solidFill>
                    <w14:schemeClr w14:val="tx1"/>
                  </w14:solidFill>
                </w14:textFill>
              </w:rPr>
              <w:t>3</w:t>
            </w:r>
            <w:r>
              <w:rPr>
                <w:bCs/>
                <w:color w:val="000000" w:themeColor="text1"/>
                <w:szCs w:val="21"/>
                <w14:textFill>
                  <w14:solidFill>
                    <w14:schemeClr w14:val="tx1"/>
                  </w14:solidFill>
                </w14:textFill>
              </w:rPr>
              <w:t>-1。</w:t>
            </w:r>
          </w:p>
          <w:p w14:paraId="20A8B957">
            <w:pPr>
              <w:keepNext w:val="0"/>
              <w:keepLines w:val="0"/>
              <w:pageBreakBefore w:val="0"/>
              <w:widowControl w:val="0"/>
              <w:suppressAutoHyphens/>
              <w:kinsoku/>
              <w:wordWrap/>
              <w:overflowPunct/>
              <w:topLinePunct w:val="0"/>
              <w:autoSpaceDE/>
              <w:autoSpaceDN/>
              <w:bidi w:val="0"/>
              <w:adjustRightInd/>
              <w:snapToGrid/>
              <w:spacing w:line="240" w:lineRule="auto"/>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表2.</w:t>
            </w:r>
            <w:r>
              <w:rPr>
                <w:rFonts w:hint="eastAsia"/>
                <w:b/>
                <w:bCs/>
                <w:color w:val="000000" w:themeColor="text1"/>
                <w:szCs w:val="21"/>
                <w14:textFill>
                  <w14:solidFill>
                    <w14:schemeClr w14:val="tx1"/>
                  </w14:solidFill>
                </w14:textFill>
              </w:rPr>
              <w:t>3</w:t>
            </w:r>
            <w:r>
              <w:rPr>
                <w:b/>
                <w:bCs/>
                <w:color w:val="000000" w:themeColor="text1"/>
                <w:szCs w:val="21"/>
                <w14:textFill>
                  <w14:solidFill>
                    <w14:schemeClr w14:val="tx1"/>
                  </w14:solidFill>
                </w14:textFill>
              </w:rPr>
              <w:t>-1  本</w:t>
            </w:r>
            <w:r>
              <w:rPr>
                <w:rFonts w:hint="eastAsia"/>
                <w:b/>
                <w:bCs/>
                <w:color w:val="000000" w:themeColor="text1"/>
                <w:szCs w:val="21"/>
                <w14:textFill>
                  <w14:solidFill>
                    <w14:schemeClr w14:val="tx1"/>
                  </w14:solidFill>
                </w14:textFill>
              </w:rPr>
              <w:t>项目</w:t>
            </w:r>
            <w:r>
              <w:rPr>
                <w:b/>
                <w:bCs/>
                <w:color w:val="000000" w:themeColor="text1"/>
                <w:szCs w:val="21"/>
                <w14:textFill>
                  <w14:solidFill>
                    <w14:schemeClr w14:val="tx1"/>
                  </w14:solidFill>
                </w14:textFill>
              </w:rPr>
              <w:t>工程内容一览表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678"/>
              <w:gridCol w:w="2064"/>
              <w:gridCol w:w="2863"/>
              <w:gridCol w:w="1852"/>
            </w:tblGrid>
            <w:tr w14:paraId="2D551D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noWrap w:val="0"/>
                  <w:vAlign w:val="center"/>
                </w:tcPr>
                <w:p w14:paraId="0E50A2A5">
                  <w:pPr>
                    <w:spacing w:line="240" w:lineRule="auto"/>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分类</w:t>
                  </w:r>
                </w:p>
              </w:tc>
              <w:tc>
                <w:tcPr>
                  <w:tcW w:w="1695" w:type="pct"/>
                  <w:gridSpan w:val="2"/>
                  <w:noWrap w:val="0"/>
                  <w:vAlign w:val="center"/>
                </w:tcPr>
                <w:p w14:paraId="7A92E039">
                  <w:pPr>
                    <w:spacing w:line="240" w:lineRule="auto"/>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建设名称</w:t>
                  </w:r>
                </w:p>
              </w:tc>
              <w:tc>
                <w:tcPr>
                  <w:tcW w:w="1770" w:type="pct"/>
                  <w:noWrap w:val="0"/>
                  <w:vAlign w:val="center"/>
                </w:tcPr>
                <w:p w14:paraId="6045B4DF">
                  <w:pPr>
                    <w:spacing w:line="240" w:lineRule="auto"/>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设计能力</w:t>
                  </w:r>
                </w:p>
              </w:tc>
              <w:tc>
                <w:tcPr>
                  <w:tcW w:w="1145" w:type="pct"/>
                  <w:noWrap w:val="0"/>
                  <w:vAlign w:val="center"/>
                </w:tcPr>
                <w:p w14:paraId="5D021A80">
                  <w:pPr>
                    <w:spacing w:line="240" w:lineRule="auto"/>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备  注</w:t>
                  </w:r>
                </w:p>
              </w:tc>
            </w:tr>
            <w:tr w14:paraId="7D81CC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388" w:type="pct"/>
                  <w:noWrap w:val="0"/>
                  <w:vAlign w:val="center"/>
                </w:tcPr>
                <w:p w14:paraId="38488432">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主体工程</w:t>
                  </w:r>
                </w:p>
              </w:tc>
              <w:tc>
                <w:tcPr>
                  <w:tcW w:w="1695" w:type="pct"/>
                  <w:gridSpan w:val="2"/>
                  <w:noWrap w:val="0"/>
                  <w:vAlign w:val="center"/>
                </w:tcPr>
                <w:p w14:paraId="67AB9AE4">
                  <w:pPr>
                    <w:spacing w:line="240" w:lineRule="auto"/>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生产</w:t>
                  </w:r>
                  <w:r>
                    <w:rPr>
                      <w:rFonts w:hint="eastAsia" w:cs="Times New Roman"/>
                      <w:color w:val="000000" w:themeColor="text1"/>
                      <w:szCs w:val="21"/>
                      <w:highlight w:val="none"/>
                      <w:lang w:val="en-US" w:eastAsia="zh-CN"/>
                      <w14:textFill>
                        <w14:solidFill>
                          <w14:schemeClr w14:val="tx1"/>
                        </w14:solidFill>
                      </w14:textFill>
                    </w:rPr>
                    <w:t>厂房（丙类）</w:t>
                  </w:r>
                  <w:r>
                    <w:rPr>
                      <w:color w:val="000000" w:themeColor="text1"/>
                      <w:kern w:val="0"/>
                      <w:szCs w:val="16"/>
                      <w:highlight w:val="none"/>
                      <w14:textFill>
                        <w14:solidFill>
                          <w14:schemeClr w14:val="tx1"/>
                        </w14:solidFill>
                      </w14:textFill>
                    </w:rPr>
                    <w:t>*</w:t>
                  </w:r>
                </w:p>
              </w:tc>
              <w:tc>
                <w:tcPr>
                  <w:tcW w:w="1770" w:type="pct"/>
                  <w:noWrap w:val="0"/>
                  <w:vAlign w:val="center"/>
                </w:tcPr>
                <w:p w14:paraId="28FE7B43">
                  <w:pPr>
                    <w:spacing w:line="240" w:lineRule="auto"/>
                    <w:jc w:val="center"/>
                    <w:rPr>
                      <w:rFonts w:hint="eastAsia"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占地</w:t>
                  </w:r>
                  <w:r>
                    <w:rPr>
                      <w:color w:val="000000" w:themeColor="text1"/>
                      <w:szCs w:val="21"/>
                      <w14:textFill>
                        <w14:solidFill>
                          <w14:schemeClr w14:val="tx1"/>
                        </w14:solidFill>
                      </w14:textFill>
                    </w:rPr>
                    <w:t>面</w:t>
                  </w:r>
                  <w:r>
                    <w:rPr>
                      <w:color w:val="000000" w:themeColor="text1"/>
                      <w:szCs w:val="21"/>
                      <w:highlight w:val="none"/>
                      <w14:textFill>
                        <w14:solidFill>
                          <w14:schemeClr w14:val="tx1"/>
                        </w14:solidFill>
                      </w14:textFill>
                    </w:rPr>
                    <w:t>积</w:t>
                  </w:r>
                  <w:r>
                    <w:rPr>
                      <w:rFonts w:hint="eastAsia"/>
                      <w:color w:val="000000" w:themeColor="text1"/>
                      <w:szCs w:val="21"/>
                      <w:highlight w:val="none"/>
                      <w:lang w:val="en-US" w:eastAsia="zh-CN"/>
                      <w14:textFill>
                        <w14:solidFill>
                          <w14:schemeClr w14:val="tx1"/>
                        </w14:solidFill>
                      </w14:textFill>
                    </w:rPr>
                    <w:t>973.64</w:t>
                  </w:r>
                  <w:r>
                    <w:rPr>
                      <w:color w:val="000000" w:themeColor="text1"/>
                      <w:szCs w:val="21"/>
                      <w:highlight w:val="none"/>
                      <w14:textFill>
                        <w14:solidFill>
                          <w14:schemeClr w14:val="tx1"/>
                        </w14:solidFill>
                      </w14:textFill>
                    </w:rPr>
                    <w:t>m</w:t>
                  </w:r>
                  <w:r>
                    <w:rPr>
                      <w:color w:val="000000" w:themeColor="text1"/>
                      <w:szCs w:val="21"/>
                      <w:highlight w:val="none"/>
                      <w:vertAlign w:val="superscript"/>
                      <w14:textFill>
                        <w14:solidFill>
                          <w14:schemeClr w14:val="tx1"/>
                        </w14:solidFill>
                      </w14:textFill>
                    </w:rPr>
                    <w:t>2</w:t>
                  </w:r>
                  <w:r>
                    <w:rPr>
                      <w:rFonts w:hint="eastAsia"/>
                      <w:color w:val="000000" w:themeColor="text1"/>
                      <w:szCs w:val="21"/>
                      <w:vertAlign w:val="baseline"/>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建筑面积</w:t>
                  </w:r>
                  <w:r>
                    <w:rPr>
                      <w:rFonts w:hint="eastAsia" w:cs="Times New Roman"/>
                      <w:color w:val="000000" w:themeColor="text1"/>
                      <w:szCs w:val="21"/>
                      <w:highlight w:val="none"/>
                      <w:vertAlign w:val="baseline"/>
                      <w:lang w:val="en-US" w:eastAsia="zh-CN"/>
                      <w14:textFill>
                        <w14:solidFill>
                          <w14:schemeClr w14:val="tx1"/>
                        </w14:solidFill>
                      </w14:textFill>
                    </w:rPr>
                    <w:t>3526.28</w:t>
                  </w:r>
                  <w:r>
                    <w:rPr>
                      <w:rFonts w:hint="default" w:ascii="Times New Roman" w:hAnsi="Times New Roman" w:cs="Times New Roman"/>
                      <w:color w:val="000000" w:themeColor="text1"/>
                      <w:szCs w:val="21"/>
                      <w:highlight w:val="none"/>
                      <w14:textFill>
                        <w14:solidFill>
                          <w14:schemeClr w14:val="tx1"/>
                        </w14:solidFill>
                      </w14:textFill>
                    </w:rPr>
                    <w:t>m</w:t>
                  </w:r>
                  <w:r>
                    <w:rPr>
                      <w:rFonts w:hint="default" w:ascii="Times New Roman" w:hAnsi="Times New Roman" w:cs="Times New Roman"/>
                      <w:color w:val="000000" w:themeColor="text1"/>
                      <w:szCs w:val="21"/>
                      <w:highlight w:val="none"/>
                      <w:vertAlign w:val="superscript"/>
                      <w14:textFill>
                        <w14:solidFill>
                          <w14:schemeClr w14:val="tx1"/>
                        </w14:solidFill>
                      </w14:textFill>
                    </w:rPr>
                    <w:t>2</w:t>
                  </w:r>
                  <w:r>
                    <w:rPr>
                      <w:rFonts w:hint="eastAsia" w:cs="Times New Roman"/>
                      <w:color w:val="000000" w:themeColor="text1"/>
                      <w:szCs w:val="21"/>
                      <w:highlight w:val="none"/>
                      <w:vertAlign w:val="baseline"/>
                      <w:lang w:eastAsia="zh-CN"/>
                      <w14:textFill>
                        <w14:solidFill>
                          <w14:schemeClr w14:val="tx1"/>
                        </w14:solidFill>
                      </w14:textFill>
                    </w:rPr>
                    <w:t>（</w:t>
                  </w:r>
                  <w:r>
                    <w:rPr>
                      <w:rFonts w:hint="eastAsia" w:cs="Times New Roman"/>
                      <w:color w:val="000000" w:themeColor="text1"/>
                      <w:szCs w:val="21"/>
                      <w:highlight w:val="none"/>
                      <w:vertAlign w:val="baseline"/>
                      <w:lang w:val="en-US" w:eastAsia="zh-CN"/>
                      <w14:textFill>
                        <w14:solidFill>
                          <w14:schemeClr w14:val="tx1"/>
                        </w14:solidFill>
                      </w14:textFill>
                    </w:rPr>
                    <w:t>其中一、二、三层均为973.64</w:t>
                  </w:r>
                  <w:r>
                    <w:rPr>
                      <w:color w:val="000000" w:themeColor="text1"/>
                      <w:szCs w:val="21"/>
                      <w:highlight w:val="none"/>
                      <w14:textFill>
                        <w14:solidFill>
                          <w14:schemeClr w14:val="tx1"/>
                        </w14:solidFill>
                      </w14:textFill>
                    </w:rPr>
                    <w:t>m</w:t>
                  </w:r>
                  <w:r>
                    <w:rPr>
                      <w:color w:val="000000" w:themeColor="text1"/>
                      <w:szCs w:val="21"/>
                      <w:highlight w:val="none"/>
                      <w:vertAlign w:val="superscript"/>
                      <w14:textFill>
                        <w14:solidFill>
                          <w14:schemeClr w14:val="tx1"/>
                        </w14:solidFill>
                      </w14:textFill>
                    </w:rPr>
                    <w:t>2</w:t>
                  </w:r>
                  <w:r>
                    <w:rPr>
                      <w:rFonts w:hint="eastAsia"/>
                      <w:color w:val="000000" w:themeColor="text1"/>
                      <w:szCs w:val="21"/>
                      <w:vertAlign w:val="baseline"/>
                      <w:lang w:eastAsia="zh-CN"/>
                      <w14:textFill>
                        <w14:solidFill>
                          <w14:schemeClr w14:val="tx1"/>
                        </w14:solidFill>
                      </w14:textFill>
                    </w:rPr>
                    <w:t>，</w:t>
                  </w:r>
                  <w:r>
                    <w:rPr>
                      <w:rFonts w:hint="eastAsia"/>
                      <w:color w:val="000000" w:themeColor="text1"/>
                      <w:szCs w:val="21"/>
                      <w:vertAlign w:val="baseline"/>
                      <w:lang w:val="en-US" w:eastAsia="zh-CN"/>
                      <w14:textFill>
                        <w14:solidFill>
                          <w14:schemeClr w14:val="tx1"/>
                        </w14:solidFill>
                      </w14:textFill>
                    </w:rPr>
                    <w:t>四层为605.36</w:t>
                  </w:r>
                  <w:r>
                    <w:rPr>
                      <w:color w:val="000000" w:themeColor="text1"/>
                      <w:szCs w:val="21"/>
                      <w:highlight w:val="none"/>
                      <w14:textFill>
                        <w14:solidFill>
                          <w14:schemeClr w14:val="tx1"/>
                        </w14:solidFill>
                      </w14:textFill>
                    </w:rPr>
                    <w:t>m</w:t>
                  </w:r>
                  <w:r>
                    <w:rPr>
                      <w:color w:val="000000" w:themeColor="text1"/>
                      <w:szCs w:val="21"/>
                      <w:highlight w:val="none"/>
                      <w:vertAlign w:val="superscript"/>
                      <w14:textFill>
                        <w14:solidFill>
                          <w14:schemeClr w14:val="tx1"/>
                        </w14:solidFill>
                      </w14:textFill>
                    </w:rPr>
                    <w:t>2</w:t>
                  </w:r>
                  <w:r>
                    <w:rPr>
                      <w:rFonts w:hint="eastAsia" w:cs="Times New Roman"/>
                      <w:color w:val="000000" w:themeColor="text1"/>
                      <w:szCs w:val="21"/>
                      <w:highlight w:val="none"/>
                      <w:vertAlign w:val="baseline"/>
                      <w:lang w:eastAsia="zh-CN"/>
                      <w14:textFill>
                        <w14:solidFill>
                          <w14:schemeClr w14:val="tx1"/>
                        </w14:solidFill>
                      </w14:textFill>
                    </w:rPr>
                    <w:t>）</w:t>
                  </w:r>
                </w:p>
              </w:tc>
              <w:tc>
                <w:tcPr>
                  <w:tcW w:w="1145" w:type="pct"/>
                  <w:noWrap w:val="0"/>
                  <w:vAlign w:val="center"/>
                </w:tcPr>
                <w:p w14:paraId="45D940D2">
                  <w:pPr>
                    <w:spacing w:line="240" w:lineRule="auto"/>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共4层</w:t>
                  </w:r>
                  <w:r>
                    <w:rPr>
                      <w:rFonts w:hint="eastAsia"/>
                      <w:color w:val="000000" w:themeColor="text1"/>
                      <w:highlight w:val="none"/>
                      <w:lang w:val="en-US" w:eastAsia="zh-CN"/>
                      <w14:textFill>
                        <w14:solidFill>
                          <w14:schemeClr w14:val="tx1"/>
                        </w14:solidFill>
                      </w14:textFill>
                    </w:rPr>
                    <w:t>，厂房高度20米</w:t>
                  </w:r>
                  <w:r>
                    <w:rPr>
                      <w:rFonts w:hint="eastAsia" w:ascii="Times New Roman" w:hAnsi="Times New Roman"/>
                      <w:color w:val="000000" w:themeColor="text1"/>
                      <w:highlight w:val="none"/>
                      <w:lang w:eastAsia="zh-CN"/>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1楼层高</w:t>
                  </w:r>
                  <w:r>
                    <w:rPr>
                      <w:rFonts w:hint="eastAsia"/>
                      <w:color w:val="000000" w:themeColor="text1"/>
                      <w:highlight w:val="none"/>
                      <w:lang w:val="en-US" w:eastAsia="zh-CN"/>
                      <w14:textFill>
                        <w14:solidFill>
                          <w14:schemeClr w14:val="tx1"/>
                        </w14:solidFill>
                      </w14:textFill>
                    </w:rPr>
                    <w:t>8</w:t>
                  </w:r>
                  <w:r>
                    <w:rPr>
                      <w:rFonts w:hint="eastAsia" w:ascii="Times New Roman" w:hAnsi="Times New Roman"/>
                      <w:color w:val="000000" w:themeColor="text1"/>
                      <w:highlight w:val="none"/>
                      <w:lang w:val="en-US" w:eastAsia="zh-CN"/>
                      <w14:textFill>
                        <w14:solidFill>
                          <w14:schemeClr w14:val="tx1"/>
                        </w14:solidFill>
                      </w14:textFill>
                    </w:rPr>
                    <w:t>米：搅拌、吹塑</w:t>
                  </w:r>
                  <w:r>
                    <w:rPr>
                      <w:rFonts w:hint="eastAsia"/>
                      <w:color w:val="000000" w:themeColor="text1"/>
                      <w:highlight w:val="none"/>
                      <w:lang w:val="en-US" w:eastAsia="zh-CN"/>
                      <w14:textFill>
                        <w14:solidFill>
                          <w14:schemeClr w14:val="tx1"/>
                        </w14:solidFill>
                      </w14:textFill>
                    </w:rPr>
                    <w:t>、破碎</w:t>
                  </w:r>
                  <w:r>
                    <w:rPr>
                      <w:rFonts w:hint="eastAsia" w:ascii="Times New Roman" w:hAnsi="Times New Roman"/>
                      <w:color w:val="000000" w:themeColor="text1"/>
                      <w:highlight w:val="none"/>
                      <w:lang w:val="en-US" w:eastAsia="zh-CN"/>
                      <w14:textFill>
                        <w14:solidFill>
                          <w14:schemeClr w14:val="tx1"/>
                        </w14:solidFill>
                      </w14:textFill>
                    </w:rPr>
                    <w:t>区</w:t>
                  </w:r>
                  <w:r>
                    <w:rPr>
                      <w:rFonts w:hint="eastAsia"/>
                      <w:color w:val="000000" w:themeColor="text1"/>
                      <w:highlight w:val="none"/>
                      <w:lang w:val="en-US" w:eastAsia="zh-CN"/>
                      <w14:textFill>
                        <w14:solidFill>
                          <w14:schemeClr w14:val="tx1"/>
                        </w14:solidFill>
                      </w14:textFill>
                    </w:rPr>
                    <w:t>、原辅料仓库</w:t>
                  </w:r>
                  <w:r>
                    <w:rPr>
                      <w:rFonts w:hint="eastAsia" w:ascii="Times New Roman" w:hAnsi="Times New Roman"/>
                      <w:color w:val="000000" w:themeColor="text1"/>
                      <w:highlight w:val="none"/>
                      <w:lang w:eastAsia="zh-CN"/>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2楼层高</w:t>
                  </w:r>
                  <w:r>
                    <w:rPr>
                      <w:rFonts w:hint="eastAsia"/>
                      <w:color w:val="000000" w:themeColor="text1"/>
                      <w:highlight w:val="none"/>
                      <w:lang w:val="en-US" w:eastAsia="zh-CN"/>
                      <w14:textFill>
                        <w14:solidFill>
                          <w14:schemeClr w14:val="tx1"/>
                        </w14:solidFill>
                      </w14:textFill>
                    </w:rPr>
                    <w:t>4</w:t>
                  </w:r>
                  <w:r>
                    <w:rPr>
                      <w:rFonts w:hint="eastAsia" w:ascii="Times New Roman" w:hAnsi="Times New Roman"/>
                      <w:color w:val="000000" w:themeColor="text1"/>
                      <w:highlight w:val="none"/>
                      <w:lang w:val="en-US" w:eastAsia="zh-CN"/>
                      <w14:textFill>
                        <w14:solidFill>
                          <w14:schemeClr w14:val="tx1"/>
                        </w14:solidFill>
                      </w14:textFill>
                    </w:rPr>
                    <w:t>米：机加工区</w:t>
                  </w:r>
                  <w:r>
                    <w:rPr>
                      <w:rFonts w:hint="eastAsia"/>
                      <w:color w:val="000000" w:themeColor="text1"/>
                      <w:highlight w:val="none"/>
                      <w:lang w:val="en-US" w:eastAsia="zh-CN"/>
                      <w14:textFill>
                        <w14:solidFill>
                          <w14:schemeClr w14:val="tx1"/>
                        </w14:solidFill>
                      </w14:textFill>
                    </w:rPr>
                    <w:t>、修边检验区</w:t>
                  </w:r>
                  <w:r>
                    <w:rPr>
                      <w:rFonts w:hint="eastAsia" w:ascii="Times New Roman" w:hAnsi="Times New Roman"/>
                      <w:color w:val="000000" w:themeColor="text1"/>
                      <w:highlight w:val="none"/>
                      <w:lang w:val="en-US" w:eastAsia="zh-CN"/>
                      <w14:textFill>
                        <w14:solidFill>
                          <w14:schemeClr w14:val="tx1"/>
                        </w14:solidFill>
                      </w14:textFill>
                    </w:rPr>
                    <w:t>、印刷烘干区</w:t>
                  </w:r>
                  <w:r>
                    <w:rPr>
                      <w:rFonts w:hint="eastAsia"/>
                      <w:color w:val="000000" w:themeColor="text1"/>
                      <w:highlight w:val="none"/>
                      <w:lang w:val="en-US" w:eastAsia="zh-CN"/>
                      <w14:textFill>
                        <w14:solidFill>
                          <w14:schemeClr w14:val="tx1"/>
                        </w14:solidFill>
                      </w14:textFill>
                    </w:rPr>
                    <w:t>、检验区、化学品库</w:t>
                  </w:r>
                  <w:r>
                    <w:rPr>
                      <w:rFonts w:hint="eastAsia" w:ascii="Times New Roman" w:hAnsi="Times New Roman"/>
                      <w:color w:val="000000" w:themeColor="text1"/>
                      <w:highlight w:val="none"/>
                      <w:lang w:val="en-US" w:eastAsia="zh-CN"/>
                      <w14:textFill>
                        <w14:solidFill>
                          <w14:schemeClr w14:val="tx1"/>
                        </w14:solidFill>
                      </w14:textFill>
                    </w:rPr>
                    <w:t>；3楼层高</w:t>
                  </w:r>
                  <w:r>
                    <w:rPr>
                      <w:rFonts w:hint="eastAsia"/>
                      <w:color w:val="000000" w:themeColor="text1"/>
                      <w:highlight w:val="none"/>
                      <w:lang w:val="en-US" w:eastAsia="zh-CN"/>
                      <w14:textFill>
                        <w14:solidFill>
                          <w14:schemeClr w14:val="tx1"/>
                        </w14:solidFill>
                      </w14:textFill>
                    </w:rPr>
                    <w:t>5</w:t>
                  </w:r>
                  <w:r>
                    <w:rPr>
                      <w:rFonts w:hint="eastAsia" w:ascii="Times New Roman" w:hAnsi="Times New Roman"/>
                      <w:color w:val="000000" w:themeColor="text1"/>
                      <w:highlight w:val="none"/>
                      <w:lang w:val="en-US" w:eastAsia="zh-CN"/>
                      <w14:textFill>
                        <w14:solidFill>
                          <w14:schemeClr w14:val="tx1"/>
                        </w14:solidFill>
                      </w14:textFill>
                    </w:rPr>
                    <w:t>米：成品仓库</w:t>
                  </w:r>
                  <w:r>
                    <w:rPr>
                      <w:rFonts w:hint="eastAsia"/>
                      <w:color w:val="000000" w:themeColor="text1"/>
                      <w:kern w:val="0"/>
                      <w:szCs w:val="16"/>
                      <w:highlight w:val="none"/>
                      <w:lang w:val="en-US" w:eastAsia="zh-CN"/>
                      <w14:textFill>
                        <w14:solidFill>
                          <w14:schemeClr w14:val="tx1"/>
                        </w14:solidFill>
                      </w14:textFill>
                    </w:rPr>
                    <w:t>；</w:t>
                  </w:r>
                  <w:r>
                    <w:rPr>
                      <w:rFonts w:hint="default" w:ascii="Times New Roman" w:hAnsi="Times New Roman" w:cs="Times New Roman"/>
                      <w:color w:val="000000" w:themeColor="text1"/>
                      <w:kern w:val="0"/>
                      <w:szCs w:val="16"/>
                      <w:highlight w:val="none"/>
                      <w:lang w:val="en-US" w:eastAsia="zh-CN"/>
                      <w14:textFill>
                        <w14:solidFill>
                          <w14:schemeClr w14:val="tx1"/>
                        </w14:solidFill>
                      </w14:textFill>
                    </w:rPr>
                    <w:t>4</w:t>
                  </w:r>
                  <w:r>
                    <w:rPr>
                      <w:rFonts w:hint="eastAsia" w:ascii="Times New Roman" w:hAnsi="Times New Roman"/>
                      <w:color w:val="000000" w:themeColor="text1"/>
                      <w:highlight w:val="none"/>
                      <w:lang w:val="en-US" w:eastAsia="zh-CN"/>
                      <w14:textFill>
                        <w14:solidFill>
                          <w14:schemeClr w14:val="tx1"/>
                        </w14:solidFill>
                      </w14:textFill>
                    </w:rPr>
                    <w:t>楼层高4米</w:t>
                  </w:r>
                  <w:r>
                    <w:rPr>
                      <w:rFonts w:hint="eastAsia"/>
                      <w:color w:val="000000" w:themeColor="text1"/>
                      <w:kern w:val="0"/>
                      <w:szCs w:val="16"/>
                      <w:highlight w:val="none"/>
                      <w:lang w:val="en-US" w:eastAsia="zh-CN"/>
                      <w14:textFill>
                        <w14:solidFill>
                          <w14:schemeClr w14:val="tx1"/>
                        </w14:solidFill>
                      </w14:textFill>
                    </w:rPr>
                    <w:t>：办公区</w:t>
                  </w:r>
                </w:p>
              </w:tc>
            </w:tr>
            <w:tr w14:paraId="6F01AF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8" w:type="pct"/>
                  <w:vMerge w:val="restart"/>
                  <w:noWrap w:val="0"/>
                  <w:vAlign w:val="center"/>
                </w:tcPr>
                <w:p w14:paraId="426C59F4">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辅助工程</w:t>
                  </w:r>
                </w:p>
              </w:tc>
              <w:tc>
                <w:tcPr>
                  <w:tcW w:w="1695" w:type="pct"/>
                  <w:gridSpan w:val="2"/>
                  <w:noWrap w:val="0"/>
                  <w:vAlign w:val="center"/>
                </w:tcPr>
                <w:p w14:paraId="0228B9A2">
                  <w:pPr>
                    <w:spacing w:line="240" w:lineRule="auto"/>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办公</w:t>
                  </w:r>
                  <w:r>
                    <w:rPr>
                      <w:rFonts w:hint="eastAsia" w:ascii="Times New Roman" w:hAnsi="Times New Roman" w:cs="Times New Roman"/>
                      <w:color w:val="000000" w:themeColor="text1"/>
                      <w:szCs w:val="21"/>
                      <w:highlight w:val="none"/>
                      <w:lang w:val="en-US" w:eastAsia="zh-CN"/>
                      <w14:textFill>
                        <w14:solidFill>
                          <w14:schemeClr w14:val="tx1"/>
                        </w14:solidFill>
                      </w14:textFill>
                    </w:rPr>
                    <w:t>区</w:t>
                  </w:r>
                </w:p>
              </w:tc>
              <w:tc>
                <w:tcPr>
                  <w:tcW w:w="1770" w:type="pct"/>
                  <w:noWrap w:val="0"/>
                  <w:vAlign w:val="center"/>
                </w:tcPr>
                <w:p w14:paraId="16F3141E">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1"/>
                      <w:highlight w:val="none"/>
                      <w:vertAlign w:val="baseline"/>
                      <w:lang w:val="en-US" w:eastAsia="zh-CN"/>
                      <w14:textFill>
                        <w14:solidFill>
                          <w14:schemeClr w14:val="tx1"/>
                        </w14:solidFill>
                      </w14:textFill>
                    </w:rPr>
                    <w:t>面积</w:t>
                  </w:r>
                  <w:r>
                    <w:rPr>
                      <w:rFonts w:hint="eastAsia"/>
                      <w:color w:val="000000" w:themeColor="text1"/>
                      <w:szCs w:val="21"/>
                      <w:vertAlign w:val="baseline"/>
                      <w:lang w:val="en-US" w:eastAsia="zh-CN"/>
                      <w14:textFill>
                        <w14:solidFill>
                          <w14:schemeClr w14:val="tx1"/>
                        </w14:solidFill>
                      </w14:textFill>
                    </w:rPr>
                    <w:t>605.36</w:t>
                  </w:r>
                  <w:r>
                    <w:rPr>
                      <w:rFonts w:hint="default" w:ascii="Times New Roman" w:hAnsi="Times New Roman" w:cs="Times New Roman"/>
                      <w:color w:val="000000" w:themeColor="text1"/>
                      <w:szCs w:val="21"/>
                      <w:highlight w:val="none"/>
                      <w14:textFill>
                        <w14:solidFill>
                          <w14:schemeClr w14:val="tx1"/>
                        </w14:solidFill>
                      </w14:textFill>
                    </w:rPr>
                    <w:t>m</w:t>
                  </w:r>
                  <w:r>
                    <w:rPr>
                      <w:rFonts w:hint="default" w:ascii="Times New Roman" w:hAnsi="Times New Roman" w:cs="Times New Roman"/>
                      <w:color w:val="000000" w:themeColor="text1"/>
                      <w:szCs w:val="21"/>
                      <w:highlight w:val="none"/>
                      <w:vertAlign w:val="superscript"/>
                      <w14:textFill>
                        <w14:solidFill>
                          <w14:schemeClr w14:val="tx1"/>
                        </w14:solidFill>
                      </w14:textFill>
                    </w:rPr>
                    <w:t>2</w:t>
                  </w:r>
                </w:p>
              </w:tc>
              <w:tc>
                <w:tcPr>
                  <w:tcW w:w="1145" w:type="pct"/>
                  <w:noWrap w:val="0"/>
                  <w:vAlign w:val="center"/>
                </w:tcPr>
                <w:p w14:paraId="32BE730E">
                  <w:pPr>
                    <w:spacing w:line="240" w:lineRule="auto"/>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位于</w:t>
                  </w:r>
                  <w:r>
                    <w:rPr>
                      <w:rFonts w:hint="eastAsia" w:ascii="Times New Roman" w:hAnsi="Times New Roman" w:cs="Times New Roman"/>
                      <w:color w:val="000000" w:themeColor="text1"/>
                      <w:szCs w:val="21"/>
                      <w:highlight w:val="none"/>
                      <w:lang w:val="en-US" w:eastAsia="zh-CN"/>
                      <w14:textFill>
                        <w14:solidFill>
                          <w14:schemeClr w14:val="tx1"/>
                        </w14:solidFill>
                      </w14:textFill>
                    </w:rPr>
                    <w:t>生产</w:t>
                  </w:r>
                  <w:r>
                    <w:rPr>
                      <w:rFonts w:hint="eastAsia" w:cs="Times New Roman"/>
                      <w:color w:val="000000" w:themeColor="text1"/>
                      <w:szCs w:val="21"/>
                      <w:highlight w:val="none"/>
                      <w:lang w:val="en-US" w:eastAsia="zh-CN"/>
                      <w14:textFill>
                        <w14:solidFill>
                          <w14:schemeClr w14:val="tx1"/>
                        </w14:solidFill>
                      </w14:textFill>
                    </w:rPr>
                    <w:t>厂房4楼</w:t>
                  </w:r>
                </w:p>
              </w:tc>
            </w:tr>
            <w:tr w14:paraId="13CCDD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8" w:type="pct"/>
                  <w:vMerge w:val="continue"/>
                  <w:noWrap w:val="0"/>
                  <w:vAlign w:val="center"/>
                </w:tcPr>
                <w:p w14:paraId="3716C695">
                  <w:pPr>
                    <w:spacing w:line="240" w:lineRule="auto"/>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p>
              </w:tc>
              <w:tc>
                <w:tcPr>
                  <w:tcW w:w="1695" w:type="pct"/>
                  <w:gridSpan w:val="2"/>
                  <w:noWrap w:val="0"/>
                  <w:vAlign w:val="center"/>
                </w:tcPr>
                <w:p w14:paraId="5182CCCB">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空压机</w:t>
                  </w:r>
                </w:p>
              </w:tc>
              <w:tc>
                <w:tcPr>
                  <w:tcW w:w="1770" w:type="pct"/>
                  <w:noWrap w:val="0"/>
                  <w:vAlign w:val="center"/>
                </w:tcPr>
                <w:p w14:paraId="16D61884">
                  <w:pPr>
                    <w:spacing w:line="240" w:lineRule="auto"/>
                    <w:jc w:val="center"/>
                    <w:rPr>
                      <w:rFonts w:hint="default" w:ascii="Times New Roman" w:hAnsi="Times New Roman" w:cs="Times New Roman"/>
                      <w:color w:val="000000" w:themeColor="text1"/>
                      <w:szCs w:val="21"/>
                      <w:highlight w:val="none"/>
                      <w:vertAlign w:val="baseline"/>
                      <w:lang w:val="en-US" w:eastAsia="zh-CN"/>
                      <w14:textFill>
                        <w14:solidFill>
                          <w14:schemeClr w14:val="tx1"/>
                        </w14:solidFill>
                      </w14:textFill>
                    </w:rPr>
                  </w:pPr>
                  <w:r>
                    <w:rPr>
                      <w:rFonts w:hint="eastAsia" w:cs="Times New Roman"/>
                      <w:color w:val="000000" w:themeColor="text1"/>
                      <w:szCs w:val="21"/>
                      <w:highlight w:val="none"/>
                      <w:vertAlign w:val="baseline"/>
                      <w:lang w:val="en-US" w:eastAsia="zh-CN"/>
                      <w14:textFill>
                        <w14:solidFill>
                          <w14:schemeClr w14:val="tx1"/>
                        </w14:solidFill>
                      </w14:textFill>
                    </w:rPr>
                    <w:t>2台</w:t>
                  </w:r>
                </w:p>
              </w:tc>
              <w:tc>
                <w:tcPr>
                  <w:tcW w:w="1145" w:type="pct"/>
                  <w:vMerge w:val="restart"/>
                  <w:noWrap w:val="0"/>
                  <w:vAlign w:val="center"/>
                </w:tcPr>
                <w:p w14:paraId="0CC51173">
                  <w:pPr>
                    <w:spacing w:line="240" w:lineRule="auto"/>
                    <w:jc w:val="center"/>
                    <w:rPr>
                      <w:rFonts w:hint="default"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位于厂房外南侧</w:t>
                  </w:r>
                </w:p>
              </w:tc>
            </w:tr>
            <w:tr w14:paraId="7450BD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8" w:type="pct"/>
                  <w:vMerge w:val="continue"/>
                  <w:noWrap w:val="0"/>
                  <w:vAlign w:val="center"/>
                </w:tcPr>
                <w:p w14:paraId="11CCAB18">
                  <w:pPr>
                    <w:spacing w:line="240" w:lineRule="auto"/>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p>
              </w:tc>
              <w:tc>
                <w:tcPr>
                  <w:tcW w:w="1695" w:type="pct"/>
                  <w:gridSpan w:val="2"/>
                  <w:noWrap w:val="0"/>
                  <w:vAlign w:val="center"/>
                </w:tcPr>
                <w:p w14:paraId="3138FFD8">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冷却塔</w:t>
                  </w:r>
                </w:p>
              </w:tc>
              <w:tc>
                <w:tcPr>
                  <w:tcW w:w="1770" w:type="pct"/>
                  <w:noWrap w:val="0"/>
                  <w:vAlign w:val="center"/>
                </w:tcPr>
                <w:p w14:paraId="4E410998">
                  <w:pPr>
                    <w:spacing w:line="240" w:lineRule="auto"/>
                    <w:jc w:val="center"/>
                    <w:rPr>
                      <w:rFonts w:hint="default" w:ascii="Times New Roman" w:hAnsi="Times New Roman" w:cs="Times New Roman"/>
                      <w:color w:val="000000" w:themeColor="text1"/>
                      <w:szCs w:val="21"/>
                      <w:highlight w:val="none"/>
                      <w:vertAlign w:val="baseline"/>
                      <w:lang w:val="en-US" w:eastAsia="zh-CN"/>
                      <w14:textFill>
                        <w14:solidFill>
                          <w14:schemeClr w14:val="tx1"/>
                        </w14:solidFill>
                      </w14:textFill>
                    </w:rPr>
                  </w:pPr>
                  <w:r>
                    <w:rPr>
                      <w:rFonts w:hint="eastAsia" w:cs="Times New Roman"/>
                      <w:color w:val="000000" w:themeColor="text1"/>
                      <w:szCs w:val="21"/>
                      <w:highlight w:val="none"/>
                      <w:vertAlign w:val="baseline"/>
                      <w:lang w:val="en-US" w:eastAsia="zh-CN"/>
                      <w14:textFill>
                        <w14:solidFill>
                          <w14:schemeClr w14:val="tx1"/>
                        </w14:solidFill>
                      </w14:textFill>
                    </w:rPr>
                    <w:t>1台</w:t>
                  </w:r>
                </w:p>
              </w:tc>
              <w:tc>
                <w:tcPr>
                  <w:tcW w:w="1145" w:type="pct"/>
                  <w:vMerge w:val="continue"/>
                  <w:noWrap w:val="0"/>
                  <w:vAlign w:val="center"/>
                </w:tcPr>
                <w:p w14:paraId="1B636A73">
                  <w:pPr>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p>
              </w:tc>
            </w:tr>
            <w:tr w14:paraId="0356C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8" w:type="pct"/>
                  <w:vMerge w:val="restart"/>
                  <w:noWrap w:val="0"/>
                  <w:vAlign w:val="center"/>
                </w:tcPr>
                <w:p w14:paraId="2E6F6BA6">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贮运</w:t>
                  </w:r>
                </w:p>
                <w:p w14:paraId="3C776764">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工程</w:t>
                  </w:r>
                </w:p>
              </w:tc>
              <w:tc>
                <w:tcPr>
                  <w:tcW w:w="1695" w:type="pct"/>
                  <w:gridSpan w:val="2"/>
                  <w:noWrap w:val="0"/>
                  <w:vAlign w:val="center"/>
                </w:tcPr>
                <w:p w14:paraId="65872921">
                  <w:pPr>
                    <w:spacing w:line="240" w:lineRule="auto"/>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原辅料</w:t>
                  </w:r>
                  <w:r>
                    <w:rPr>
                      <w:rFonts w:hint="eastAsia" w:cs="Times New Roman"/>
                      <w:color w:val="000000" w:themeColor="text1"/>
                      <w:szCs w:val="21"/>
                      <w:highlight w:val="none"/>
                      <w:lang w:val="en-US" w:eastAsia="zh-CN"/>
                      <w14:textFill>
                        <w14:solidFill>
                          <w14:schemeClr w14:val="tx1"/>
                        </w14:solidFill>
                      </w14:textFill>
                    </w:rPr>
                    <w:t>仓库</w:t>
                  </w:r>
                </w:p>
              </w:tc>
              <w:tc>
                <w:tcPr>
                  <w:tcW w:w="1770" w:type="pct"/>
                  <w:noWrap w:val="0"/>
                  <w:vAlign w:val="center"/>
                </w:tcPr>
                <w:p w14:paraId="5C780EF0">
                  <w:pPr>
                    <w:spacing w:line="240" w:lineRule="auto"/>
                    <w:jc w:val="center"/>
                    <w:rPr>
                      <w:rFonts w:hint="eastAsia" w:ascii="Times New Roman" w:hAnsi="Times New Roman" w:cs="Times New Roman"/>
                      <w:color w:val="000000" w:themeColor="text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Cs w:val="21"/>
                      <w:highlight w:val="none"/>
                      <w:vertAlign w:val="baseline"/>
                      <w:lang w:val="en-US" w:eastAsia="zh-CN"/>
                      <w14:textFill>
                        <w14:solidFill>
                          <w14:schemeClr w14:val="tx1"/>
                        </w14:solidFill>
                      </w14:textFill>
                    </w:rPr>
                    <w:t>面积</w:t>
                  </w:r>
                  <w:r>
                    <w:rPr>
                      <w:rFonts w:hint="eastAsia" w:cs="Times New Roman"/>
                      <w:color w:val="000000" w:themeColor="text1"/>
                      <w:szCs w:val="21"/>
                      <w:highlight w:val="none"/>
                      <w:vertAlign w:val="baseline"/>
                      <w:lang w:val="en-US" w:eastAsia="zh-CN"/>
                      <w14:textFill>
                        <w14:solidFill>
                          <w14:schemeClr w14:val="tx1"/>
                        </w14:solidFill>
                      </w14:textFill>
                    </w:rPr>
                    <w:t>70</w:t>
                  </w:r>
                  <w:r>
                    <w:rPr>
                      <w:rFonts w:hint="default" w:ascii="Times New Roman" w:hAnsi="Times New Roman" w:cs="Times New Roman"/>
                      <w:color w:val="000000" w:themeColor="text1"/>
                      <w:szCs w:val="21"/>
                      <w:highlight w:val="none"/>
                      <w14:textFill>
                        <w14:solidFill>
                          <w14:schemeClr w14:val="tx1"/>
                        </w14:solidFill>
                      </w14:textFill>
                    </w:rPr>
                    <w:t>m</w:t>
                  </w:r>
                  <w:r>
                    <w:rPr>
                      <w:rFonts w:hint="default" w:ascii="Times New Roman" w:hAnsi="Times New Roman" w:cs="Times New Roman"/>
                      <w:color w:val="000000" w:themeColor="text1"/>
                      <w:szCs w:val="21"/>
                      <w:highlight w:val="none"/>
                      <w:vertAlign w:val="superscript"/>
                      <w14:textFill>
                        <w14:solidFill>
                          <w14:schemeClr w14:val="tx1"/>
                        </w14:solidFill>
                      </w14:textFill>
                    </w:rPr>
                    <w:t>2</w:t>
                  </w:r>
                </w:p>
              </w:tc>
              <w:tc>
                <w:tcPr>
                  <w:tcW w:w="1145" w:type="pct"/>
                  <w:noWrap w:val="0"/>
                  <w:vAlign w:val="center"/>
                </w:tcPr>
                <w:p w14:paraId="02720B5F">
                  <w:pPr>
                    <w:jc w:val="center"/>
                    <w:rPr>
                      <w:rFonts w:hint="default" w:eastAsia="宋体"/>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位于</w:t>
                  </w:r>
                  <w:r>
                    <w:rPr>
                      <w:rFonts w:hint="eastAsia" w:ascii="Times New Roman" w:hAnsi="Times New Roman" w:cs="Times New Roman"/>
                      <w:color w:val="000000" w:themeColor="text1"/>
                      <w:szCs w:val="21"/>
                      <w:highlight w:val="none"/>
                      <w:lang w:val="en-US" w:eastAsia="zh-CN"/>
                      <w14:textFill>
                        <w14:solidFill>
                          <w14:schemeClr w14:val="tx1"/>
                        </w14:solidFill>
                      </w14:textFill>
                    </w:rPr>
                    <w:t>生产</w:t>
                  </w:r>
                  <w:r>
                    <w:rPr>
                      <w:rFonts w:hint="eastAsia" w:cs="Times New Roman"/>
                      <w:color w:val="000000" w:themeColor="text1"/>
                      <w:szCs w:val="21"/>
                      <w:highlight w:val="none"/>
                      <w:lang w:val="en-US" w:eastAsia="zh-CN"/>
                      <w14:textFill>
                        <w14:solidFill>
                          <w14:schemeClr w14:val="tx1"/>
                        </w14:solidFill>
                      </w14:textFill>
                    </w:rPr>
                    <w:t>厂房1楼西</w:t>
                  </w:r>
                  <w:r>
                    <w:rPr>
                      <w:rFonts w:hint="eastAsia" w:cs="Times New Roman"/>
                      <w:color w:val="000000" w:themeColor="text1"/>
                      <w:kern w:val="2"/>
                      <w:sz w:val="21"/>
                      <w:szCs w:val="21"/>
                      <w:highlight w:val="none"/>
                      <w:lang w:val="en-US" w:eastAsia="zh-CN" w:bidi="ar-SA"/>
                      <w14:textFill>
                        <w14:solidFill>
                          <w14:schemeClr w14:val="tx1"/>
                        </w14:solidFill>
                      </w14:textFill>
                    </w:rPr>
                    <w:t>北侧</w:t>
                  </w:r>
                </w:p>
              </w:tc>
            </w:tr>
            <w:tr w14:paraId="57C84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8" w:type="pct"/>
                  <w:vMerge w:val="continue"/>
                  <w:noWrap w:val="0"/>
                  <w:vAlign w:val="center"/>
                </w:tcPr>
                <w:p w14:paraId="1B0F72EA">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695" w:type="pct"/>
                  <w:gridSpan w:val="2"/>
                  <w:noWrap w:val="0"/>
                  <w:vAlign w:val="center"/>
                </w:tcPr>
                <w:p w14:paraId="49AB8B15">
                  <w:pPr>
                    <w:spacing w:line="240" w:lineRule="auto"/>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化学品库</w:t>
                  </w:r>
                  <w:r>
                    <w:rPr>
                      <w:rFonts w:hint="eastAsia" w:cs="Times New Roman"/>
                      <w:color w:val="000000" w:themeColor="text1"/>
                      <w:sz w:val="21"/>
                      <w:szCs w:val="21"/>
                      <w:highlight w:val="none"/>
                      <w:lang w:val="en-US" w:eastAsia="zh-CN"/>
                      <w14:textFill>
                        <w14:solidFill>
                          <w14:schemeClr w14:val="tx1"/>
                        </w14:solidFill>
                      </w14:textFill>
                    </w:rPr>
                    <w:t>（配备防爆柜）</w:t>
                  </w:r>
                </w:p>
              </w:tc>
              <w:tc>
                <w:tcPr>
                  <w:tcW w:w="1770" w:type="pct"/>
                  <w:noWrap w:val="0"/>
                  <w:vAlign w:val="center"/>
                </w:tcPr>
                <w:p w14:paraId="5937E626">
                  <w:pPr>
                    <w:spacing w:line="240" w:lineRule="auto"/>
                    <w:jc w:val="center"/>
                    <w:rPr>
                      <w:rFonts w:hint="default" w:ascii="Times New Roman" w:hAnsi="Times New Roman" w:cs="Times New Roman"/>
                      <w:color w:val="000000" w:themeColor="text1"/>
                      <w:szCs w:val="21"/>
                      <w:highlight w:val="none"/>
                      <w:vertAlign w:val="baseline"/>
                      <w:lang w:val="en-US" w:eastAsia="zh-CN"/>
                      <w14:textFill>
                        <w14:solidFill>
                          <w14:schemeClr w14:val="tx1"/>
                        </w14:solidFill>
                      </w14:textFill>
                    </w:rPr>
                  </w:pPr>
                  <w:r>
                    <w:rPr>
                      <w:rFonts w:hint="eastAsia" w:cs="Times New Roman"/>
                      <w:color w:val="000000" w:themeColor="text1"/>
                      <w:szCs w:val="21"/>
                      <w:highlight w:val="none"/>
                      <w:vertAlign w:val="baseline"/>
                      <w:lang w:val="en-US" w:eastAsia="zh-CN"/>
                      <w14:textFill>
                        <w14:solidFill>
                          <w14:schemeClr w14:val="tx1"/>
                        </w14:solidFill>
                      </w14:textFill>
                    </w:rPr>
                    <w:t>20</w:t>
                  </w:r>
                  <w:r>
                    <w:rPr>
                      <w:rFonts w:hint="default" w:ascii="Times New Roman" w:hAnsi="Times New Roman" w:cs="Times New Roman"/>
                      <w:color w:val="000000" w:themeColor="text1"/>
                      <w:szCs w:val="21"/>
                      <w:highlight w:val="none"/>
                      <w14:textFill>
                        <w14:solidFill>
                          <w14:schemeClr w14:val="tx1"/>
                        </w14:solidFill>
                      </w14:textFill>
                    </w:rPr>
                    <w:t>m</w:t>
                  </w:r>
                  <w:r>
                    <w:rPr>
                      <w:rFonts w:hint="default" w:ascii="Times New Roman" w:hAnsi="Times New Roman" w:cs="Times New Roman"/>
                      <w:color w:val="000000" w:themeColor="text1"/>
                      <w:szCs w:val="21"/>
                      <w:highlight w:val="none"/>
                      <w:vertAlign w:val="superscript"/>
                      <w14:textFill>
                        <w14:solidFill>
                          <w14:schemeClr w14:val="tx1"/>
                        </w14:solidFill>
                      </w14:textFill>
                    </w:rPr>
                    <w:t>2</w:t>
                  </w:r>
                </w:p>
              </w:tc>
              <w:tc>
                <w:tcPr>
                  <w:tcW w:w="1145" w:type="pct"/>
                  <w:noWrap w:val="0"/>
                  <w:vAlign w:val="center"/>
                </w:tcPr>
                <w:p w14:paraId="5910335D">
                  <w:pPr>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位于</w:t>
                  </w:r>
                  <w:r>
                    <w:rPr>
                      <w:rFonts w:hint="eastAsia" w:ascii="Times New Roman" w:hAnsi="Times New Roman" w:cs="Times New Roman"/>
                      <w:color w:val="000000" w:themeColor="text1"/>
                      <w:szCs w:val="21"/>
                      <w:highlight w:val="none"/>
                      <w:lang w:val="en-US" w:eastAsia="zh-CN"/>
                      <w14:textFill>
                        <w14:solidFill>
                          <w14:schemeClr w14:val="tx1"/>
                        </w14:solidFill>
                      </w14:textFill>
                    </w:rPr>
                    <w:t>生产</w:t>
                  </w:r>
                  <w:r>
                    <w:rPr>
                      <w:rFonts w:hint="eastAsia" w:cs="Times New Roman"/>
                      <w:color w:val="000000" w:themeColor="text1"/>
                      <w:szCs w:val="21"/>
                      <w:highlight w:val="none"/>
                      <w:lang w:val="en-US" w:eastAsia="zh-CN"/>
                      <w14:textFill>
                        <w14:solidFill>
                          <w14:schemeClr w14:val="tx1"/>
                        </w14:solidFill>
                      </w14:textFill>
                    </w:rPr>
                    <w:t>厂房2楼西</w:t>
                  </w:r>
                  <w:r>
                    <w:rPr>
                      <w:rFonts w:hint="eastAsia" w:cs="Times New Roman"/>
                      <w:color w:val="000000" w:themeColor="text1"/>
                      <w:kern w:val="2"/>
                      <w:sz w:val="21"/>
                      <w:szCs w:val="21"/>
                      <w:highlight w:val="none"/>
                      <w:lang w:val="en-US" w:eastAsia="zh-CN" w:bidi="ar-SA"/>
                      <w14:textFill>
                        <w14:solidFill>
                          <w14:schemeClr w14:val="tx1"/>
                        </w14:solidFill>
                      </w14:textFill>
                    </w:rPr>
                    <w:t>北侧</w:t>
                  </w:r>
                </w:p>
              </w:tc>
            </w:tr>
            <w:tr w14:paraId="41605C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8" w:type="pct"/>
                  <w:vMerge w:val="continue"/>
                  <w:noWrap w:val="0"/>
                  <w:vAlign w:val="center"/>
                </w:tcPr>
                <w:p w14:paraId="27820499">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695" w:type="pct"/>
                  <w:gridSpan w:val="2"/>
                  <w:noWrap w:val="0"/>
                  <w:vAlign w:val="center"/>
                </w:tcPr>
                <w:p w14:paraId="122B8083">
                  <w:pPr>
                    <w:jc w:val="center"/>
                    <w:rPr>
                      <w:rFonts w:hint="default" w:ascii="Times New Roman" w:hAnsi="Times New Roman" w:cs="Times New Roman"/>
                      <w:color w:val="000000" w:themeColor="text1"/>
                      <w:szCs w:val="21"/>
                      <w:highlight w:val="none"/>
                      <w:lang w:val="en-US"/>
                      <w14:textFill>
                        <w14:solidFill>
                          <w14:schemeClr w14:val="tx1"/>
                        </w14:solidFill>
                      </w14:textFill>
                    </w:rPr>
                  </w:pPr>
                  <w:r>
                    <w:rPr>
                      <w:color w:val="000000" w:themeColor="text1"/>
                      <w:szCs w:val="21"/>
                      <w:highlight w:val="none"/>
                      <w14:textFill>
                        <w14:solidFill>
                          <w14:schemeClr w14:val="tx1"/>
                        </w14:solidFill>
                      </w14:textFill>
                    </w:rPr>
                    <w:t>成品</w:t>
                  </w:r>
                  <w:r>
                    <w:rPr>
                      <w:rFonts w:hint="eastAsia" w:cs="Times New Roman"/>
                      <w:color w:val="000000" w:themeColor="text1"/>
                      <w:szCs w:val="21"/>
                      <w:highlight w:val="none"/>
                      <w:lang w:val="en-US" w:eastAsia="zh-CN"/>
                      <w14:textFill>
                        <w14:solidFill>
                          <w14:schemeClr w14:val="tx1"/>
                        </w14:solidFill>
                      </w14:textFill>
                    </w:rPr>
                    <w:t>仓库</w:t>
                  </w:r>
                </w:p>
              </w:tc>
              <w:tc>
                <w:tcPr>
                  <w:tcW w:w="1770" w:type="pct"/>
                  <w:noWrap w:val="0"/>
                  <w:vAlign w:val="center"/>
                </w:tcPr>
                <w:p w14:paraId="373855FB">
                  <w:pPr>
                    <w:spacing w:line="240" w:lineRule="auto"/>
                    <w:jc w:val="center"/>
                    <w:rPr>
                      <w:rFonts w:hint="default" w:ascii="Times New Roman" w:hAnsi="Times New Roman" w:cs="Times New Roman"/>
                      <w:color w:val="000000" w:themeColor="text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Cs w:val="21"/>
                      <w:highlight w:val="none"/>
                      <w:vertAlign w:val="baseline"/>
                      <w:lang w:val="en-US" w:eastAsia="zh-CN"/>
                      <w14:textFill>
                        <w14:solidFill>
                          <w14:schemeClr w14:val="tx1"/>
                        </w14:solidFill>
                      </w14:textFill>
                    </w:rPr>
                    <w:t>面积</w:t>
                  </w:r>
                  <w:r>
                    <w:rPr>
                      <w:rFonts w:hint="eastAsia" w:cs="Times New Roman"/>
                      <w:color w:val="000000" w:themeColor="text1"/>
                      <w:sz w:val="21"/>
                      <w:szCs w:val="21"/>
                      <w:highlight w:val="none"/>
                      <w:lang w:val="en-US" w:eastAsia="zh-CN"/>
                      <w14:textFill>
                        <w14:solidFill>
                          <w14:schemeClr w14:val="tx1"/>
                        </w14:solidFill>
                      </w14:textFill>
                    </w:rPr>
                    <w:t>485</w:t>
                  </w:r>
                  <w:r>
                    <w:rPr>
                      <w:rFonts w:hint="default" w:ascii="Times New Roman" w:hAnsi="Times New Roman" w:cs="Times New Roman"/>
                      <w:color w:val="000000" w:themeColor="text1"/>
                      <w:szCs w:val="21"/>
                      <w:highlight w:val="none"/>
                      <w14:textFill>
                        <w14:solidFill>
                          <w14:schemeClr w14:val="tx1"/>
                        </w14:solidFill>
                      </w14:textFill>
                    </w:rPr>
                    <w:t>m</w:t>
                  </w:r>
                  <w:r>
                    <w:rPr>
                      <w:rFonts w:hint="default" w:ascii="Times New Roman" w:hAnsi="Times New Roman" w:cs="Times New Roman"/>
                      <w:color w:val="000000" w:themeColor="text1"/>
                      <w:szCs w:val="21"/>
                      <w:highlight w:val="none"/>
                      <w:vertAlign w:val="superscript"/>
                      <w14:textFill>
                        <w14:solidFill>
                          <w14:schemeClr w14:val="tx1"/>
                        </w14:solidFill>
                      </w14:textFill>
                    </w:rPr>
                    <w:t>2</w:t>
                  </w:r>
                </w:p>
              </w:tc>
              <w:tc>
                <w:tcPr>
                  <w:tcW w:w="1145" w:type="pct"/>
                  <w:noWrap w:val="0"/>
                  <w:vAlign w:val="center"/>
                </w:tcPr>
                <w:p w14:paraId="40528461">
                  <w:pPr>
                    <w:jc w:val="center"/>
                    <w:rPr>
                      <w:rFonts w:hint="default" w:eastAsia="宋体"/>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位于</w:t>
                  </w:r>
                  <w:r>
                    <w:rPr>
                      <w:rFonts w:hint="eastAsia" w:ascii="Times New Roman" w:hAnsi="Times New Roman" w:cs="Times New Roman"/>
                      <w:color w:val="000000" w:themeColor="text1"/>
                      <w:szCs w:val="21"/>
                      <w:highlight w:val="none"/>
                      <w:lang w:val="en-US" w:eastAsia="zh-CN"/>
                      <w14:textFill>
                        <w14:solidFill>
                          <w14:schemeClr w14:val="tx1"/>
                        </w14:solidFill>
                      </w14:textFill>
                    </w:rPr>
                    <w:t>生产</w:t>
                  </w:r>
                  <w:r>
                    <w:rPr>
                      <w:rFonts w:hint="eastAsia" w:cs="Times New Roman"/>
                      <w:color w:val="000000" w:themeColor="text1"/>
                      <w:szCs w:val="21"/>
                      <w:highlight w:val="none"/>
                      <w:lang w:val="en-US" w:eastAsia="zh-CN"/>
                      <w14:textFill>
                        <w14:solidFill>
                          <w14:schemeClr w14:val="tx1"/>
                        </w14:solidFill>
                      </w14:textFill>
                    </w:rPr>
                    <w:t>厂房3楼</w:t>
                  </w:r>
                  <w:r>
                    <w:rPr>
                      <w:rFonts w:hint="eastAsia" w:cs="Times New Roman"/>
                      <w:color w:val="000000" w:themeColor="text1"/>
                      <w:kern w:val="2"/>
                      <w:sz w:val="21"/>
                      <w:szCs w:val="21"/>
                      <w:highlight w:val="none"/>
                      <w:lang w:val="en-US" w:eastAsia="zh-CN" w:bidi="ar-SA"/>
                      <w14:textFill>
                        <w14:solidFill>
                          <w14:schemeClr w14:val="tx1"/>
                        </w14:solidFill>
                      </w14:textFill>
                    </w:rPr>
                    <w:t>东侧</w:t>
                  </w:r>
                </w:p>
              </w:tc>
            </w:tr>
            <w:tr w14:paraId="1216E3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8" w:type="pct"/>
                  <w:vMerge w:val="restart"/>
                  <w:noWrap w:val="0"/>
                  <w:vAlign w:val="center"/>
                </w:tcPr>
                <w:p w14:paraId="42C1374A">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公用</w:t>
                  </w:r>
                </w:p>
                <w:p w14:paraId="203967F2">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工程</w:t>
                  </w:r>
                </w:p>
              </w:tc>
              <w:tc>
                <w:tcPr>
                  <w:tcW w:w="1695" w:type="pct"/>
                  <w:gridSpan w:val="2"/>
                  <w:noWrap w:val="0"/>
                  <w:vAlign w:val="center"/>
                </w:tcPr>
                <w:p w14:paraId="710D5854">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给水</w:t>
                  </w:r>
                </w:p>
              </w:tc>
              <w:tc>
                <w:tcPr>
                  <w:tcW w:w="1770" w:type="pct"/>
                  <w:noWrap w:val="0"/>
                  <w:vAlign w:val="center"/>
                </w:tcPr>
                <w:p w14:paraId="2D046777">
                  <w:pPr>
                    <w:spacing w:line="240" w:lineRule="auto"/>
                    <w:jc w:val="center"/>
                    <w:rPr>
                      <w:rFonts w:hint="default" w:ascii="Times New Roman" w:hAnsi="Times New Roman" w:eastAsia="宋体" w:cs="Times New Roman"/>
                      <w:color w:val="000000" w:themeColor="text1"/>
                      <w:kern w:val="0"/>
                      <w:szCs w:val="16"/>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891.0002</w:t>
                  </w:r>
                  <w:r>
                    <w:rPr>
                      <w:rFonts w:hint="default" w:ascii="Times New Roman" w:hAnsi="Times New Roman" w:cs="Times New Roman"/>
                      <w:color w:val="000000" w:themeColor="text1"/>
                      <w:szCs w:val="21"/>
                      <w:highlight w:val="none"/>
                      <w14:textFill>
                        <w14:solidFill>
                          <w14:schemeClr w14:val="tx1"/>
                        </w14:solidFill>
                      </w14:textFill>
                    </w:rPr>
                    <w:t>m</w:t>
                  </w:r>
                  <w:r>
                    <w:rPr>
                      <w:rFonts w:hint="default" w:ascii="Times New Roman" w:hAnsi="Times New Roman" w:cs="Times New Roman"/>
                      <w:color w:val="000000" w:themeColor="text1"/>
                      <w:szCs w:val="21"/>
                      <w:highlight w:val="none"/>
                      <w:vertAlign w:val="superscript"/>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/a</w:t>
                  </w:r>
                </w:p>
              </w:tc>
              <w:tc>
                <w:tcPr>
                  <w:tcW w:w="1145" w:type="pct"/>
                  <w:noWrap w:val="0"/>
                  <w:vAlign w:val="center"/>
                </w:tcPr>
                <w:p w14:paraId="4F80D2F0">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依托当地</w:t>
                  </w:r>
                  <w:r>
                    <w:rPr>
                      <w:rFonts w:hint="default" w:ascii="Times New Roman" w:hAnsi="Times New Roman" w:cs="Times New Roman"/>
                      <w:color w:val="000000" w:themeColor="text1"/>
                      <w:szCs w:val="21"/>
                      <w:highlight w:val="none"/>
                      <w:lang w:val="en-US" w:eastAsia="zh-CN"/>
                      <w14:textFill>
                        <w14:solidFill>
                          <w14:schemeClr w14:val="tx1"/>
                        </w14:solidFill>
                      </w14:textFill>
                    </w:rPr>
                    <w:t>供水</w:t>
                  </w:r>
                  <w:r>
                    <w:rPr>
                      <w:rFonts w:hint="default" w:ascii="Times New Roman" w:hAnsi="Times New Roman" w:cs="Times New Roman"/>
                      <w:color w:val="000000" w:themeColor="text1"/>
                      <w:szCs w:val="21"/>
                      <w:highlight w:val="none"/>
                      <w14:textFill>
                        <w14:solidFill>
                          <w14:schemeClr w14:val="tx1"/>
                        </w14:solidFill>
                      </w14:textFill>
                    </w:rPr>
                    <w:t>管网</w:t>
                  </w:r>
                </w:p>
              </w:tc>
            </w:tr>
            <w:tr w14:paraId="3EB44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8" w:type="pct"/>
                  <w:vMerge w:val="continue"/>
                  <w:noWrap w:val="0"/>
                  <w:vAlign w:val="center"/>
                </w:tcPr>
                <w:p w14:paraId="669E5D15">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695" w:type="pct"/>
                  <w:gridSpan w:val="2"/>
                  <w:noWrap w:val="0"/>
                  <w:vAlign w:val="center"/>
                </w:tcPr>
                <w:p w14:paraId="49C11E9A">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排水</w:t>
                  </w:r>
                </w:p>
              </w:tc>
              <w:tc>
                <w:tcPr>
                  <w:tcW w:w="1770" w:type="pct"/>
                  <w:noWrap w:val="0"/>
                  <w:vAlign w:val="center"/>
                </w:tcPr>
                <w:p w14:paraId="24BDF311">
                  <w:pPr>
                    <w:spacing w:line="240" w:lineRule="auto"/>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540</w:t>
                  </w:r>
                  <w:r>
                    <w:rPr>
                      <w:rFonts w:hint="default" w:ascii="Times New Roman" w:hAnsi="Times New Roman" w:cs="Times New Roman"/>
                      <w:color w:val="000000" w:themeColor="text1"/>
                      <w:szCs w:val="21"/>
                      <w:highlight w:val="none"/>
                      <w14:textFill>
                        <w14:solidFill>
                          <w14:schemeClr w14:val="tx1"/>
                        </w14:solidFill>
                      </w14:textFill>
                    </w:rPr>
                    <w:t>m</w:t>
                  </w:r>
                  <w:r>
                    <w:rPr>
                      <w:rFonts w:hint="default" w:ascii="Times New Roman" w:hAnsi="Times New Roman" w:cs="Times New Roman"/>
                      <w:color w:val="000000" w:themeColor="text1"/>
                      <w:szCs w:val="21"/>
                      <w:highlight w:val="none"/>
                      <w:vertAlign w:val="superscript"/>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/a</w:t>
                  </w:r>
                </w:p>
              </w:tc>
              <w:tc>
                <w:tcPr>
                  <w:tcW w:w="1145" w:type="pct"/>
                  <w:noWrap w:val="0"/>
                  <w:vAlign w:val="center"/>
                </w:tcPr>
                <w:p w14:paraId="1F8A83A9">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依托</w:t>
                  </w:r>
                  <w:r>
                    <w:rPr>
                      <w:rFonts w:hint="default" w:ascii="Times New Roman" w:hAnsi="Times New Roman" w:cs="Times New Roman"/>
                      <w:color w:val="000000" w:themeColor="text1"/>
                      <w:szCs w:val="21"/>
                      <w:highlight w:val="none"/>
                      <w:lang w:val="en-US" w:eastAsia="zh-CN"/>
                      <w14:textFill>
                        <w14:solidFill>
                          <w14:schemeClr w14:val="tx1"/>
                        </w14:solidFill>
                      </w14:textFill>
                    </w:rPr>
                    <w:t>当地</w:t>
                  </w:r>
                  <w:r>
                    <w:rPr>
                      <w:rFonts w:hint="default" w:ascii="Times New Roman" w:hAnsi="Times New Roman" w:cs="Times New Roman"/>
                      <w:color w:val="000000" w:themeColor="text1"/>
                      <w:szCs w:val="21"/>
                      <w:highlight w:val="none"/>
                      <w14:textFill>
                        <w14:solidFill>
                          <w14:schemeClr w14:val="tx1"/>
                        </w14:solidFill>
                      </w14:textFill>
                    </w:rPr>
                    <w:t>污水管网</w:t>
                  </w:r>
                </w:p>
              </w:tc>
            </w:tr>
            <w:tr w14:paraId="4F234C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388" w:type="pct"/>
                  <w:vMerge w:val="continue"/>
                  <w:noWrap w:val="0"/>
                  <w:vAlign w:val="center"/>
                </w:tcPr>
                <w:p w14:paraId="09850B8C">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695" w:type="pct"/>
                  <w:gridSpan w:val="2"/>
                  <w:noWrap w:val="0"/>
                  <w:vAlign w:val="center"/>
                </w:tcPr>
                <w:p w14:paraId="5E7A837A">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供电</w:t>
                  </w:r>
                </w:p>
              </w:tc>
              <w:tc>
                <w:tcPr>
                  <w:tcW w:w="1770" w:type="pct"/>
                  <w:noWrap w:val="0"/>
                  <w:vAlign w:val="center"/>
                </w:tcPr>
                <w:p w14:paraId="1D959E62">
                  <w:pPr>
                    <w:spacing w:line="240" w:lineRule="auto"/>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200</w:t>
                  </w:r>
                  <w:r>
                    <w:rPr>
                      <w:rFonts w:hint="eastAsia" w:ascii="Times New Roman" w:hAnsi="Times New Roman" w:cs="Times New Roman"/>
                      <w:color w:val="000000" w:themeColor="text1"/>
                      <w:szCs w:val="21"/>
                      <w:highlight w:val="none"/>
                      <w:lang w:val="en-US" w:eastAsia="zh-CN"/>
                      <w14:textFill>
                        <w14:solidFill>
                          <w14:schemeClr w14:val="tx1"/>
                        </w14:solidFill>
                      </w14:textFill>
                    </w:rPr>
                    <w:t>万</w:t>
                  </w:r>
                  <w:r>
                    <w:rPr>
                      <w:rFonts w:hint="default" w:ascii="Times New Roman" w:hAnsi="Times New Roman" w:cs="Times New Roman"/>
                      <w:color w:val="000000" w:themeColor="text1"/>
                      <w:szCs w:val="21"/>
                      <w:highlight w:val="none"/>
                      <w14:textFill>
                        <w14:solidFill>
                          <w14:schemeClr w14:val="tx1"/>
                        </w14:solidFill>
                      </w14:textFill>
                    </w:rPr>
                    <w:t>度/a</w:t>
                  </w:r>
                </w:p>
              </w:tc>
              <w:tc>
                <w:tcPr>
                  <w:tcW w:w="1145" w:type="pct"/>
                  <w:noWrap w:val="0"/>
                  <w:vAlign w:val="center"/>
                </w:tcPr>
                <w:p w14:paraId="2425B07B">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依托当地电网</w:t>
                  </w:r>
                </w:p>
              </w:tc>
            </w:tr>
            <w:tr w14:paraId="3E78B6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388" w:type="pct"/>
                  <w:vMerge w:val="restart"/>
                  <w:noWrap w:val="0"/>
                  <w:vAlign w:val="center"/>
                </w:tcPr>
                <w:p w14:paraId="0E17840F">
                  <w:pPr>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环保工程</w:t>
                  </w:r>
                </w:p>
              </w:tc>
              <w:tc>
                <w:tcPr>
                  <w:tcW w:w="419" w:type="pct"/>
                  <w:vMerge w:val="restart"/>
                  <w:noWrap w:val="0"/>
                  <w:vAlign w:val="center"/>
                </w:tcPr>
                <w:p w14:paraId="5A53EAFC">
                  <w:pPr>
                    <w:spacing w:line="240" w:lineRule="auto"/>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废气</w:t>
                  </w:r>
                </w:p>
              </w:tc>
              <w:tc>
                <w:tcPr>
                  <w:tcW w:w="1276" w:type="pct"/>
                  <w:noWrap w:val="0"/>
                  <w:vAlign w:val="center"/>
                </w:tcPr>
                <w:p w14:paraId="5A3D8C7D">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14:textFill>
                        <w14:solidFill>
                          <w14:schemeClr w14:val="tx1"/>
                        </w14:solidFill>
                      </w14:textFill>
                    </w:rPr>
                    <w:t>有机废气（</w:t>
                  </w:r>
                  <w:r>
                    <w:rPr>
                      <w:rFonts w:hint="eastAsia"/>
                      <w:bCs/>
                      <w:color w:val="000000" w:themeColor="text1"/>
                      <w:szCs w:val="21"/>
                      <w:lang w:val="en-US" w:eastAsia="zh-CN"/>
                      <w14:textFill>
                        <w14:solidFill>
                          <w14:schemeClr w14:val="tx1"/>
                        </w14:solidFill>
                      </w14:textFill>
                    </w:rPr>
                    <w:t>吹塑、印刷、烘干、</w:t>
                  </w:r>
                  <w:r>
                    <w:rPr>
                      <w:rFonts w:hint="eastAsia"/>
                      <w:color w:val="000000" w:themeColor="text1"/>
                      <w:szCs w:val="21"/>
                      <w:lang w:val="en-US" w:eastAsia="zh-CN"/>
                      <w14:textFill>
                        <w14:solidFill>
                          <w14:schemeClr w14:val="tx1"/>
                        </w14:solidFill>
                      </w14:textFill>
                    </w:rPr>
                    <w:t>印刷机清理</w:t>
                  </w:r>
                  <w:r>
                    <w:rPr>
                      <w:rFonts w:hint="eastAsia"/>
                      <w:color w:val="000000" w:themeColor="text1"/>
                      <w14:textFill>
                        <w14:solidFill>
                          <w14:schemeClr w14:val="tx1"/>
                        </w14:solidFill>
                      </w14:textFill>
                    </w:rPr>
                    <w:t>）</w:t>
                  </w:r>
                </w:p>
              </w:tc>
              <w:tc>
                <w:tcPr>
                  <w:tcW w:w="1770" w:type="pct"/>
                  <w:noWrap w:val="0"/>
                  <w:vAlign w:val="center"/>
                </w:tcPr>
                <w:p w14:paraId="7A51A59B">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包围式</w:t>
                  </w:r>
                  <w:r>
                    <w:rPr>
                      <w:color w:val="000000" w:themeColor="text1"/>
                      <w:szCs w:val="21"/>
                      <w:highlight w:val="none"/>
                      <w14:textFill>
                        <w14:solidFill>
                          <w14:schemeClr w14:val="tx1"/>
                        </w14:solidFill>
                      </w14:textFill>
                    </w:rPr>
                    <w:t>集气罩</w:t>
                  </w:r>
                  <w:r>
                    <w:rPr>
                      <w:rFonts w:hint="eastAsia"/>
                      <w:color w:val="000000" w:themeColor="text1"/>
                      <w:highlight w:val="none"/>
                      <w14:textFill>
                        <w14:solidFill>
                          <w14:schemeClr w14:val="tx1"/>
                        </w14:solidFill>
                      </w14:textFill>
                    </w:rPr>
                    <w:t>+</w:t>
                  </w:r>
                  <w:r>
                    <w:rPr>
                      <w:color w:val="000000" w:themeColor="text1"/>
                      <w:szCs w:val="21"/>
                      <w:highlight w:val="none"/>
                      <w14:textFill>
                        <w14:solidFill>
                          <w14:schemeClr w14:val="tx1"/>
                        </w14:solidFill>
                      </w14:textFill>
                    </w:rPr>
                    <w:t>二级活性炭吸附装置</w:t>
                  </w:r>
                  <w:r>
                    <w:rPr>
                      <w:rFonts w:hint="eastAsia"/>
                      <w:color w:val="000000" w:themeColor="text1"/>
                      <w:szCs w:val="21"/>
                      <w:highlight w:val="none"/>
                      <w:lang w:val="en-US" w:eastAsia="zh-CN"/>
                      <w14:textFill>
                        <w14:solidFill>
                          <w14:schemeClr w14:val="tx1"/>
                        </w14:solidFill>
                      </w14:textFill>
                    </w:rPr>
                    <w:t>TA001</w:t>
                  </w:r>
                  <w:r>
                    <w:rPr>
                      <w:color w:val="000000" w:themeColor="text1"/>
                      <w:szCs w:val="21"/>
                      <w:highlight w:val="none"/>
                      <w14:textFill>
                        <w14:solidFill>
                          <w14:schemeClr w14:val="tx1"/>
                        </w14:solidFill>
                      </w14:textFill>
                    </w:rPr>
                    <w:t>，风量1</w:t>
                  </w:r>
                  <w:r>
                    <w:rPr>
                      <w:rFonts w:hint="eastAsia"/>
                      <w:color w:val="000000" w:themeColor="text1"/>
                      <w:szCs w:val="21"/>
                      <w:highlight w:val="none"/>
                      <w:lang w:val="en-US" w:eastAsia="zh-CN"/>
                      <w14:textFill>
                        <w14:solidFill>
                          <w14:schemeClr w14:val="tx1"/>
                        </w14:solidFill>
                      </w14:textFill>
                    </w:rPr>
                    <w:t>2</w:t>
                  </w:r>
                  <w:r>
                    <w:rPr>
                      <w:color w:val="000000" w:themeColor="text1"/>
                      <w:szCs w:val="21"/>
                      <w:highlight w:val="none"/>
                      <w14:textFill>
                        <w14:solidFill>
                          <w14:schemeClr w14:val="tx1"/>
                        </w14:solidFill>
                      </w14:textFill>
                    </w:rPr>
                    <w:t>000m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/h，</w:t>
                  </w:r>
                  <w:r>
                    <w:rPr>
                      <w:rFonts w:hint="eastAsia"/>
                      <w:color w:val="000000" w:themeColor="text1"/>
                      <w:szCs w:val="21"/>
                      <w:highlight w:val="none"/>
                      <w14:textFill>
                        <w14:solidFill>
                          <w14:schemeClr w14:val="tx1"/>
                        </w14:solidFill>
                      </w14:textFill>
                    </w:rPr>
                    <w:t>收集率</w:t>
                  </w:r>
                  <w:r>
                    <w:rPr>
                      <w:rFonts w:hint="eastAsia"/>
                      <w:color w:val="000000" w:themeColor="text1"/>
                      <w:szCs w:val="21"/>
                      <w:highlight w:val="none"/>
                      <w:lang w:val="en-US" w:eastAsia="zh-CN"/>
                      <w14:textFill>
                        <w14:solidFill>
                          <w14:schemeClr w14:val="tx1"/>
                        </w14:solidFill>
                      </w14:textFill>
                    </w:rPr>
                    <w:t>80</w:t>
                  </w:r>
                  <w:r>
                    <w:rPr>
                      <w:rFonts w:hint="eastAsia"/>
                      <w:color w:val="000000" w:themeColor="text1"/>
                      <w:szCs w:val="21"/>
                      <w:highlight w:val="none"/>
                      <w14:textFill>
                        <w14:solidFill>
                          <w14:schemeClr w14:val="tx1"/>
                        </w14:solidFill>
                      </w14:textFill>
                    </w:rPr>
                    <w:t>%，处理率</w:t>
                  </w:r>
                  <w:r>
                    <w:rPr>
                      <w:rFonts w:hint="eastAsia"/>
                      <w:color w:val="000000" w:themeColor="text1"/>
                      <w:szCs w:val="21"/>
                      <w:highlight w:val="none"/>
                      <w:lang w:val="en-US" w:eastAsia="zh-CN"/>
                      <w14:textFill>
                        <w14:solidFill>
                          <w14:schemeClr w14:val="tx1"/>
                        </w14:solidFill>
                      </w14:textFill>
                    </w:rPr>
                    <w:t>90</w:t>
                  </w:r>
                  <w:r>
                    <w:rPr>
                      <w:color w:val="000000" w:themeColor="text1"/>
                      <w:szCs w:val="21"/>
                      <w:highlight w:val="none"/>
                      <w14:textFill>
                        <w14:solidFill>
                          <w14:schemeClr w14:val="tx1"/>
                        </w14:solidFill>
                      </w14:textFill>
                    </w:rPr>
                    <w:t>%</w:t>
                  </w:r>
                </w:p>
              </w:tc>
              <w:tc>
                <w:tcPr>
                  <w:tcW w:w="1145" w:type="pct"/>
                  <w:noWrap w:val="0"/>
                  <w:vAlign w:val="center"/>
                </w:tcPr>
                <w:p w14:paraId="7CA358B7">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尾气通过</w:t>
                  </w:r>
                  <w:r>
                    <w:rPr>
                      <w:rFonts w:hint="eastAsia"/>
                      <w:color w:val="000000" w:themeColor="text1"/>
                      <w:highlight w:val="none"/>
                      <w:lang w:val="en-US" w:eastAsia="zh-CN"/>
                      <w14:textFill>
                        <w14:solidFill>
                          <w14:schemeClr w14:val="tx1"/>
                        </w14:solidFill>
                      </w14:textFill>
                    </w:rPr>
                    <w:t>25</w:t>
                  </w:r>
                  <w:r>
                    <w:rPr>
                      <w:rFonts w:hint="eastAsia"/>
                      <w:color w:val="000000" w:themeColor="text1"/>
                      <w:highlight w:val="none"/>
                      <w14:textFill>
                        <w14:solidFill>
                          <w14:schemeClr w14:val="tx1"/>
                        </w14:solidFill>
                      </w14:textFill>
                    </w:rPr>
                    <w:t>m高1#排气筒排放</w:t>
                  </w:r>
                </w:p>
              </w:tc>
            </w:tr>
            <w:tr w14:paraId="29D126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388" w:type="pct"/>
                  <w:vMerge w:val="continue"/>
                  <w:noWrap w:val="0"/>
                  <w:vAlign w:val="center"/>
                </w:tcPr>
                <w:p w14:paraId="72CC40C6">
                  <w:pPr>
                    <w:spacing w:line="240" w:lineRule="auto"/>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p>
              </w:tc>
              <w:tc>
                <w:tcPr>
                  <w:tcW w:w="419" w:type="pct"/>
                  <w:vMerge w:val="continue"/>
                  <w:noWrap w:val="0"/>
                  <w:vAlign w:val="center"/>
                </w:tcPr>
                <w:p w14:paraId="7E60C405">
                  <w:pPr>
                    <w:spacing w:line="240" w:lineRule="auto"/>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p>
              </w:tc>
              <w:tc>
                <w:tcPr>
                  <w:tcW w:w="1276" w:type="pct"/>
                  <w:noWrap w:val="0"/>
                  <w:vAlign w:val="center"/>
                </w:tcPr>
                <w:p w14:paraId="1CBB2ED2">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粉尘（粉碎）</w:t>
                  </w:r>
                </w:p>
              </w:tc>
              <w:tc>
                <w:tcPr>
                  <w:tcW w:w="1770" w:type="pct"/>
                  <w:noWrap w:val="0"/>
                  <w:vAlign w:val="center"/>
                </w:tcPr>
                <w:p w14:paraId="3D94ECAC">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无组织排放</w:t>
                  </w:r>
                </w:p>
              </w:tc>
              <w:tc>
                <w:tcPr>
                  <w:tcW w:w="1145" w:type="pct"/>
                  <w:noWrap w:val="0"/>
                  <w:vAlign w:val="center"/>
                </w:tcPr>
                <w:p w14:paraId="5A62A1C0">
                  <w:pPr>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无组织达标排放</w:t>
                  </w:r>
                </w:p>
              </w:tc>
            </w:tr>
            <w:tr w14:paraId="44C48F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88" w:type="pct"/>
                  <w:vMerge w:val="continue"/>
                  <w:noWrap w:val="0"/>
                  <w:vAlign w:val="center"/>
                </w:tcPr>
                <w:p w14:paraId="2A9ECA8B">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419" w:type="pct"/>
                  <w:noWrap w:val="0"/>
                  <w:vAlign w:val="center"/>
                </w:tcPr>
                <w:p w14:paraId="4931DAC6">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废水</w:t>
                  </w:r>
                </w:p>
              </w:tc>
              <w:tc>
                <w:tcPr>
                  <w:tcW w:w="1276" w:type="pct"/>
                  <w:noWrap w:val="0"/>
                  <w:vAlign w:val="center"/>
                </w:tcPr>
                <w:p w14:paraId="0F3EF23D">
                  <w:pPr>
                    <w:spacing w:line="240" w:lineRule="auto"/>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生活污水</w:t>
                  </w:r>
                </w:p>
              </w:tc>
              <w:tc>
                <w:tcPr>
                  <w:tcW w:w="1770" w:type="pct"/>
                  <w:noWrap w:val="0"/>
                  <w:vAlign w:val="center"/>
                </w:tcPr>
                <w:p w14:paraId="5887DEA0">
                  <w:pPr>
                    <w:spacing w:line="240" w:lineRule="auto"/>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540m</w:t>
                  </w:r>
                  <w:r>
                    <w:rPr>
                      <w:rFonts w:hint="eastAsia" w:cs="Times New Roman"/>
                      <w:color w:val="000000" w:themeColor="text1"/>
                      <w:szCs w:val="2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Cs w:val="21"/>
                      <w:highlight w:val="none"/>
                      <w:lang w:val="en-US" w:eastAsia="zh-CN"/>
                      <w14:textFill>
                        <w14:solidFill>
                          <w14:schemeClr w14:val="tx1"/>
                        </w14:solidFill>
                      </w14:textFill>
                    </w:rPr>
                    <w:t>/a</w:t>
                  </w:r>
                </w:p>
              </w:tc>
              <w:tc>
                <w:tcPr>
                  <w:tcW w:w="1145" w:type="pct"/>
                  <w:noWrap w:val="0"/>
                  <w:vAlign w:val="center"/>
                </w:tcPr>
                <w:p w14:paraId="259FABC6">
                  <w:pPr>
                    <w:spacing w:line="240" w:lineRule="auto"/>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接管</w:t>
                  </w:r>
                  <w:r>
                    <w:rPr>
                      <w:rFonts w:hint="default" w:ascii="Times New Roman" w:hAnsi="Times New Roman" w:cs="Times New Roman"/>
                      <w:color w:val="000000" w:themeColor="text1"/>
                      <w:szCs w:val="21"/>
                      <w:highlight w:val="none"/>
                      <w14:textFill>
                        <w14:solidFill>
                          <w14:schemeClr w14:val="tx1"/>
                        </w14:solidFill>
                      </w14:textFill>
                    </w:rPr>
                    <w:t>至</w:t>
                  </w:r>
                  <w:r>
                    <w:rPr>
                      <w:rFonts w:hint="eastAsia" w:cs="Times New Roman"/>
                      <w:color w:val="000000" w:themeColor="text1"/>
                      <w:szCs w:val="21"/>
                      <w:highlight w:val="none"/>
                      <w:lang w:eastAsia="zh-CN"/>
                      <w14:textFill>
                        <w14:solidFill>
                          <w14:schemeClr w14:val="tx1"/>
                        </w14:solidFill>
                      </w14:textFill>
                    </w:rPr>
                    <w:t>江苏中法水务股份有限公司（城东水质净化厂）</w:t>
                  </w:r>
                  <w:r>
                    <w:rPr>
                      <w:rFonts w:hint="default" w:ascii="Times New Roman" w:hAnsi="Times New Roman" w:cs="Times New Roman"/>
                      <w:color w:val="000000" w:themeColor="text1"/>
                      <w:szCs w:val="21"/>
                      <w:highlight w:val="none"/>
                      <w:lang w:val="en-US" w:eastAsia="zh-CN"/>
                      <w14:textFill>
                        <w14:solidFill>
                          <w14:schemeClr w14:val="tx1"/>
                        </w14:solidFill>
                      </w14:textFill>
                    </w:rPr>
                    <w:t>集中</w:t>
                  </w:r>
                  <w:r>
                    <w:rPr>
                      <w:rFonts w:hint="default" w:ascii="Times New Roman" w:hAnsi="Times New Roman" w:cs="Times New Roman"/>
                      <w:color w:val="000000" w:themeColor="text1"/>
                      <w:szCs w:val="21"/>
                      <w:highlight w:val="none"/>
                      <w14:textFill>
                        <w14:solidFill>
                          <w14:schemeClr w14:val="tx1"/>
                        </w14:solidFill>
                      </w14:textFill>
                    </w:rPr>
                    <w:t>处理，尾水</w:t>
                  </w:r>
                  <w:r>
                    <w:rPr>
                      <w:rFonts w:hint="default" w:ascii="Times New Roman" w:hAnsi="Times New Roman" w:cs="Times New Roman"/>
                      <w:color w:val="000000" w:themeColor="text1"/>
                      <w:szCs w:val="21"/>
                      <w:highlight w:val="none"/>
                      <w:lang w:val="en-US" w:eastAsia="zh-CN"/>
                      <w14:textFill>
                        <w14:solidFill>
                          <w14:schemeClr w14:val="tx1"/>
                        </w14:solidFill>
                      </w14:textFill>
                    </w:rPr>
                    <w:t>排放至</w:t>
                  </w:r>
                  <w:r>
                    <w:rPr>
                      <w:rFonts w:hint="eastAsia"/>
                      <w:bCs/>
                      <w:color w:val="000000" w:themeColor="text1"/>
                      <w:szCs w:val="21"/>
                      <w:highlight w:val="none"/>
                      <w:lang w:val="en-US" w:eastAsia="zh-CN"/>
                      <w14:textFill>
                        <w14:solidFill>
                          <w14:schemeClr w14:val="tx1"/>
                        </w14:solidFill>
                      </w14:textFill>
                    </w:rPr>
                    <w:t>大滃</w:t>
                  </w:r>
                </w:p>
              </w:tc>
            </w:tr>
            <w:tr w14:paraId="444329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8" w:type="pct"/>
                  <w:vMerge w:val="continue"/>
                  <w:noWrap w:val="0"/>
                  <w:vAlign w:val="center"/>
                </w:tcPr>
                <w:p w14:paraId="7DA7062D">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419" w:type="pct"/>
                  <w:vMerge w:val="restart"/>
                  <w:noWrap w:val="0"/>
                  <w:vAlign w:val="center"/>
                </w:tcPr>
                <w:p w14:paraId="0E378675">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固废</w:t>
                  </w:r>
                </w:p>
              </w:tc>
              <w:tc>
                <w:tcPr>
                  <w:tcW w:w="1276" w:type="pct"/>
                  <w:noWrap w:val="0"/>
                  <w:vAlign w:val="center"/>
                </w:tcPr>
                <w:p w14:paraId="77F2D257">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一般</w:t>
                  </w:r>
                  <w:r>
                    <w:rPr>
                      <w:rFonts w:hint="default" w:ascii="Times New Roman" w:hAnsi="Times New Roman" w:cs="Times New Roman"/>
                      <w:color w:val="000000" w:themeColor="text1"/>
                      <w:szCs w:val="21"/>
                      <w:highlight w:val="none"/>
                      <w:lang w:val="en-US" w:eastAsia="zh-CN"/>
                      <w14:textFill>
                        <w14:solidFill>
                          <w14:schemeClr w14:val="tx1"/>
                        </w14:solidFill>
                      </w14:textFill>
                    </w:rPr>
                    <w:t>工业</w:t>
                  </w:r>
                  <w:r>
                    <w:rPr>
                      <w:rFonts w:hint="default" w:ascii="Times New Roman" w:hAnsi="Times New Roman" w:cs="Times New Roman"/>
                      <w:color w:val="000000" w:themeColor="text1"/>
                      <w:szCs w:val="21"/>
                      <w:highlight w:val="none"/>
                      <w14:textFill>
                        <w14:solidFill>
                          <w14:schemeClr w14:val="tx1"/>
                        </w14:solidFill>
                      </w14:textFill>
                    </w:rPr>
                    <w:t>固废仓库</w:t>
                  </w:r>
                </w:p>
              </w:tc>
              <w:tc>
                <w:tcPr>
                  <w:tcW w:w="1770" w:type="pct"/>
                  <w:noWrap w:val="0"/>
                  <w:vAlign w:val="center"/>
                </w:tcPr>
                <w:p w14:paraId="750DB662">
                  <w:pPr>
                    <w:spacing w:line="240" w:lineRule="auto"/>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15</w:t>
                  </w:r>
                  <w:r>
                    <w:rPr>
                      <w:rFonts w:hint="default" w:ascii="Times New Roman" w:hAnsi="Times New Roman" w:cs="Times New Roman"/>
                      <w:color w:val="000000" w:themeColor="text1"/>
                      <w:szCs w:val="21"/>
                      <w:highlight w:val="none"/>
                      <w14:textFill>
                        <w14:solidFill>
                          <w14:schemeClr w14:val="tx1"/>
                        </w14:solidFill>
                      </w14:textFill>
                    </w:rPr>
                    <w:t>m</w:t>
                  </w:r>
                  <w:r>
                    <w:rPr>
                      <w:rFonts w:hint="default" w:ascii="Times New Roman" w:hAnsi="Times New Roman" w:cs="Times New Roman"/>
                      <w:color w:val="000000" w:themeColor="text1"/>
                      <w:szCs w:val="21"/>
                      <w:highlight w:val="none"/>
                      <w:vertAlign w:val="superscript"/>
                      <w14:textFill>
                        <w14:solidFill>
                          <w14:schemeClr w14:val="tx1"/>
                        </w14:solidFill>
                      </w14:textFill>
                    </w:rPr>
                    <w:t>2</w:t>
                  </w:r>
                </w:p>
              </w:tc>
              <w:tc>
                <w:tcPr>
                  <w:tcW w:w="1145" w:type="pct"/>
                  <w:vMerge w:val="restart"/>
                  <w:noWrap w:val="0"/>
                  <w:vAlign w:val="center"/>
                </w:tcPr>
                <w:p w14:paraId="673A3ABB">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固废“零”排放</w:t>
                  </w:r>
                </w:p>
              </w:tc>
            </w:tr>
            <w:tr w14:paraId="05A967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8" w:type="pct"/>
                  <w:vMerge w:val="continue"/>
                  <w:noWrap w:val="0"/>
                  <w:vAlign w:val="center"/>
                </w:tcPr>
                <w:p w14:paraId="299C2517">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419" w:type="pct"/>
                  <w:vMerge w:val="continue"/>
                  <w:noWrap w:val="0"/>
                  <w:vAlign w:val="center"/>
                </w:tcPr>
                <w:p w14:paraId="755E9038">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276" w:type="pct"/>
                  <w:noWrap w:val="0"/>
                  <w:vAlign w:val="center"/>
                </w:tcPr>
                <w:p w14:paraId="186FB641">
                  <w:pPr>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危废仓库</w:t>
                  </w:r>
                </w:p>
              </w:tc>
              <w:tc>
                <w:tcPr>
                  <w:tcW w:w="1770" w:type="pct"/>
                  <w:noWrap w:val="0"/>
                  <w:vAlign w:val="center"/>
                </w:tcPr>
                <w:p w14:paraId="189FD2C4">
                  <w:pPr>
                    <w:spacing w:line="240" w:lineRule="auto"/>
                    <w:jc w:val="center"/>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10</w:t>
                  </w:r>
                  <w:r>
                    <w:rPr>
                      <w:rFonts w:hint="default" w:ascii="Times New Roman" w:hAnsi="Times New Roman" w:cs="Times New Roman"/>
                      <w:color w:val="000000" w:themeColor="text1"/>
                      <w:szCs w:val="21"/>
                      <w:highlight w:val="none"/>
                      <w14:textFill>
                        <w14:solidFill>
                          <w14:schemeClr w14:val="tx1"/>
                        </w14:solidFill>
                      </w14:textFill>
                    </w:rPr>
                    <w:t>m</w:t>
                  </w:r>
                  <w:r>
                    <w:rPr>
                      <w:rFonts w:hint="default" w:ascii="Times New Roman" w:hAnsi="Times New Roman" w:cs="Times New Roman"/>
                      <w:color w:val="000000" w:themeColor="text1"/>
                      <w:szCs w:val="21"/>
                      <w:highlight w:val="none"/>
                      <w:vertAlign w:val="superscript"/>
                      <w14:textFill>
                        <w14:solidFill>
                          <w14:schemeClr w14:val="tx1"/>
                        </w14:solidFill>
                      </w14:textFill>
                    </w:rPr>
                    <w:t>2</w:t>
                  </w:r>
                </w:p>
              </w:tc>
              <w:tc>
                <w:tcPr>
                  <w:tcW w:w="1145" w:type="pct"/>
                  <w:vMerge w:val="continue"/>
                  <w:noWrap w:val="0"/>
                  <w:vAlign w:val="center"/>
                </w:tcPr>
                <w:p w14:paraId="4E507BB0">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p>
              </w:tc>
            </w:tr>
            <w:tr w14:paraId="09FF3D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8" w:type="pct"/>
                  <w:vMerge w:val="continue"/>
                  <w:noWrap w:val="0"/>
                  <w:vAlign w:val="center"/>
                </w:tcPr>
                <w:p w14:paraId="3326B161">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695" w:type="pct"/>
                  <w:gridSpan w:val="2"/>
                  <w:noWrap w:val="0"/>
                  <w:vAlign w:val="center"/>
                </w:tcPr>
                <w:p w14:paraId="39909998">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噪声</w:t>
                  </w:r>
                </w:p>
              </w:tc>
              <w:tc>
                <w:tcPr>
                  <w:tcW w:w="1770" w:type="pct"/>
                  <w:noWrap w:val="0"/>
                  <w:vAlign w:val="center"/>
                </w:tcPr>
                <w:p w14:paraId="09C9DEE9">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隔声、减振</w:t>
                  </w:r>
                </w:p>
              </w:tc>
              <w:tc>
                <w:tcPr>
                  <w:tcW w:w="1145" w:type="pct"/>
                  <w:noWrap w:val="0"/>
                  <w:vAlign w:val="center"/>
                </w:tcPr>
                <w:p w14:paraId="69E323C0">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达标排放</w:t>
                  </w:r>
                </w:p>
              </w:tc>
            </w:tr>
            <w:tr w14:paraId="5C2C90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8" w:type="pct"/>
                  <w:vMerge w:val="continue"/>
                  <w:noWrap w:val="0"/>
                  <w:vAlign w:val="center"/>
                </w:tcPr>
                <w:p w14:paraId="42500884">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695" w:type="pct"/>
                  <w:gridSpan w:val="2"/>
                  <w:noWrap w:val="0"/>
                  <w:vAlign w:val="center"/>
                </w:tcPr>
                <w:p w14:paraId="351F109E">
                  <w:pPr>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环境风险</w:t>
                  </w:r>
                </w:p>
              </w:tc>
              <w:tc>
                <w:tcPr>
                  <w:tcW w:w="1770" w:type="pct"/>
                  <w:noWrap w:val="0"/>
                  <w:vAlign w:val="center"/>
                </w:tcPr>
                <w:p w14:paraId="08C3843B">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依托厂区内部分已建雨水管网，</w:t>
                  </w:r>
                  <w:r>
                    <w:rPr>
                      <w:rFonts w:hint="eastAsia"/>
                      <w:color w:val="000000" w:themeColor="text1"/>
                      <w:szCs w:val="21"/>
                      <w:highlight w:val="none"/>
                      <w14:textFill>
                        <w14:solidFill>
                          <w14:schemeClr w14:val="tx1"/>
                        </w14:solidFill>
                      </w14:textFill>
                    </w:rPr>
                    <w:t>按照相关要求</w:t>
                  </w:r>
                  <w:r>
                    <w:rPr>
                      <w:rFonts w:hint="eastAsia"/>
                      <w:color w:val="000000" w:themeColor="text1"/>
                      <w:szCs w:val="21"/>
                      <w:highlight w:val="none"/>
                      <w:lang w:val="en-US" w:eastAsia="zh-CN"/>
                      <w14:textFill>
                        <w14:solidFill>
                          <w14:schemeClr w14:val="tx1"/>
                        </w14:solidFill>
                      </w14:textFill>
                    </w:rPr>
                    <w:t>自行</w:t>
                  </w:r>
                  <w:r>
                    <w:rPr>
                      <w:rFonts w:hint="eastAsia"/>
                      <w:color w:val="000000" w:themeColor="text1"/>
                      <w:szCs w:val="21"/>
                      <w:highlight w:val="none"/>
                      <w14:textFill>
                        <w14:solidFill>
                          <w14:schemeClr w14:val="tx1"/>
                        </w14:solidFill>
                      </w14:textFill>
                    </w:rPr>
                    <w:t>建设事故应急池，</w:t>
                  </w:r>
                  <w:r>
                    <w:rPr>
                      <w:rFonts w:hint="eastAsia"/>
                      <w:color w:val="000000" w:themeColor="text1"/>
                      <w:szCs w:val="21"/>
                      <w:highlight w:val="none"/>
                      <w:lang w:val="en-US" w:eastAsia="zh-CN"/>
                      <w14:textFill>
                        <w14:solidFill>
                          <w14:schemeClr w14:val="tx1"/>
                        </w14:solidFill>
                      </w14:textFill>
                    </w:rPr>
                    <w:t>应急池415</w:t>
                  </w:r>
                  <w:r>
                    <w:rPr>
                      <w:rFonts w:hint="default" w:ascii="Times New Roman" w:hAnsi="Times New Roman" w:cs="Times New Roman"/>
                      <w:color w:val="000000" w:themeColor="text1"/>
                      <w:szCs w:val="21"/>
                      <w:highlight w:val="none"/>
                      <w14:textFill>
                        <w14:solidFill>
                          <w14:schemeClr w14:val="tx1"/>
                        </w14:solidFill>
                      </w14:textFill>
                    </w:rPr>
                    <w:t>m</w:t>
                  </w:r>
                  <w:r>
                    <w:rPr>
                      <w:rFonts w:hint="default" w:ascii="Times New Roman" w:hAnsi="Times New Roman" w:cs="Times New Roman"/>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配备雨水阀门，配备应急物资</w:t>
                  </w:r>
                </w:p>
              </w:tc>
              <w:tc>
                <w:tcPr>
                  <w:tcW w:w="1145" w:type="pct"/>
                  <w:noWrap w:val="0"/>
                  <w:vAlign w:val="center"/>
                </w:tcPr>
                <w:p w14:paraId="2A064864">
                  <w:pPr>
                    <w:spacing w:line="240" w:lineRule="auto"/>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w:t>
                  </w:r>
                </w:p>
              </w:tc>
            </w:tr>
          </w:tbl>
          <w:p w14:paraId="04DBC4B1">
            <w:pPr>
              <w:rPr>
                <w:color w:val="000000" w:themeColor="text1"/>
                <w:kern w:val="0"/>
                <w:szCs w:val="16"/>
                <w:highlight w:val="none"/>
                <w14:textFill>
                  <w14:solidFill>
                    <w14:schemeClr w14:val="tx1"/>
                  </w14:solidFill>
                </w14:textFill>
              </w:rPr>
            </w:pPr>
            <w:r>
              <w:rPr>
                <w:color w:val="000000" w:themeColor="text1"/>
                <w:kern w:val="0"/>
                <w:szCs w:val="16"/>
                <w:highlight w:val="none"/>
                <w14:textFill>
                  <w14:solidFill>
                    <w14:schemeClr w14:val="tx1"/>
                  </w14:solidFill>
                </w14:textFill>
              </w:rPr>
              <w:t>注*：本项目</w:t>
            </w:r>
            <w:r>
              <w:rPr>
                <w:rFonts w:hint="eastAsia"/>
                <w:color w:val="000000" w:themeColor="text1"/>
                <w:kern w:val="0"/>
                <w:szCs w:val="16"/>
                <w:highlight w:val="none"/>
                <w:lang w:val="en-US" w:eastAsia="zh-CN"/>
                <w14:textFill>
                  <w14:solidFill>
                    <w14:schemeClr w14:val="tx1"/>
                  </w14:solidFill>
                </w14:textFill>
              </w:rPr>
              <w:t>购买厂房无历史遗留问题，厂区</w:t>
            </w:r>
            <w:r>
              <w:rPr>
                <w:color w:val="000000" w:themeColor="text1"/>
                <w:kern w:val="0"/>
                <w:szCs w:val="16"/>
                <w:highlight w:val="none"/>
                <w14:textFill>
                  <w14:solidFill>
                    <w14:schemeClr w14:val="tx1"/>
                  </w14:solidFill>
                </w14:textFill>
              </w:rPr>
              <w:t>环保工程同时满足环保、安监要求</w:t>
            </w:r>
            <w:r>
              <w:rPr>
                <w:rFonts w:hint="eastAsia"/>
                <w:color w:val="000000" w:themeColor="text1"/>
                <w:kern w:val="0"/>
                <w:szCs w:val="16"/>
                <w:highlight w:val="none"/>
                <w14:textFill>
                  <w14:solidFill>
                    <w14:schemeClr w14:val="tx1"/>
                  </w14:solidFill>
                </w14:textFill>
              </w:rPr>
              <w:t>；</w:t>
            </w:r>
            <w:r>
              <w:rPr>
                <w:rFonts w:hint="eastAsia"/>
                <w:color w:val="000000" w:themeColor="text1"/>
                <w:kern w:val="0"/>
                <w:szCs w:val="16"/>
                <w:highlight w:val="none"/>
                <w:lang w:val="en-US" w:eastAsia="zh-CN"/>
                <w14:textFill>
                  <w14:solidFill>
                    <w14:schemeClr w14:val="tx1"/>
                  </w14:solidFill>
                </w14:textFill>
              </w:rPr>
              <w:t>厂区内</w:t>
            </w:r>
            <w:r>
              <w:rPr>
                <w:rFonts w:hint="eastAsia"/>
                <w:color w:val="000000" w:themeColor="text1"/>
                <w:kern w:val="0"/>
                <w:szCs w:val="16"/>
                <w:highlight w:val="none"/>
                <w14:textFill>
                  <w14:solidFill>
                    <w14:schemeClr w14:val="tx1"/>
                  </w14:solidFill>
                </w14:textFill>
              </w:rPr>
              <w:t>公辅设施雨、污分流管网已铺设到位，已设置雨、污水排放口</w:t>
            </w:r>
            <w:r>
              <w:rPr>
                <w:rFonts w:hint="eastAsia"/>
                <w:color w:val="000000" w:themeColor="text1"/>
                <w:kern w:val="0"/>
                <w:szCs w:val="16"/>
                <w:highlight w:val="none"/>
                <w:lang w:eastAsia="zh-CN"/>
                <w14:textFill>
                  <w14:solidFill>
                    <w14:schemeClr w14:val="tx1"/>
                  </w14:solidFill>
                </w14:textFill>
              </w:rPr>
              <w:t>，</w:t>
            </w:r>
            <w:r>
              <w:rPr>
                <w:rFonts w:hint="eastAsia"/>
                <w:color w:val="000000" w:themeColor="text1"/>
                <w:kern w:val="0"/>
                <w:szCs w:val="16"/>
                <w:highlight w:val="none"/>
                <w:lang w:val="en-US" w:eastAsia="zh-CN"/>
                <w14:textFill>
                  <w14:solidFill>
                    <w14:schemeClr w14:val="tx1"/>
                  </w14:solidFill>
                </w14:textFill>
              </w:rPr>
              <w:t>暂未设置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事故应急池、雨水切断阀门</w:t>
            </w:r>
            <w:r>
              <w:rPr>
                <w:rFonts w:hint="eastAsia"/>
                <w:color w:val="000000" w:themeColor="text1"/>
                <w:kern w:val="0"/>
                <w:szCs w:val="16"/>
                <w:highlight w:val="none"/>
                <w14:textFill>
                  <w14:solidFill>
                    <w14:schemeClr w14:val="tx1"/>
                  </w14:solidFill>
                </w14:textFill>
              </w:rPr>
              <w:t>。</w:t>
            </w:r>
          </w:p>
          <w:p w14:paraId="190D509F">
            <w:pPr>
              <w:spacing w:line="420" w:lineRule="exact"/>
              <w:ind w:firstLine="422" w:firstLineChars="200"/>
              <w:rPr>
                <w:b/>
                <w:bCs/>
                <w:color w:val="000000" w:themeColor="text1"/>
                <w:kern w:val="0"/>
                <w:szCs w:val="16"/>
                <w14:textFill>
                  <w14:solidFill>
                    <w14:schemeClr w14:val="tx1"/>
                  </w14:solidFill>
                </w14:textFill>
              </w:rPr>
            </w:pPr>
            <w:r>
              <w:rPr>
                <w:b/>
                <w:bCs/>
                <w:color w:val="000000" w:themeColor="text1"/>
                <w:kern w:val="0"/>
                <w:szCs w:val="16"/>
                <w14:textFill>
                  <w14:solidFill>
                    <w14:schemeClr w14:val="tx1"/>
                  </w14:solidFill>
                </w14:textFill>
              </w:rPr>
              <w:t>2.</w:t>
            </w:r>
            <w:r>
              <w:rPr>
                <w:rFonts w:hint="eastAsia"/>
                <w:b/>
                <w:bCs/>
                <w:color w:val="000000" w:themeColor="text1"/>
                <w:kern w:val="0"/>
                <w:szCs w:val="16"/>
                <w14:textFill>
                  <w14:solidFill>
                    <w14:schemeClr w14:val="tx1"/>
                  </w14:solidFill>
                </w14:textFill>
              </w:rPr>
              <w:t>4</w:t>
            </w:r>
            <w:r>
              <w:rPr>
                <w:b/>
                <w:bCs/>
                <w:color w:val="000000" w:themeColor="text1"/>
                <w:kern w:val="0"/>
                <w:szCs w:val="16"/>
                <w14:textFill>
                  <w14:solidFill>
                    <w14:schemeClr w14:val="tx1"/>
                  </w14:solidFill>
                </w14:textFill>
              </w:rPr>
              <w:t>生产设施</w:t>
            </w:r>
          </w:p>
          <w:p w14:paraId="73931386">
            <w:pPr>
              <w:spacing w:line="420" w:lineRule="exact"/>
              <w:ind w:firstLine="420" w:firstLineChars="200"/>
              <w:rPr>
                <w:color w:val="000000" w:themeColor="text1"/>
                <w:kern w:val="0"/>
                <w:szCs w:val="16"/>
                <w14:textFill>
                  <w14:solidFill>
                    <w14:schemeClr w14:val="tx1"/>
                  </w14:solidFill>
                </w14:textFill>
              </w:rPr>
            </w:pPr>
            <w:r>
              <w:rPr>
                <w:color w:val="000000" w:themeColor="text1"/>
                <w:kern w:val="0"/>
                <w:szCs w:val="16"/>
                <w14:textFill>
                  <w14:solidFill>
                    <w14:schemeClr w14:val="tx1"/>
                  </w14:solidFill>
                </w14:textFill>
              </w:rPr>
              <w:t>本项目</w:t>
            </w:r>
            <w:r>
              <w:rPr>
                <w:rFonts w:hint="eastAsia"/>
                <w:color w:val="000000" w:themeColor="text1"/>
                <w:kern w:val="0"/>
                <w:szCs w:val="16"/>
                <w14:textFill>
                  <w14:solidFill>
                    <w14:schemeClr w14:val="tx1"/>
                  </w14:solidFill>
                </w14:textFill>
              </w:rPr>
              <w:t>主要</w:t>
            </w:r>
            <w:r>
              <w:rPr>
                <w:color w:val="000000" w:themeColor="text1"/>
                <w:kern w:val="0"/>
                <w:szCs w:val="16"/>
                <w14:textFill>
                  <w14:solidFill>
                    <w14:schemeClr w14:val="tx1"/>
                  </w14:solidFill>
                </w14:textFill>
              </w:rPr>
              <w:t>生产设施见表2.</w:t>
            </w:r>
            <w:r>
              <w:rPr>
                <w:rFonts w:hint="eastAsia"/>
                <w:color w:val="000000" w:themeColor="text1"/>
                <w:kern w:val="0"/>
                <w:szCs w:val="16"/>
                <w14:textFill>
                  <w14:solidFill>
                    <w14:schemeClr w14:val="tx1"/>
                  </w14:solidFill>
                </w14:textFill>
              </w:rPr>
              <w:t>4</w:t>
            </w:r>
            <w:r>
              <w:rPr>
                <w:color w:val="000000" w:themeColor="text1"/>
                <w:kern w:val="0"/>
                <w:szCs w:val="16"/>
                <w14:textFill>
                  <w14:solidFill>
                    <w14:schemeClr w14:val="tx1"/>
                  </w14:solidFill>
                </w14:textFill>
              </w:rPr>
              <w:t>-1。</w:t>
            </w:r>
          </w:p>
          <w:p w14:paraId="7F2A689F">
            <w:pPr>
              <w:suppressAutoHyphens/>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表2.</w:t>
            </w:r>
            <w:r>
              <w:rPr>
                <w:rFonts w:hint="eastAsia"/>
                <w:b/>
                <w:bCs/>
                <w:color w:val="000000" w:themeColor="text1"/>
                <w:szCs w:val="21"/>
                <w:highlight w:val="none"/>
                <w14:textFill>
                  <w14:solidFill>
                    <w14:schemeClr w14:val="tx1"/>
                  </w14:solidFill>
                </w14:textFill>
              </w:rPr>
              <w:t>4</w:t>
            </w:r>
            <w:r>
              <w:rPr>
                <w:b/>
                <w:bCs/>
                <w:color w:val="000000" w:themeColor="text1"/>
                <w:szCs w:val="21"/>
                <w:highlight w:val="none"/>
                <w14:textFill>
                  <w14:solidFill>
                    <w14:schemeClr w14:val="tx1"/>
                  </w14:solidFill>
                </w14:textFill>
              </w:rPr>
              <w:t>-1  本</w:t>
            </w:r>
            <w:r>
              <w:rPr>
                <w:rFonts w:hint="eastAsia"/>
                <w:b/>
                <w:bCs/>
                <w:color w:val="000000" w:themeColor="text1"/>
                <w:szCs w:val="21"/>
                <w:highlight w:val="none"/>
                <w14:textFill>
                  <w14:solidFill>
                    <w14:schemeClr w14:val="tx1"/>
                  </w14:solidFill>
                </w14:textFill>
              </w:rPr>
              <w:t>项目主要</w:t>
            </w:r>
            <w:r>
              <w:rPr>
                <w:b/>
                <w:bCs/>
                <w:color w:val="000000" w:themeColor="text1"/>
                <w:szCs w:val="21"/>
                <w:highlight w:val="none"/>
                <w14:textFill>
                  <w14:solidFill>
                    <w14:schemeClr w14:val="tx1"/>
                  </w14:solidFill>
                </w14:textFill>
              </w:rPr>
              <w:t>生产设施一览表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1701"/>
              <w:gridCol w:w="2398"/>
              <w:gridCol w:w="1413"/>
              <w:gridCol w:w="1948"/>
            </w:tblGrid>
            <w:tr w14:paraId="6A4267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noWrap w:val="0"/>
                  <w:vAlign w:val="center"/>
                </w:tcPr>
                <w:p w14:paraId="724D648C">
                  <w:pPr>
                    <w:spacing w:line="240" w:lineRule="auto"/>
                    <w:jc w:val="center"/>
                    <w:rPr>
                      <w:rFonts w:hint="eastAsia" w:ascii="Times New Roman" w:hAnsi="Times New Roman" w:eastAsia="宋体" w:cs="Times New Roman"/>
                      <w:b/>
                      <w:bCs/>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序号</w:t>
                  </w:r>
                </w:p>
              </w:tc>
              <w:tc>
                <w:tcPr>
                  <w:tcW w:w="1051" w:type="pct"/>
                  <w:noWrap w:val="0"/>
                  <w:vAlign w:val="center"/>
                </w:tcPr>
                <w:p w14:paraId="1E6D19A5">
                  <w:pPr>
                    <w:spacing w:line="240" w:lineRule="auto"/>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设备名称</w:t>
                  </w:r>
                </w:p>
              </w:tc>
              <w:tc>
                <w:tcPr>
                  <w:tcW w:w="1482" w:type="pct"/>
                  <w:noWrap w:val="0"/>
                  <w:vAlign w:val="center"/>
                </w:tcPr>
                <w:p w14:paraId="2EB38465">
                  <w:pPr>
                    <w:spacing w:line="240" w:lineRule="auto"/>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规格型号</w:t>
                  </w:r>
                </w:p>
              </w:tc>
              <w:tc>
                <w:tcPr>
                  <w:tcW w:w="873" w:type="pct"/>
                  <w:noWrap w:val="0"/>
                  <w:vAlign w:val="center"/>
                </w:tcPr>
                <w:p w14:paraId="34725908">
                  <w:pPr>
                    <w:spacing w:line="240" w:lineRule="auto"/>
                    <w:jc w:val="center"/>
                    <w:rPr>
                      <w:rFonts w:hint="eastAsia" w:ascii="Times New Roman" w:hAnsi="Times New Roman" w:eastAsia="宋体" w:cs="Times New Roman"/>
                      <w:b/>
                      <w:bCs/>
                      <w:color w:val="000000" w:themeColor="text1"/>
                      <w:szCs w:val="21"/>
                      <w:highlight w:val="none"/>
                      <w:lang w:eastAsia="zh-CN"/>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数量</w:t>
                  </w:r>
                  <w:r>
                    <w:rPr>
                      <w:rFonts w:hint="eastAsia" w:ascii="Times New Roman" w:hAnsi="Times New Roman" w:cs="Times New Roman"/>
                      <w:b/>
                      <w:bCs/>
                      <w:color w:val="000000" w:themeColor="text1"/>
                      <w:szCs w:val="21"/>
                      <w:highlight w:val="none"/>
                      <w:lang w:eastAsia="zh-CN"/>
                      <w14:textFill>
                        <w14:solidFill>
                          <w14:schemeClr w14:val="tx1"/>
                        </w14:solidFill>
                      </w14:textFill>
                    </w:rPr>
                    <w:t>（</w:t>
                  </w: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台</w:t>
                  </w:r>
                  <w:r>
                    <w:rPr>
                      <w:rFonts w:hint="eastAsia" w:cs="Times New Roman"/>
                      <w:b/>
                      <w:bCs/>
                      <w:color w:val="000000" w:themeColor="text1"/>
                      <w:szCs w:val="21"/>
                      <w:highlight w:val="none"/>
                      <w:lang w:val="en-US" w:eastAsia="zh-CN"/>
                      <w14:textFill>
                        <w14:solidFill>
                          <w14:schemeClr w14:val="tx1"/>
                        </w14:solidFill>
                      </w14:textFill>
                    </w:rPr>
                    <w:t>/条</w:t>
                  </w:r>
                  <w:r>
                    <w:rPr>
                      <w:rFonts w:hint="eastAsia" w:ascii="Times New Roman" w:hAnsi="Times New Roman" w:cs="Times New Roman"/>
                      <w:b/>
                      <w:bCs/>
                      <w:color w:val="000000" w:themeColor="text1"/>
                      <w:szCs w:val="21"/>
                      <w:highlight w:val="none"/>
                      <w:lang w:eastAsia="zh-CN"/>
                      <w14:textFill>
                        <w14:solidFill>
                          <w14:schemeClr w14:val="tx1"/>
                        </w14:solidFill>
                      </w14:textFill>
                    </w:rPr>
                    <w:t>）</w:t>
                  </w:r>
                </w:p>
              </w:tc>
              <w:tc>
                <w:tcPr>
                  <w:tcW w:w="1204" w:type="pct"/>
                  <w:noWrap w:val="0"/>
                  <w:vAlign w:val="center"/>
                </w:tcPr>
                <w:p w14:paraId="51C2B89A">
                  <w:pPr>
                    <w:spacing w:line="240" w:lineRule="auto"/>
                    <w:jc w:val="cente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备注</w:t>
                  </w:r>
                </w:p>
              </w:tc>
            </w:tr>
            <w:tr w14:paraId="39A9BC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86" w:type="pct"/>
                  <w:vMerge w:val="restart"/>
                  <w:noWrap w:val="0"/>
                  <w:vAlign w:val="center"/>
                </w:tcPr>
                <w:p w14:paraId="16A3A042">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051" w:type="pct"/>
                  <w:vMerge w:val="restart"/>
                  <w:noWrap w:val="0"/>
                  <w:vAlign w:val="center"/>
                </w:tcPr>
                <w:p w14:paraId="14478A08">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搅拌机</w:t>
                  </w:r>
                </w:p>
              </w:tc>
              <w:tc>
                <w:tcPr>
                  <w:tcW w:w="1482" w:type="pct"/>
                  <w:noWrap w:val="0"/>
                  <w:vAlign w:val="center"/>
                </w:tcPr>
                <w:p w14:paraId="45E558D2">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KV-500A</w:t>
                  </w:r>
                </w:p>
              </w:tc>
              <w:tc>
                <w:tcPr>
                  <w:tcW w:w="873" w:type="pct"/>
                  <w:noWrap w:val="0"/>
                  <w:vAlign w:val="center"/>
                </w:tcPr>
                <w:p w14:paraId="5A8308D5">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1204" w:type="pct"/>
                  <w:vMerge w:val="restart"/>
                  <w:noWrap w:val="0"/>
                  <w:vAlign w:val="center"/>
                </w:tcPr>
                <w:p w14:paraId="01E9C905">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搅拌</w:t>
                  </w:r>
                </w:p>
              </w:tc>
            </w:tr>
            <w:tr w14:paraId="7ABB82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86" w:type="pct"/>
                  <w:vMerge w:val="continue"/>
                  <w:noWrap w:val="0"/>
                  <w:vAlign w:val="center"/>
                </w:tcPr>
                <w:p w14:paraId="04067DBB">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51" w:type="pct"/>
                  <w:vMerge w:val="continue"/>
                  <w:noWrap w:val="0"/>
                  <w:vAlign w:val="center"/>
                </w:tcPr>
                <w:p w14:paraId="05EA5B79">
                  <w:pPr>
                    <w:jc w:val="center"/>
                    <w:rPr>
                      <w:rFonts w:hint="eastAsia" w:cs="Times New Roman"/>
                      <w:color w:val="000000" w:themeColor="text1"/>
                      <w:sz w:val="21"/>
                      <w:szCs w:val="21"/>
                      <w:lang w:val="en-US" w:eastAsia="zh-CN"/>
                      <w14:textFill>
                        <w14:solidFill>
                          <w14:schemeClr w14:val="tx1"/>
                        </w14:solidFill>
                      </w14:textFill>
                    </w:rPr>
                  </w:pPr>
                </w:p>
              </w:tc>
              <w:tc>
                <w:tcPr>
                  <w:tcW w:w="1482" w:type="pct"/>
                  <w:noWrap w:val="0"/>
                  <w:vAlign w:val="center"/>
                </w:tcPr>
                <w:p w14:paraId="69DB8205">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KV-1000A</w:t>
                  </w:r>
                </w:p>
              </w:tc>
              <w:tc>
                <w:tcPr>
                  <w:tcW w:w="873" w:type="pct"/>
                  <w:noWrap w:val="0"/>
                  <w:vAlign w:val="center"/>
                </w:tcPr>
                <w:p w14:paraId="6D1469D7">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1204" w:type="pct"/>
                  <w:vMerge w:val="continue"/>
                  <w:noWrap w:val="0"/>
                  <w:vAlign w:val="center"/>
                </w:tcPr>
                <w:p w14:paraId="1986450D">
                  <w:pPr>
                    <w:spacing w:line="240" w:lineRule="auto"/>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r>
            <w:tr w14:paraId="6E1912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vMerge w:val="restart"/>
                  <w:noWrap w:val="0"/>
                  <w:vAlign w:val="center"/>
                </w:tcPr>
                <w:p w14:paraId="7D653EB7">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1051" w:type="pct"/>
                  <w:vMerge w:val="restart"/>
                  <w:noWrap w:val="0"/>
                  <w:vAlign w:val="center"/>
                </w:tcPr>
                <w:p w14:paraId="5CC4E11F">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吹塑机</w:t>
                  </w:r>
                </w:p>
              </w:tc>
              <w:tc>
                <w:tcPr>
                  <w:tcW w:w="1482" w:type="pct"/>
                  <w:noWrap w:val="0"/>
                  <w:vAlign w:val="center"/>
                </w:tcPr>
                <w:p w14:paraId="351BDDC0">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TDB-80F/A，30件/h</w:t>
                  </w:r>
                </w:p>
              </w:tc>
              <w:tc>
                <w:tcPr>
                  <w:tcW w:w="873" w:type="pct"/>
                  <w:noWrap w:val="0"/>
                  <w:vAlign w:val="center"/>
                </w:tcPr>
                <w:p w14:paraId="77084F49">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1204" w:type="pct"/>
                  <w:vMerge w:val="restart"/>
                  <w:noWrap w:val="0"/>
                  <w:vAlign w:val="center"/>
                </w:tcPr>
                <w:p w14:paraId="144D3EDD">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吹塑</w:t>
                  </w:r>
                </w:p>
              </w:tc>
            </w:tr>
            <w:tr w14:paraId="4D513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vMerge w:val="continue"/>
                  <w:noWrap w:val="0"/>
                  <w:vAlign w:val="center"/>
                </w:tcPr>
                <w:p w14:paraId="44877B3D">
                  <w:pPr>
                    <w:spacing w:line="240" w:lineRule="auto"/>
                    <w:jc w:val="center"/>
                    <w:rPr>
                      <w:rFonts w:hint="eastAsia" w:cs="Times New Roman"/>
                      <w:color w:val="000000" w:themeColor="text1"/>
                      <w:sz w:val="21"/>
                      <w:szCs w:val="21"/>
                      <w:highlight w:val="none"/>
                      <w:lang w:val="en-US" w:eastAsia="zh-CN"/>
                      <w14:textFill>
                        <w14:solidFill>
                          <w14:schemeClr w14:val="tx1"/>
                        </w14:solidFill>
                      </w14:textFill>
                    </w:rPr>
                  </w:pPr>
                </w:p>
              </w:tc>
              <w:tc>
                <w:tcPr>
                  <w:tcW w:w="1051" w:type="pct"/>
                  <w:vMerge w:val="continue"/>
                  <w:noWrap w:val="0"/>
                  <w:vAlign w:val="center"/>
                </w:tcPr>
                <w:p w14:paraId="29CF484D">
                  <w:pPr>
                    <w:jc w:val="center"/>
                    <w:rPr>
                      <w:rFonts w:hint="eastAsia" w:cs="Times New Roman"/>
                      <w:color w:val="000000" w:themeColor="text1"/>
                      <w:sz w:val="21"/>
                      <w:szCs w:val="21"/>
                      <w:lang w:val="en-US" w:eastAsia="zh-CN"/>
                      <w14:textFill>
                        <w14:solidFill>
                          <w14:schemeClr w14:val="tx1"/>
                        </w14:solidFill>
                      </w14:textFill>
                    </w:rPr>
                  </w:pPr>
                </w:p>
              </w:tc>
              <w:tc>
                <w:tcPr>
                  <w:tcW w:w="1482" w:type="pct"/>
                  <w:noWrap w:val="0"/>
                  <w:vAlign w:val="center"/>
                </w:tcPr>
                <w:p w14:paraId="06DD83F1">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TDB-50，15件/h</w:t>
                  </w:r>
                </w:p>
              </w:tc>
              <w:tc>
                <w:tcPr>
                  <w:tcW w:w="873" w:type="pct"/>
                  <w:noWrap w:val="0"/>
                  <w:vAlign w:val="center"/>
                </w:tcPr>
                <w:p w14:paraId="6ADC32E4">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1204" w:type="pct"/>
                  <w:vMerge w:val="continue"/>
                  <w:noWrap w:val="0"/>
                  <w:vAlign w:val="center"/>
                </w:tcPr>
                <w:p w14:paraId="414F238A">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398D7E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vMerge w:val="continue"/>
                  <w:noWrap w:val="0"/>
                  <w:vAlign w:val="center"/>
                </w:tcPr>
                <w:p w14:paraId="1498C5D0">
                  <w:pPr>
                    <w:spacing w:line="240" w:lineRule="auto"/>
                    <w:jc w:val="center"/>
                    <w:rPr>
                      <w:rFonts w:hint="eastAsia" w:cs="Times New Roman"/>
                      <w:color w:val="000000" w:themeColor="text1"/>
                      <w:sz w:val="21"/>
                      <w:szCs w:val="21"/>
                      <w:highlight w:val="none"/>
                      <w:lang w:val="en-US" w:eastAsia="zh-CN"/>
                      <w14:textFill>
                        <w14:solidFill>
                          <w14:schemeClr w14:val="tx1"/>
                        </w14:solidFill>
                      </w14:textFill>
                    </w:rPr>
                  </w:pPr>
                </w:p>
              </w:tc>
              <w:tc>
                <w:tcPr>
                  <w:tcW w:w="1051" w:type="pct"/>
                  <w:vMerge w:val="continue"/>
                  <w:noWrap w:val="0"/>
                  <w:vAlign w:val="center"/>
                </w:tcPr>
                <w:p w14:paraId="54218439">
                  <w:pPr>
                    <w:jc w:val="center"/>
                    <w:rPr>
                      <w:rFonts w:hint="eastAsia" w:cs="Times New Roman"/>
                      <w:color w:val="000000" w:themeColor="text1"/>
                      <w:sz w:val="21"/>
                      <w:szCs w:val="21"/>
                      <w:lang w:val="en-US" w:eastAsia="zh-CN"/>
                      <w14:textFill>
                        <w14:solidFill>
                          <w14:schemeClr w14:val="tx1"/>
                        </w14:solidFill>
                      </w14:textFill>
                    </w:rPr>
                  </w:pPr>
                </w:p>
              </w:tc>
              <w:tc>
                <w:tcPr>
                  <w:tcW w:w="1482" w:type="pct"/>
                  <w:noWrap w:val="0"/>
                  <w:vAlign w:val="center"/>
                </w:tcPr>
                <w:p w14:paraId="30F7680C">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TDB-25，10件/h</w:t>
                  </w:r>
                </w:p>
              </w:tc>
              <w:tc>
                <w:tcPr>
                  <w:tcW w:w="873" w:type="pct"/>
                  <w:noWrap w:val="0"/>
                  <w:vAlign w:val="center"/>
                </w:tcPr>
                <w:p w14:paraId="75E24F8D">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1204" w:type="pct"/>
                  <w:vMerge w:val="continue"/>
                  <w:noWrap w:val="0"/>
                  <w:vAlign w:val="center"/>
                </w:tcPr>
                <w:p w14:paraId="1A095A2B">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496D6F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386" w:type="pct"/>
                  <w:vMerge w:val="continue"/>
                  <w:noWrap w:val="0"/>
                  <w:vAlign w:val="center"/>
                </w:tcPr>
                <w:p w14:paraId="7685B538">
                  <w:pPr>
                    <w:spacing w:line="240" w:lineRule="auto"/>
                    <w:jc w:val="center"/>
                    <w:rPr>
                      <w:rFonts w:hint="eastAsia" w:cs="Times New Roman"/>
                      <w:color w:val="000000" w:themeColor="text1"/>
                      <w:sz w:val="21"/>
                      <w:szCs w:val="21"/>
                      <w:highlight w:val="none"/>
                      <w:lang w:val="en-US" w:eastAsia="zh-CN"/>
                      <w14:textFill>
                        <w14:solidFill>
                          <w14:schemeClr w14:val="tx1"/>
                        </w14:solidFill>
                      </w14:textFill>
                    </w:rPr>
                  </w:pPr>
                </w:p>
              </w:tc>
              <w:tc>
                <w:tcPr>
                  <w:tcW w:w="1051" w:type="pct"/>
                  <w:vMerge w:val="continue"/>
                  <w:noWrap w:val="0"/>
                  <w:vAlign w:val="center"/>
                </w:tcPr>
                <w:p w14:paraId="767EDFEE">
                  <w:pPr>
                    <w:jc w:val="center"/>
                    <w:rPr>
                      <w:rFonts w:hint="eastAsia" w:cs="Times New Roman"/>
                      <w:color w:val="000000" w:themeColor="text1"/>
                      <w:sz w:val="21"/>
                      <w:szCs w:val="21"/>
                      <w:lang w:val="en-US" w:eastAsia="zh-CN"/>
                      <w14:textFill>
                        <w14:solidFill>
                          <w14:schemeClr w14:val="tx1"/>
                        </w14:solidFill>
                      </w14:textFill>
                    </w:rPr>
                  </w:pPr>
                </w:p>
              </w:tc>
              <w:tc>
                <w:tcPr>
                  <w:tcW w:w="1482" w:type="pct"/>
                  <w:noWrap w:val="0"/>
                  <w:vAlign w:val="center"/>
                </w:tcPr>
                <w:p w14:paraId="4F836221">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CW-75，25件/h</w:t>
                  </w:r>
                </w:p>
              </w:tc>
              <w:tc>
                <w:tcPr>
                  <w:tcW w:w="873" w:type="pct"/>
                  <w:noWrap w:val="0"/>
                  <w:vAlign w:val="center"/>
                </w:tcPr>
                <w:p w14:paraId="5A954D40">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1204" w:type="pct"/>
                  <w:vMerge w:val="continue"/>
                  <w:noWrap w:val="0"/>
                  <w:vAlign w:val="center"/>
                </w:tcPr>
                <w:p w14:paraId="2F37DE20">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2E4306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noWrap w:val="0"/>
                  <w:vAlign w:val="center"/>
                </w:tcPr>
                <w:p w14:paraId="3519D5E9">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051" w:type="pct"/>
                  <w:noWrap w:val="0"/>
                  <w:vAlign w:val="center"/>
                </w:tcPr>
                <w:p w14:paraId="08795A74">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丝网印刷机</w:t>
                  </w:r>
                </w:p>
              </w:tc>
              <w:tc>
                <w:tcPr>
                  <w:tcW w:w="1482" w:type="pct"/>
                  <w:noWrap w:val="0"/>
                  <w:vAlign w:val="center"/>
                </w:tcPr>
                <w:p w14:paraId="5D9052EB">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DES-500</w:t>
                  </w:r>
                </w:p>
              </w:tc>
              <w:tc>
                <w:tcPr>
                  <w:tcW w:w="873" w:type="pct"/>
                  <w:noWrap w:val="0"/>
                  <w:vAlign w:val="center"/>
                </w:tcPr>
                <w:p w14:paraId="7770D880">
                  <w:pPr>
                    <w:jc w:val="center"/>
                    <w:rPr>
                      <w:rFonts w:hint="default" w:cs="Times New Roman"/>
                      <w:color w:val="000000" w:themeColor="text1"/>
                      <w:sz w:val="21"/>
                      <w:szCs w:val="21"/>
                      <w:lang w:val="en-US" w:eastAsia="zh-CN"/>
                      <w14:textFill>
                        <w14:solidFill>
                          <w14:schemeClr w14:val="tx1"/>
                        </w14:solidFill>
                      </w14:textFill>
                    </w:rPr>
                  </w:pPr>
                  <w:r>
                    <w:rPr>
                      <w:rFonts w:hint="default" w:cs="Times New Roman"/>
                      <w:color w:val="000000" w:themeColor="text1"/>
                      <w:sz w:val="21"/>
                      <w:szCs w:val="21"/>
                      <w:lang w:val="en-US" w:eastAsia="zh-CN"/>
                      <w14:textFill>
                        <w14:solidFill>
                          <w14:schemeClr w14:val="tx1"/>
                        </w14:solidFill>
                      </w14:textFill>
                    </w:rPr>
                    <w:t>1</w:t>
                  </w:r>
                </w:p>
              </w:tc>
              <w:tc>
                <w:tcPr>
                  <w:tcW w:w="1204" w:type="pct"/>
                  <w:noWrap w:val="0"/>
                  <w:vAlign w:val="center"/>
                </w:tcPr>
                <w:p w14:paraId="777A0B2E">
                  <w:pPr>
                    <w:spacing w:line="24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印刷</w:t>
                  </w:r>
                </w:p>
              </w:tc>
            </w:tr>
            <w:tr w14:paraId="330204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noWrap w:val="0"/>
                  <w:vAlign w:val="center"/>
                </w:tcPr>
                <w:p w14:paraId="561577EB">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051" w:type="pct"/>
                  <w:noWrap w:val="0"/>
                  <w:vAlign w:val="center"/>
                </w:tcPr>
                <w:p w14:paraId="60E8216F">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烘道线</w:t>
                  </w:r>
                </w:p>
              </w:tc>
              <w:tc>
                <w:tcPr>
                  <w:tcW w:w="1482" w:type="pct"/>
                  <w:noWrap w:val="0"/>
                  <w:vAlign w:val="center"/>
                </w:tcPr>
                <w:p w14:paraId="11B19F27">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20米</w:t>
                  </w:r>
                </w:p>
              </w:tc>
              <w:tc>
                <w:tcPr>
                  <w:tcW w:w="873" w:type="pct"/>
                  <w:noWrap w:val="0"/>
                  <w:vAlign w:val="center"/>
                </w:tcPr>
                <w:p w14:paraId="358D845C">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1204" w:type="pct"/>
                  <w:noWrap w:val="0"/>
                  <w:vAlign w:val="center"/>
                </w:tcPr>
                <w:p w14:paraId="1571C4C2">
                  <w:pPr>
                    <w:spacing w:line="24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烘干</w:t>
                  </w:r>
                </w:p>
              </w:tc>
            </w:tr>
            <w:tr w14:paraId="28125F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86" w:type="pct"/>
                  <w:vMerge w:val="restart"/>
                  <w:noWrap w:val="0"/>
                  <w:vAlign w:val="center"/>
                </w:tcPr>
                <w:p w14:paraId="47B79292">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1051" w:type="pct"/>
                  <w:vMerge w:val="restart"/>
                  <w:noWrap w:val="0"/>
                  <w:vAlign w:val="center"/>
                </w:tcPr>
                <w:p w14:paraId="57CD2FC9">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破碎机</w:t>
                  </w:r>
                </w:p>
              </w:tc>
              <w:tc>
                <w:tcPr>
                  <w:tcW w:w="1482" w:type="pct"/>
                  <w:noWrap w:val="0"/>
                  <w:vAlign w:val="center"/>
                </w:tcPr>
                <w:p w14:paraId="4F56E22B">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VCY-30HP</w:t>
                  </w:r>
                </w:p>
              </w:tc>
              <w:tc>
                <w:tcPr>
                  <w:tcW w:w="873" w:type="pct"/>
                  <w:noWrap w:val="0"/>
                  <w:vAlign w:val="center"/>
                </w:tcPr>
                <w:p w14:paraId="5FD2DFAF">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1204" w:type="pct"/>
                  <w:vMerge w:val="restart"/>
                  <w:noWrap w:val="0"/>
                  <w:vAlign w:val="center"/>
                </w:tcPr>
                <w:p w14:paraId="7D975DC9">
                  <w:pPr>
                    <w:spacing w:line="24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破碎</w:t>
                  </w:r>
                </w:p>
              </w:tc>
            </w:tr>
            <w:tr w14:paraId="25CE3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vMerge w:val="continue"/>
                  <w:noWrap w:val="0"/>
                  <w:vAlign w:val="center"/>
                </w:tcPr>
                <w:p w14:paraId="7B5E8E6B">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51" w:type="pct"/>
                  <w:vMerge w:val="continue"/>
                  <w:noWrap w:val="0"/>
                  <w:vAlign w:val="center"/>
                </w:tcPr>
                <w:p w14:paraId="462A4238">
                  <w:pPr>
                    <w:jc w:val="center"/>
                    <w:rPr>
                      <w:rFonts w:hint="eastAsia" w:cs="Times New Roman"/>
                      <w:color w:val="000000" w:themeColor="text1"/>
                      <w:sz w:val="21"/>
                      <w:szCs w:val="21"/>
                      <w:lang w:val="en-US" w:eastAsia="zh-CN"/>
                      <w14:textFill>
                        <w14:solidFill>
                          <w14:schemeClr w14:val="tx1"/>
                        </w14:solidFill>
                      </w14:textFill>
                    </w:rPr>
                  </w:pPr>
                </w:p>
              </w:tc>
              <w:tc>
                <w:tcPr>
                  <w:tcW w:w="1482" w:type="pct"/>
                  <w:noWrap w:val="0"/>
                  <w:vAlign w:val="center"/>
                </w:tcPr>
                <w:p w14:paraId="5C3D2420">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WSGP-600</w:t>
                  </w:r>
                </w:p>
              </w:tc>
              <w:tc>
                <w:tcPr>
                  <w:tcW w:w="873" w:type="pct"/>
                  <w:noWrap w:val="0"/>
                  <w:vAlign w:val="center"/>
                </w:tcPr>
                <w:p w14:paraId="3B7D2D2B">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w:t>
                  </w:r>
                </w:p>
              </w:tc>
              <w:tc>
                <w:tcPr>
                  <w:tcW w:w="1204" w:type="pct"/>
                  <w:vMerge w:val="continue"/>
                  <w:noWrap w:val="0"/>
                  <w:vAlign w:val="center"/>
                </w:tcPr>
                <w:p w14:paraId="4EA55889">
                  <w:pPr>
                    <w:spacing w:line="24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r>
            <w:tr w14:paraId="5C029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noWrap w:val="0"/>
                  <w:vAlign w:val="center"/>
                </w:tcPr>
                <w:p w14:paraId="646D1DD9">
                  <w:pPr>
                    <w:spacing w:line="240" w:lineRule="auto"/>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1051" w:type="pct"/>
                  <w:noWrap w:val="0"/>
                  <w:vAlign w:val="center"/>
                </w:tcPr>
                <w:p w14:paraId="46DA9546">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切口机</w:t>
                  </w:r>
                </w:p>
              </w:tc>
              <w:tc>
                <w:tcPr>
                  <w:tcW w:w="1482" w:type="pct"/>
                  <w:noWrap w:val="0"/>
                  <w:vAlign w:val="center"/>
                </w:tcPr>
                <w:p w14:paraId="1AEE2D27">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KV-QK-01--20</w:t>
                  </w:r>
                </w:p>
              </w:tc>
              <w:tc>
                <w:tcPr>
                  <w:tcW w:w="873" w:type="pct"/>
                  <w:noWrap w:val="0"/>
                  <w:vAlign w:val="center"/>
                </w:tcPr>
                <w:p w14:paraId="1E9F42DB">
                  <w:pPr>
                    <w:jc w:val="center"/>
                    <w:rPr>
                      <w:rFonts w:hint="default" w:cs="Times New Roman"/>
                      <w:color w:val="000000" w:themeColor="text1"/>
                      <w:sz w:val="21"/>
                      <w:szCs w:val="21"/>
                      <w:lang w:val="en-US" w:eastAsia="zh-CN"/>
                      <w14:textFill>
                        <w14:solidFill>
                          <w14:schemeClr w14:val="tx1"/>
                        </w14:solidFill>
                      </w14:textFill>
                    </w:rPr>
                  </w:pPr>
                  <w:r>
                    <w:rPr>
                      <w:rFonts w:hint="default" w:cs="Times New Roman"/>
                      <w:color w:val="000000" w:themeColor="text1"/>
                      <w:sz w:val="21"/>
                      <w:szCs w:val="21"/>
                      <w:lang w:val="en-US" w:eastAsia="zh-CN"/>
                      <w14:textFill>
                        <w14:solidFill>
                          <w14:schemeClr w14:val="tx1"/>
                        </w14:solidFill>
                      </w14:textFill>
                    </w:rPr>
                    <w:t>20</w:t>
                  </w:r>
                </w:p>
              </w:tc>
              <w:tc>
                <w:tcPr>
                  <w:tcW w:w="1204" w:type="pct"/>
                  <w:vMerge w:val="restart"/>
                  <w:noWrap w:val="0"/>
                  <w:vAlign w:val="center"/>
                </w:tcPr>
                <w:p w14:paraId="3666A59D">
                  <w:pPr>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机加工</w:t>
                  </w:r>
                </w:p>
              </w:tc>
            </w:tr>
            <w:tr w14:paraId="1E505F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noWrap w:val="0"/>
                  <w:vAlign w:val="center"/>
                </w:tcPr>
                <w:p w14:paraId="4D57C4DD">
                  <w:pPr>
                    <w:spacing w:line="240" w:lineRule="auto"/>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7</w:t>
                  </w:r>
                </w:p>
              </w:tc>
              <w:tc>
                <w:tcPr>
                  <w:tcW w:w="1051" w:type="pct"/>
                  <w:noWrap w:val="0"/>
                  <w:vAlign w:val="center"/>
                </w:tcPr>
                <w:p w14:paraId="7A6C5A6C">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钻床</w:t>
                  </w:r>
                </w:p>
              </w:tc>
              <w:tc>
                <w:tcPr>
                  <w:tcW w:w="1482" w:type="pct"/>
                  <w:noWrap w:val="0"/>
                  <w:vAlign w:val="center"/>
                </w:tcPr>
                <w:p w14:paraId="2E37F594">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Z4116</w:t>
                  </w:r>
                </w:p>
              </w:tc>
              <w:tc>
                <w:tcPr>
                  <w:tcW w:w="873" w:type="pct"/>
                  <w:noWrap w:val="0"/>
                  <w:vAlign w:val="center"/>
                </w:tcPr>
                <w:p w14:paraId="2B4CADCC">
                  <w:pPr>
                    <w:jc w:val="center"/>
                    <w:rPr>
                      <w:rFonts w:hint="default" w:cs="Times New Roman"/>
                      <w:color w:val="000000" w:themeColor="text1"/>
                      <w:sz w:val="21"/>
                      <w:szCs w:val="21"/>
                      <w:lang w:val="en-US" w:eastAsia="zh-CN"/>
                      <w14:textFill>
                        <w14:solidFill>
                          <w14:schemeClr w14:val="tx1"/>
                        </w14:solidFill>
                      </w14:textFill>
                    </w:rPr>
                  </w:pPr>
                  <w:r>
                    <w:rPr>
                      <w:rFonts w:hint="default" w:cs="Times New Roman"/>
                      <w:color w:val="000000" w:themeColor="text1"/>
                      <w:sz w:val="21"/>
                      <w:szCs w:val="21"/>
                      <w:lang w:val="en-US" w:eastAsia="zh-CN"/>
                      <w14:textFill>
                        <w14:solidFill>
                          <w14:schemeClr w14:val="tx1"/>
                        </w14:solidFill>
                      </w14:textFill>
                    </w:rPr>
                    <w:t>5</w:t>
                  </w:r>
                </w:p>
              </w:tc>
              <w:tc>
                <w:tcPr>
                  <w:tcW w:w="1204" w:type="pct"/>
                  <w:vMerge w:val="continue"/>
                  <w:noWrap w:val="0"/>
                  <w:vAlign w:val="center"/>
                </w:tcPr>
                <w:p w14:paraId="750CBE82">
                  <w:pPr>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r>
            <w:tr w14:paraId="5668BD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noWrap w:val="0"/>
                  <w:vAlign w:val="center"/>
                </w:tcPr>
                <w:p w14:paraId="65197773">
                  <w:pPr>
                    <w:spacing w:line="240" w:lineRule="auto"/>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8</w:t>
                  </w:r>
                </w:p>
              </w:tc>
              <w:tc>
                <w:tcPr>
                  <w:tcW w:w="1051" w:type="pct"/>
                  <w:noWrap w:val="0"/>
                  <w:vAlign w:val="center"/>
                </w:tcPr>
                <w:p w14:paraId="7DDD6940">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自动机器人（切割、开孔）</w:t>
                  </w:r>
                </w:p>
              </w:tc>
              <w:tc>
                <w:tcPr>
                  <w:tcW w:w="1482" w:type="pct"/>
                  <w:noWrap w:val="0"/>
                  <w:vAlign w:val="center"/>
                </w:tcPr>
                <w:p w14:paraId="5E1AD5A5">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BRTIRUS1510A</w:t>
                  </w:r>
                </w:p>
              </w:tc>
              <w:tc>
                <w:tcPr>
                  <w:tcW w:w="873" w:type="pct"/>
                  <w:noWrap w:val="0"/>
                  <w:vAlign w:val="center"/>
                </w:tcPr>
                <w:p w14:paraId="15F67150">
                  <w:pPr>
                    <w:jc w:val="center"/>
                    <w:rPr>
                      <w:rFonts w:hint="default" w:cs="Times New Roman"/>
                      <w:color w:val="000000" w:themeColor="text1"/>
                      <w:sz w:val="21"/>
                      <w:szCs w:val="21"/>
                      <w:lang w:val="en-US" w:eastAsia="zh-CN"/>
                      <w14:textFill>
                        <w14:solidFill>
                          <w14:schemeClr w14:val="tx1"/>
                        </w14:solidFill>
                      </w14:textFill>
                    </w:rPr>
                  </w:pPr>
                  <w:r>
                    <w:rPr>
                      <w:rFonts w:hint="default" w:cs="Times New Roman"/>
                      <w:color w:val="000000" w:themeColor="text1"/>
                      <w:sz w:val="21"/>
                      <w:szCs w:val="21"/>
                      <w:lang w:val="en-US" w:eastAsia="zh-CN"/>
                      <w14:textFill>
                        <w14:solidFill>
                          <w14:schemeClr w14:val="tx1"/>
                        </w14:solidFill>
                      </w14:textFill>
                    </w:rPr>
                    <w:t>2</w:t>
                  </w:r>
                </w:p>
              </w:tc>
              <w:tc>
                <w:tcPr>
                  <w:tcW w:w="1204" w:type="pct"/>
                  <w:vMerge w:val="continue"/>
                  <w:noWrap w:val="0"/>
                  <w:vAlign w:val="center"/>
                </w:tcPr>
                <w:p w14:paraId="253191E2">
                  <w:pPr>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r>
            <w:tr w14:paraId="7FCBC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noWrap w:val="0"/>
                  <w:vAlign w:val="center"/>
                </w:tcPr>
                <w:p w14:paraId="5F9E0C3D">
                  <w:pPr>
                    <w:spacing w:line="240" w:lineRule="auto"/>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9</w:t>
                  </w:r>
                </w:p>
              </w:tc>
              <w:tc>
                <w:tcPr>
                  <w:tcW w:w="1051" w:type="pct"/>
                  <w:noWrap w:val="0"/>
                  <w:vAlign w:val="center"/>
                </w:tcPr>
                <w:p w14:paraId="03B1AB53">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空压机</w:t>
                  </w:r>
                </w:p>
              </w:tc>
              <w:tc>
                <w:tcPr>
                  <w:tcW w:w="1482" w:type="pct"/>
                  <w:noWrap w:val="0"/>
                  <w:vAlign w:val="center"/>
                </w:tcPr>
                <w:p w14:paraId="27E4A076">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TR-60AZII/XS-20/8</w:t>
                  </w:r>
                </w:p>
              </w:tc>
              <w:tc>
                <w:tcPr>
                  <w:tcW w:w="873" w:type="pct"/>
                  <w:noWrap w:val="0"/>
                  <w:vAlign w:val="center"/>
                </w:tcPr>
                <w:p w14:paraId="30690888">
                  <w:pPr>
                    <w:jc w:val="center"/>
                    <w:rPr>
                      <w:rFonts w:hint="default" w:cs="Times New Roman"/>
                      <w:color w:val="000000" w:themeColor="text1"/>
                      <w:sz w:val="21"/>
                      <w:szCs w:val="21"/>
                      <w:lang w:val="en-US" w:eastAsia="zh-CN"/>
                      <w14:textFill>
                        <w14:solidFill>
                          <w14:schemeClr w14:val="tx1"/>
                        </w14:solidFill>
                      </w14:textFill>
                    </w:rPr>
                  </w:pPr>
                  <w:r>
                    <w:rPr>
                      <w:rFonts w:hint="default" w:cs="Times New Roman"/>
                      <w:color w:val="000000" w:themeColor="text1"/>
                      <w:sz w:val="21"/>
                      <w:szCs w:val="21"/>
                      <w:lang w:val="en-US" w:eastAsia="zh-CN"/>
                      <w14:textFill>
                        <w14:solidFill>
                          <w14:schemeClr w14:val="tx1"/>
                        </w14:solidFill>
                      </w14:textFill>
                    </w:rPr>
                    <w:t>2</w:t>
                  </w:r>
                </w:p>
              </w:tc>
              <w:tc>
                <w:tcPr>
                  <w:tcW w:w="1204" w:type="pct"/>
                  <w:vMerge w:val="restart"/>
                  <w:noWrap w:val="0"/>
                  <w:vAlign w:val="center"/>
                </w:tcPr>
                <w:p w14:paraId="0B000B48">
                  <w:pPr>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辅助设备</w:t>
                  </w:r>
                </w:p>
              </w:tc>
            </w:tr>
            <w:tr w14:paraId="2500EE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noWrap w:val="0"/>
                  <w:vAlign w:val="center"/>
                </w:tcPr>
                <w:p w14:paraId="1882698F">
                  <w:pPr>
                    <w:spacing w:line="240" w:lineRule="auto"/>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10</w:t>
                  </w:r>
                </w:p>
              </w:tc>
              <w:tc>
                <w:tcPr>
                  <w:tcW w:w="1051" w:type="pct"/>
                  <w:noWrap w:val="0"/>
                  <w:vAlign w:val="center"/>
                </w:tcPr>
                <w:p w14:paraId="22AC420B">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冷却塔</w:t>
                  </w:r>
                </w:p>
              </w:tc>
              <w:tc>
                <w:tcPr>
                  <w:tcW w:w="1482" w:type="pct"/>
                  <w:noWrap w:val="0"/>
                  <w:vAlign w:val="center"/>
                </w:tcPr>
                <w:p w14:paraId="790328B6">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60t/h</w:t>
                  </w:r>
                </w:p>
              </w:tc>
              <w:tc>
                <w:tcPr>
                  <w:tcW w:w="873" w:type="pct"/>
                  <w:noWrap w:val="0"/>
                  <w:vAlign w:val="center"/>
                </w:tcPr>
                <w:p w14:paraId="4B58D5D5">
                  <w:pPr>
                    <w:jc w:val="center"/>
                    <w:rPr>
                      <w:rFonts w:hint="default" w:cs="Times New Roman"/>
                      <w:color w:val="000000" w:themeColor="text1"/>
                      <w:sz w:val="21"/>
                      <w:szCs w:val="21"/>
                      <w:lang w:val="en-US" w:eastAsia="zh-CN"/>
                      <w14:textFill>
                        <w14:solidFill>
                          <w14:schemeClr w14:val="tx1"/>
                        </w14:solidFill>
                      </w14:textFill>
                    </w:rPr>
                  </w:pPr>
                  <w:r>
                    <w:rPr>
                      <w:rFonts w:hint="default" w:cs="Times New Roman"/>
                      <w:color w:val="000000" w:themeColor="text1"/>
                      <w:sz w:val="21"/>
                      <w:szCs w:val="21"/>
                      <w:lang w:val="en-US" w:eastAsia="zh-CN"/>
                      <w14:textFill>
                        <w14:solidFill>
                          <w14:schemeClr w14:val="tx1"/>
                        </w14:solidFill>
                      </w14:textFill>
                    </w:rPr>
                    <w:t>1</w:t>
                  </w:r>
                </w:p>
              </w:tc>
              <w:tc>
                <w:tcPr>
                  <w:tcW w:w="1204" w:type="pct"/>
                  <w:vMerge w:val="continue"/>
                  <w:noWrap w:val="0"/>
                  <w:vAlign w:val="center"/>
                </w:tcPr>
                <w:p w14:paraId="48A7A429">
                  <w:pPr>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r>
            <w:tr w14:paraId="131CDC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noWrap w:val="0"/>
                  <w:vAlign w:val="center"/>
                </w:tcPr>
                <w:p w14:paraId="4C0804D7">
                  <w:pPr>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11</w:t>
                  </w:r>
                </w:p>
              </w:tc>
              <w:tc>
                <w:tcPr>
                  <w:tcW w:w="1051" w:type="pct"/>
                  <w:noWrap w:val="0"/>
                  <w:vAlign w:val="center"/>
                </w:tcPr>
                <w:p w14:paraId="2BC5E0A9">
                  <w:pPr>
                    <w:jc w:val="center"/>
                    <w:rPr>
                      <w:rFonts w:hint="eastAsia"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测漏机</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配备检验用水箱</w:t>
                  </w:r>
                  <w:r>
                    <w:rPr>
                      <w:rFonts w:hint="eastAsia"/>
                      <w:color w:val="000000" w:themeColor="text1"/>
                      <w:lang w:eastAsia="zh-CN"/>
                      <w14:textFill>
                        <w14:solidFill>
                          <w14:schemeClr w14:val="tx1"/>
                        </w14:solidFill>
                      </w14:textFill>
                    </w:rPr>
                    <w:t>）</w:t>
                  </w:r>
                </w:p>
              </w:tc>
              <w:tc>
                <w:tcPr>
                  <w:tcW w:w="1482" w:type="pct"/>
                  <w:noWrap w:val="0"/>
                  <w:vAlign w:val="center"/>
                </w:tcPr>
                <w:p w14:paraId="19FCA2ED">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873" w:type="pct"/>
                  <w:noWrap w:val="0"/>
                  <w:vAlign w:val="center"/>
                </w:tcPr>
                <w:p w14:paraId="04C0DC7D">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1204" w:type="pct"/>
                  <w:vMerge w:val="restart"/>
                  <w:noWrap w:val="0"/>
                  <w:vAlign w:val="center"/>
                </w:tcPr>
                <w:p w14:paraId="6680E466">
                  <w:pPr>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检验设备</w:t>
                  </w:r>
                </w:p>
              </w:tc>
            </w:tr>
            <w:tr w14:paraId="3D70B0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86" w:type="pct"/>
                  <w:noWrap w:val="0"/>
                  <w:vAlign w:val="center"/>
                </w:tcPr>
                <w:p w14:paraId="30A2731D">
                  <w:pPr>
                    <w:spacing w:line="240" w:lineRule="auto"/>
                    <w:jc w:val="center"/>
                    <w:rPr>
                      <w:rFonts w:hint="default"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12</w:t>
                  </w:r>
                </w:p>
              </w:tc>
              <w:tc>
                <w:tcPr>
                  <w:tcW w:w="1051" w:type="pct"/>
                  <w:noWrap w:val="0"/>
                  <w:vAlign w:val="center"/>
                </w:tcPr>
                <w:p w14:paraId="19972C68">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测漏机（气测）</w:t>
                  </w:r>
                </w:p>
              </w:tc>
              <w:tc>
                <w:tcPr>
                  <w:tcW w:w="1482" w:type="pct"/>
                  <w:noWrap w:val="0"/>
                  <w:vAlign w:val="center"/>
                </w:tcPr>
                <w:p w14:paraId="54556BD7">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KV-C1-01</w:t>
                  </w:r>
                </w:p>
              </w:tc>
              <w:tc>
                <w:tcPr>
                  <w:tcW w:w="873" w:type="pct"/>
                  <w:noWrap w:val="0"/>
                  <w:vAlign w:val="center"/>
                </w:tcPr>
                <w:p w14:paraId="4B1766D0">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1204" w:type="pct"/>
                  <w:vMerge w:val="continue"/>
                  <w:noWrap w:val="0"/>
                  <w:vAlign w:val="center"/>
                </w:tcPr>
                <w:p w14:paraId="6E80796F">
                  <w:pPr>
                    <w:spacing w:line="240" w:lineRule="auto"/>
                    <w:jc w:val="center"/>
                    <w:rPr>
                      <w:rFonts w:hint="eastAsia" w:cs="Times New Roman"/>
                      <w:b w:val="0"/>
                      <w:bCs w:val="0"/>
                      <w:color w:val="000000" w:themeColor="text1"/>
                      <w:kern w:val="0"/>
                      <w:sz w:val="21"/>
                      <w:szCs w:val="21"/>
                      <w:highlight w:val="none"/>
                      <w:lang w:val="en-US" w:eastAsia="zh-CN"/>
                      <w14:textFill>
                        <w14:solidFill>
                          <w14:schemeClr w14:val="tx1"/>
                        </w14:solidFill>
                      </w14:textFill>
                    </w:rPr>
                  </w:pPr>
                </w:p>
              </w:tc>
            </w:tr>
            <w:tr w14:paraId="14B2B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noWrap w:val="0"/>
                  <w:vAlign w:val="center"/>
                </w:tcPr>
                <w:p w14:paraId="3A55AB3E">
                  <w:pPr>
                    <w:spacing w:line="240" w:lineRule="auto"/>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13</w:t>
                  </w:r>
                </w:p>
              </w:tc>
              <w:tc>
                <w:tcPr>
                  <w:tcW w:w="1051" w:type="pct"/>
                  <w:noWrap w:val="0"/>
                  <w:vAlign w:val="center"/>
                </w:tcPr>
                <w:p w14:paraId="4854DECB">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二级活性炭吸附装置TA001</w:t>
                  </w:r>
                </w:p>
              </w:tc>
              <w:tc>
                <w:tcPr>
                  <w:tcW w:w="1482" w:type="pct"/>
                  <w:noWrap w:val="0"/>
                  <w:vAlign w:val="center"/>
                </w:tcPr>
                <w:p w14:paraId="4DA56581">
                  <w:pPr>
                    <w:jc w:val="center"/>
                    <w:rPr>
                      <w:rFonts w:hint="eastAsia" w:cs="Times New Roman"/>
                      <w:color w:val="000000" w:themeColor="text1"/>
                      <w:sz w:val="21"/>
                      <w:szCs w:val="21"/>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设计</w:t>
                  </w:r>
                  <w:r>
                    <w:rPr>
                      <w:color w:val="000000" w:themeColor="text1"/>
                      <w:szCs w:val="21"/>
                      <w:highlight w:val="none"/>
                      <w14:textFill>
                        <w14:solidFill>
                          <w14:schemeClr w14:val="tx1"/>
                        </w14:solidFill>
                      </w14:textFill>
                    </w:rPr>
                    <w:t>风量1</w:t>
                  </w:r>
                  <w:r>
                    <w:rPr>
                      <w:rFonts w:hint="eastAsia"/>
                      <w:color w:val="000000" w:themeColor="text1"/>
                      <w:szCs w:val="21"/>
                      <w:highlight w:val="none"/>
                      <w:lang w:val="en-US" w:eastAsia="zh-CN"/>
                      <w14:textFill>
                        <w14:solidFill>
                          <w14:schemeClr w14:val="tx1"/>
                        </w14:solidFill>
                      </w14:textFill>
                    </w:rPr>
                    <w:t>2</w:t>
                  </w:r>
                  <w:r>
                    <w:rPr>
                      <w:color w:val="000000" w:themeColor="text1"/>
                      <w:szCs w:val="21"/>
                      <w:highlight w:val="none"/>
                      <w14:textFill>
                        <w14:solidFill>
                          <w14:schemeClr w14:val="tx1"/>
                        </w14:solidFill>
                      </w14:textFill>
                    </w:rPr>
                    <w:t>000m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/h</w:t>
                  </w:r>
                </w:p>
              </w:tc>
              <w:tc>
                <w:tcPr>
                  <w:tcW w:w="873" w:type="pct"/>
                  <w:noWrap w:val="0"/>
                  <w:vAlign w:val="center"/>
                </w:tcPr>
                <w:p w14:paraId="1388A089">
                  <w:pPr>
                    <w:spacing w:line="380" w:lineRule="exact"/>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p>
              </w:tc>
              <w:tc>
                <w:tcPr>
                  <w:tcW w:w="1204" w:type="pct"/>
                  <w:noWrap w:val="0"/>
                  <w:vAlign w:val="center"/>
                </w:tcPr>
                <w:p w14:paraId="1C66A61D">
                  <w:pPr>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废气处理设备</w:t>
                  </w:r>
                </w:p>
              </w:tc>
            </w:tr>
          </w:tbl>
          <w:p w14:paraId="7156A56B">
            <w:pPr>
              <w:spacing w:line="420" w:lineRule="exact"/>
              <w:ind w:firstLine="422" w:firstLineChars="200"/>
              <w:rPr>
                <w:color w:val="000000" w:themeColor="text1"/>
                <w14:textFill>
                  <w14:solidFill>
                    <w14:schemeClr w14:val="tx1"/>
                  </w14:solidFill>
                </w14:textFill>
              </w:rPr>
            </w:pPr>
            <w:r>
              <w:rPr>
                <w:b/>
                <w:bCs/>
                <w:color w:val="000000" w:themeColor="text1"/>
                <w:kern w:val="0"/>
                <w:szCs w:val="16"/>
                <w14:textFill>
                  <w14:solidFill>
                    <w14:schemeClr w14:val="tx1"/>
                  </w14:solidFill>
                </w14:textFill>
              </w:rPr>
              <w:t>2.</w:t>
            </w:r>
            <w:r>
              <w:rPr>
                <w:rFonts w:hint="eastAsia"/>
                <w:b/>
                <w:bCs/>
                <w:color w:val="000000" w:themeColor="text1"/>
                <w:kern w:val="0"/>
                <w:szCs w:val="16"/>
                <w14:textFill>
                  <w14:solidFill>
                    <w14:schemeClr w14:val="tx1"/>
                  </w14:solidFill>
                </w14:textFill>
              </w:rPr>
              <w:t>5</w:t>
            </w:r>
            <w:r>
              <w:rPr>
                <w:b/>
                <w:bCs/>
                <w:color w:val="000000" w:themeColor="text1"/>
                <w:kern w:val="0"/>
                <w:szCs w:val="16"/>
                <w14:textFill>
                  <w14:solidFill>
                    <w14:schemeClr w14:val="tx1"/>
                  </w14:solidFill>
                </w14:textFill>
              </w:rPr>
              <w:t>原辅材料</w:t>
            </w:r>
          </w:p>
          <w:p w14:paraId="149CBC7B">
            <w:pPr>
              <w:spacing w:line="420" w:lineRule="exact"/>
              <w:ind w:firstLine="420" w:firstLineChars="200"/>
              <w:rPr>
                <w:color w:val="000000" w:themeColor="text1"/>
                <w14:textFill>
                  <w14:solidFill>
                    <w14:schemeClr w14:val="tx1"/>
                  </w14:solidFill>
                </w14:textFill>
              </w:rPr>
            </w:pPr>
            <w:r>
              <w:rPr>
                <w:color w:val="000000" w:themeColor="text1"/>
                <w:kern w:val="0"/>
                <w:szCs w:val="16"/>
                <w14:textFill>
                  <w14:solidFill>
                    <w14:schemeClr w14:val="tx1"/>
                  </w14:solidFill>
                </w14:textFill>
              </w:rPr>
              <w:t>本项目原辅料种类和用量见表2.</w:t>
            </w:r>
            <w:r>
              <w:rPr>
                <w:rFonts w:hint="eastAsia"/>
                <w:color w:val="000000" w:themeColor="text1"/>
                <w:kern w:val="0"/>
                <w:szCs w:val="16"/>
                <w14:textFill>
                  <w14:solidFill>
                    <w14:schemeClr w14:val="tx1"/>
                  </w14:solidFill>
                </w14:textFill>
              </w:rPr>
              <w:t>5</w:t>
            </w:r>
            <w:r>
              <w:rPr>
                <w:color w:val="000000" w:themeColor="text1"/>
                <w:kern w:val="0"/>
                <w:szCs w:val="16"/>
                <w14:textFill>
                  <w14:solidFill>
                    <w14:schemeClr w14:val="tx1"/>
                  </w14:solidFill>
                </w14:textFill>
              </w:rPr>
              <w:t>-1</w:t>
            </w:r>
            <w:r>
              <w:rPr>
                <w:rFonts w:hint="eastAsia"/>
                <w:color w:val="000000" w:themeColor="text1"/>
                <w:kern w:val="0"/>
                <w:szCs w:val="16"/>
                <w14:textFill>
                  <w14:solidFill>
                    <w14:schemeClr w14:val="tx1"/>
                  </w14:solidFill>
                </w14:textFill>
              </w:rPr>
              <w:t>，原辅料理化性质见表2.5-2</w:t>
            </w:r>
            <w:r>
              <w:rPr>
                <w:color w:val="000000" w:themeColor="text1"/>
                <w:kern w:val="0"/>
                <w:szCs w:val="16"/>
                <w14:textFill>
                  <w14:solidFill>
                    <w14:schemeClr w14:val="tx1"/>
                  </w14:solidFill>
                </w14:textFill>
              </w:rPr>
              <w:t>。</w:t>
            </w:r>
          </w:p>
          <w:p w14:paraId="5DCB6DBE">
            <w:pPr>
              <w:spacing w:line="420" w:lineRule="exact"/>
              <w:ind w:firstLine="422" w:firstLineChars="20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表2.</w:t>
            </w:r>
            <w:r>
              <w:rPr>
                <w:rFonts w:hint="eastAsia"/>
                <w:b/>
                <w:color w:val="000000" w:themeColor="text1"/>
                <w:szCs w:val="21"/>
                <w14:textFill>
                  <w14:solidFill>
                    <w14:schemeClr w14:val="tx1"/>
                  </w14:solidFill>
                </w14:textFill>
              </w:rPr>
              <w:t>5</w:t>
            </w:r>
            <w:r>
              <w:rPr>
                <w:b/>
                <w:color w:val="000000" w:themeColor="text1"/>
                <w:szCs w:val="21"/>
                <w14:textFill>
                  <w14:solidFill>
                    <w14:schemeClr w14:val="tx1"/>
                  </w14:solidFill>
                </w14:textFill>
              </w:rPr>
              <w:t>-1  本</w:t>
            </w:r>
            <w:r>
              <w:rPr>
                <w:rFonts w:hint="eastAsia"/>
                <w:b/>
                <w:color w:val="000000" w:themeColor="text1"/>
                <w:szCs w:val="21"/>
                <w14:textFill>
                  <w14:solidFill>
                    <w14:schemeClr w14:val="tx1"/>
                  </w14:solidFill>
                </w14:textFill>
              </w:rPr>
              <w:t>项目</w:t>
            </w:r>
            <w:r>
              <w:rPr>
                <w:b/>
                <w:color w:val="000000" w:themeColor="text1"/>
                <w:szCs w:val="21"/>
                <w14:textFill>
                  <w14:solidFill>
                    <w14:schemeClr w14:val="tx1"/>
                  </w14:solidFill>
                </w14:textFill>
              </w:rPr>
              <w:t>原辅料种类和用量一览表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28"/>
              <w:gridCol w:w="1167"/>
              <w:gridCol w:w="2093"/>
              <w:gridCol w:w="903"/>
              <w:gridCol w:w="923"/>
              <w:gridCol w:w="1729"/>
              <w:gridCol w:w="745"/>
            </w:tblGrid>
            <w:tr w14:paraId="380A30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26" w:type="pct"/>
                  <w:noWrap w:val="0"/>
                  <w:vAlign w:val="center"/>
                </w:tcPr>
                <w:p w14:paraId="34B96A45">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bookmarkStart w:id="2" w:name="_Hlk525919032"/>
                  <w:r>
                    <w:rPr>
                      <w:rFonts w:hint="default" w:ascii="Times New Roman" w:hAnsi="Times New Roman" w:cs="Times New Roman"/>
                      <w:b/>
                      <w:bCs/>
                      <w:color w:val="000000" w:themeColor="text1"/>
                      <w:sz w:val="21"/>
                      <w:szCs w:val="21"/>
                      <w:highlight w:val="none"/>
                      <w14:textFill>
                        <w14:solidFill>
                          <w14:schemeClr w14:val="tx1"/>
                        </w14:solidFill>
                      </w14:textFill>
                    </w:rPr>
                    <w:t>序号</w:t>
                  </w:r>
                </w:p>
              </w:tc>
              <w:tc>
                <w:tcPr>
                  <w:tcW w:w="721" w:type="pct"/>
                  <w:noWrap w:val="0"/>
                  <w:vAlign w:val="center"/>
                </w:tcPr>
                <w:p w14:paraId="6B41C956">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名称</w:t>
                  </w:r>
                </w:p>
              </w:tc>
              <w:tc>
                <w:tcPr>
                  <w:tcW w:w="1293" w:type="pct"/>
                  <w:noWrap w:val="0"/>
                  <w:vAlign w:val="center"/>
                </w:tcPr>
                <w:p w14:paraId="5DCD14A2">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规格、组分</w:t>
                  </w:r>
                </w:p>
              </w:tc>
              <w:tc>
                <w:tcPr>
                  <w:tcW w:w="558" w:type="pct"/>
                  <w:noWrap w:val="0"/>
                  <w:vAlign w:val="center"/>
                </w:tcPr>
                <w:p w14:paraId="5E2D1CBD">
                  <w:pPr>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年用量</w:t>
                  </w:r>
                </w:p>
              </w:tc>
              <w:tc>
                <w:tcPr>
                  <w:tcW w:w="570" w:type="pct"/>
                  <w:noWrap w:val="0"/>
                  <w:vAlign w:val="center"/>
                </w:tcPr>
                <w:p w14:paraId="73763B5A">
                  <w:pPr>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最大储存量</w:t>
                  </w:r>
                </w:p>
              </w:tc>
              <w:tc>
                <w:tcPr>
                  <w:tcW w:w="1068" w:type="pct"/>
                  <w:noWrap w:val="0"/>
                  <w:vAlign w:val="center"/>
                </w:tcPr>
                <w:p w14:paraId="431F2260">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包装方式及规格</w:t>
                  </w:r>
                </w:p>
              </w:tc>
              <w:tc>
                <w:tcPr>
                  <w:tcW w:w="460" w:type="pct"/>
                  <w:noWrap w:val="0"/>
                  <w:vAlign w:val="center"/>
                </w:tcPr>
                <w:p w14:paraId="30B912EF">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存储</w:t>
                  </w:r>
                </w:p>
                <w:p w14:paraId="067B0870">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地点</w:t>
                  </w:r>
                </w:p>
              </w:tc>
            </w:tr>
            <w:tr w14:paraId="4DFAC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26" w:type="pct"/>
                  <w:noWrap w:val="0"/>
                  <w:vAlign w:val="center"/>
                </w:tcPr>
                <w:p w14:paraId="507A7429">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721" w:type="pct"/>
                  <w:noWrap w:val="0"/>
                  <w:vAlign w:val="center"/>
                </w:tcPr>
                <w:p w14:paraId="4C883C09">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HDPE</w:t>
                  </w:r>
                </w:p>
              </w:tc>
              <w:tc>
                <w:tcPr>
                  <w:tcW w:w="1293" w:type="pct"/>
                  <w:noWrap w:val="0"/>
                  <w:vAlign w:val="center"/>
                </w:tcPr>
                <w:p w14:paraId="6267B2A2">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高密度聚乙烯，粒径3-4mm</w:t>
                  </w:r>
                </w:p>
              </w:tc>
              <w:tc>
                <w:tcPr>
                  <w:tcW w:w="558" w:type="pct"/>
                  <w:noWrap w:val="0"/>
                  <w:vAlign w:val="center"/>
                </w:tcPr>
                <w:p w14:paraId="0B0687F1">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400吨</w:t>
                  </w:r>
                </w:p>
              </w:tc>
              <w:tc>
                <w:tcPr>
                  <w:tcW w:w="570" w:type="pct"/>
                  <w:noWrap w:val="0"/>
                  <w:vAlign w:val="center"/>
                </w:tcPr>
                <w:p w14:paraId="78ACF8DB">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50吨</w:t>
                  </w:r>
                </w:p>
              </w:tc>
              <w:tc>
                <w:tcPr>
                  <w:tcW w:w="1068" w:type="pct"/>
                  <w:noWrap w:val="0"/>
                  <w:vAlign w:val="center"/>
                </w:tcPr>
                <w:p w14:paraId="3B1B2AE5">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25kg/袋</w:t>
                  </w:r>
                </w:p>
              </w:tc>
              <w:tc>
                <w:tcPr>
                  <w:tcW w:w="460" w:type="pct"/>
                  <w:noWrap w:val="0"/>
                  <w:vAlign w:val="center"/>
                </w:tcPr>
                <w:p w14:paraId="77C3EE82">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原</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辅</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料</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仓库</w:t>
                  </w:r>
                </w:p>
              </w:tc>
            </w:tr>
            <w:tr w14:paraId="59010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26" w:type="pct"/>
                  <w:noWrap w:val="0"/>
                  <w:vAlign w:val="center"/>
                </w:tcPr>
                <w:p w14:paraId="66CE4678">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721" w:type="pct"/>
                  <w:noWrap w:val="0"/>
                  <w:vAlign w:val="center"/>
                </w:tcPr>
                <w:p w14:paraId="267D9223">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PE系列</w:t>
                  </w:r>
                  <w:r>
                    <w:rPr>
                      <w:rFonts w:hint="default" w:ascii="Times New Roman" w:hAnsi="Times New Roman" w:cs="Times New Roman"/>
                      <w:color w:val="000000" w:themeColor="text1"/>
                      <w:sz w:val="21"/>
                      <w:szCs w:val="21"/>
                      <w14:textFill>
                        <w14:solidFill>
                          <w14:schemeClr w14:val="tx1"/>
                        </w14:solidFill>
                      </w14:textFill>
                    </w:rPr>
                    <w:t>油墨</w:t>
                  </w:r>
                </w:p>
              </w:tc>
              <w:tc>
                <w:tcPr>
                  <w:tcW w:w="1293" w:type="pct"/>
                  <w:noWrap w:val="0"/>
                  <w:vAlign w:val="center"/>
                </w:tcPr>
                <w:p w14:paraId="51594CE5">
                  <w:pPr>
                    <w:jc w:val="center"/>
                    <w:rPr>
                      <w:rFonts w:hint="eastAsia"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聚酯树脂25~30%、聚氨基甲酸酯树脂20~25%、溶剂</w:t>
                  </w:r>
                  <w:r>
                    <w:rPr>
                      <w:rFonts w:hint="eastAsia" w:cs="Times New Roman"/>
                      <w:color w:val="000000" w:themeColor="text1"/>
                      <w:sz w:val="21"/>
                      <w:szCs w:val="21"/>
                      <w:highlight w:val="none"/>
                      <w:lang w:val="en-US" w:eastAsia="zh-CN"/>
                      <w14:textFill>
                        <w14:solidFill>
                          <w14:schemeClr w14:val="tx1"/>
                        </w14:solidFill>
                      </w14:textFill>
                    </w:rPr>
                    <w:t>（1,2,4,5-四甲苯、戊二酸二甲酯</w:t>
                  </w:r>
                </w:p>
                <w:p w14:paraId="31AD2803">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5~10%、添加剂</w:t>
                  </w:r>
                  <w:r>
                    <w:rPr>
                      <w:rFonts w:hint="eastAsia" w:cs="Times New Roman"/>
                      <w:color w:val="000000" w:themeColor="text1"/>
                      <w:sz w:val="21"/>
                      <w:szCs w:val="21"/>
                      <w:highlight w:val="none"/>
                      <w:lang w:val="en-US" w:eastAsia="zh-CN"/>
                      <w14:textFill>
                        <w14:solidFill>
                          <w14:schemeClr w14:val="tx1"/>
                        </w14:solidFill>
                      </w14:textFill>
                    </w:rPr>
                    <w:t>（甲基三(二甲基硅氧烷基)硅烷）</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1~3%、填充料</w:t>
                  </w:r>
                  <w:r>
                    <w:rPr>
                      <w:rFonts w:hint="eastAsia" w:cs="Times New Roman"/>
                      <w:color w:val="000000" w:themeColor="text1"/>
                      <w:sz w:val="21"/>
                      <w:szCs w:val="21"/>
                      <w:highlight w:val="none"/>
                      <w:lang w:val="en-US" w:eastAsia="zh-CN"/>
                      <w14:textFill>
                        <w14:solidFill>
                          <w14:schemeClr w14:val="tx1"/>
                        </w14:solidFill>
                      </w14:textFill>
                    </w:rPr>
                    <w:t>（碳酸钙）</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30~40%、颜料5~15%</w:t>
                  </w:r>
                </w:p>
              </w:tc>
              <w:tc>
                <w:tcPr>
                  <w:tcW w:w="558" w:type="pct"/>
                  <w:noWrap w:val="0"/>
                  <w:vAlign w:val="center"/>
                </w:tcPr>
                <w:p w14:paraId="2E537B47">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200kg</w:t>
                  </w:r>
                </w:p>
              </w:tc>
              <w:tc>
                <w:tcPr>
                  <w:tcW w:w="570" w:type="pct"/>
                  <w:noWrap w:val="0"/>
                  <w:vAlign w:val="center"/>
                </w:tcPr>
                <w:p w14:paraId="0E8D3FE5">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40kg</w:t>
                  </w:r>
                </w:p>
              </w:tc>
              <w:tc>
                <w:tcPr>
                  <w:tcW w:w="1068" w:type="pct"/>
                  <w:noWrap w:val="0"/>
                  <w:vAlign w:val="center"/>
                </w:tcPr>
                <w:p w14:paraId="2E6FA47E">
                  <w:pPr>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20kg/桶</w:t>
                  </w:r>
                </w:p>
              </w:tc>
              <w:tc>
                <w:tcPr>
                  <w:tcW w:w="460" w:type="pct"/>
                  <w:vMerge w:val="restart"/>
                  <w:noWrap w:val="0"/>
                  <w:vAlign w:val="center"/>
                </w:tcPr>
                <w:p w14:paraId="3FEC7117">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化学品库（配备防爆柜）</w:t>
                  </w:r>
                </w:p>
              </w:tc>
            </w:tr>
            <w:tr w14:paraId="434B4E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26" w:type="pct"/>
                  <w:noWrap w:val="0"/>
                  <w:vAlign w:val="center"/>
                </w:tcPr>
                <w:p w14:paraId="06E2E72C">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w:t>
                  </w:r>
                </w:p>
              </w:tc>
              <w:tc>
                <w:tcPr>
                  <w:tcW w:w="721" w:type="pct"/>
                  <w:noWrap w:val="0"/>
                  <w:vAlign w:val="center"/>
                </w:tcPr>
                <w:p w14:paraId="2CA039DB">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HC-200</w:t>
                  </w:r>
                  <w:r>
                    <w:rPr>
                      <w:rFonts w:hint="default" w:ascii="Times New Roman" w:hAnsi="Times New Roman" w:cs="Times New Roman"/>
                      <w:color w:val="000000" w:themeColor="text1"/>
                      <w:sz w:val="21"/>
                      <w:szCs w:val="21"/>
                      <w14:textFill>
                        <w14:solidFill>
                          <w14:schemeClr w14:val="tx1"/>
                        </w14:solidFill>
                      </w14:textFill>
                    </w:rPr>
                    <w:t>清洗剂</w:t>
                  </w:r>
                </w:p>
              </w:tc>
              <w:tc>
                <w:tcPr>
                  <w:tcW w:w="1293" w:type="pct"/>
                  <w:noWrap w:val="0"/>
                  <w:vAlign w:val="center"/>
                </w:tcPr>
                <w:p w14:paraId="08DF5D36">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乙酯70%、异佛尔酮20%、乙醇10%</w:t>
                  </w:r>
                </w:p>
              </w:tc>
              <w:tc>
                <w:tcPr>
                  <w:tcW w:w="558" w:type="pct"/>
                  <w:noWrap w:val="0"/>
                  <w:vAlign w:val="center"/>
                </w:tcPr>
                <w:p w14:paraId="7CE6F8E4">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30kg</w:t>
                  </w:r>
                </w:p>
              </w:tc>
              <w:tc>
                <w:tcPr>
                  <w:tcW w:w="570" w:type="pct"/>
                  <w:noWrap w:val="0"/>
                  <w:vAlign w:val="center"/>
                </w:tcPr>
                <w:p w14:paraId="058E9489">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10kg</w:t>
                  </w:r>
                </w:p>
              </w:tc>
              <w:tc>
                <w:tcPr>
                  <w:tcW w:w="1068" w:type="pct"/>
                  <w:noWrap w:val="0"/>
                  <w:vAlign w:val="center"/>
                </w:tcPr>
                <w:p w14:paraId="6AD7DD5B">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5kg/桶</w:t>
                  </w:r>
                </w:p>
              </w:tc>
              <w:tc>
                <w:tcPr>
                  <w:tcW w:w="460" w:type="pct"/>
                  <w:vMerge w:val="continue"/>
                  <w:noWrap w:val="0"/>
                  <w:vAlign w:val="center"/>
                </w:tcPr>
                <w:p w14:paraId="524D993F">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6449E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26" w:type="pct"/>
                  <w:noWrap w:val="0"/>
                  <w:vAlign w:val="center"/>
                </w:tcPr>
                <w:p w14:paraId="739074A4">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w:t>
                  </w:r>
                </w:p>
              </w:tc>
              <w:tc>
                <w:tcPr>
                  <w:tcW w:w="721" w:type="pct"/>
                  <w:noWrap w:val="0"/>
                  <w:vAlign w:val="center"/>
                </w:tcPr>
                <w:p w14:paraId="21E9FA43">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液压油</w:t>
                  </w:r>
                </w:p>
              </w:tc>
              <w:tc>
                <w:tcPr>
                  <w:tcW w:w="1293" w:type="pct"/>
                  <w:noWrap w:val="0"/>
                  <w:vAlign w:val="center"/>
                </w:tcPr>
                <w:p w14:paraId="742B0DCD">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矿物油</w:t>
                  </w:r>
                </w:p>
              </w:tc>
              <w:tc>
                <w:tcPr>
                  <w:tcW w:w="558" w:type="pct"/>
                  <w:noWrap w:val="0"/>
                  <w:vAlign w:val="center"/>
                </w:tcPr>
                <w:p w14:paraId="79BD2934">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340kg</w:t>
                  </w:r>
                  <w:r>
                    <w:rPr>
                      <w:rFonts w:hint="eastAsia" w:cs="Times New Roman"/>
                      <w:color w:val="000000" w:themeColor="text1"/>
                      <w:sz w:val="21"/>
                      <w:szCs w:val="21"/>
                      <w:lang w:val="en-US" w:eastAsia="zh-CN"/>
                      <w14:textFill>
                        <w14:solidFill>
                          <w14:schemeClr w14:val="tx1"/>
                        </w14:solidFill>
                      </w14:textFill>
                    </w:rPr>
                    <w:t>/5a</w:t>
                  </w:r>
                </w:p>
              </w:tc>
              <w:tc>
                <w:tcPr>
                  <w:tcW w:w="570" w:type="pct"/>
                  <w:noWrap w:val="0"/>
                  <w:vAlign w:val="center"/>
                </w:tcPr>
                <w:p w14:paraId="2A65AC44">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170kg</w:t>
                  </w:r>
                </w:p>
              </w:tc>
              <w:tc>
                <w:tcPr>
                  <w:tcW w:w="1068" w:type="pct"/>
                  <w:noWrap w:val="0"/>
                  <w:vAlign w:val="center"/>
                </w:tcPr>
                <w:p w14:paraId="2C64A03E">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170kg/桶</w:t>
                  </w:r>
                </w:p>
              </w:tc>
              <w:tc>
                <w:tcPr>
                  <w:tcW w:w="460" w:type="pct"/>
                  <w:vMerge w:val="restart"/>
                  <w:noWrap w:val="0"/>
                  <w:vAlign w:val="center"/>
                </w:tcPr>
                <w:p w14:paraId="382E6753">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原</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辅</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料</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仓库</w:t>
                  </w:r>
                </w:p>
              </w:tc>
            </w:tr>
            <w:tr w14:paraId="582AAD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26" w:type="pct"/>
                  <w:noWrap w:val="0"/>
                  <w:vAlign w:val="center"/>
                </w:tcPr>
                <w:p w14:paraId="145254D9">
                  <w:pPr>
                    <w:spacing w:line="240" w:lineRule="auto"/>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w:t>
                  </w:r>
                </w:p>
              </w:tc>
              <w:tc>
                <w:tcPr>
                  <w:tcW w:w="721" w:type="pct"/>
                  <w:noWrap w:val="0"/>
                  <w:vAlign w:val="center"/>
                </w:tcPr>
                <w:p w14:paraId="4A8A81C3">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注塑件</w:t>
                  </w:r>
                </w:p>
              </w:tc>
              <w:tc>
                <w:tcPr>
                  <w:tcW w:w="1293" w:type="pct"/>
                  <w:noWrap w:val="0"/>
                  <w:vAlign w:val="center"/>
                </w:tcPr>
                <w:p w14:paraId="0B90E096">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PP/PA6</w:t>
                  </w:r>
                </w:p>
              </w:tc>
              <w:tc>
                <w:tcPr>
                  <w:tcW w:w="558" w:type="pct"/>
                  <w:noWrap w:val="0"/>
                  <w:vAlign w:val="center"/>
                </w:tcPr>
                <w:p w14:paraId="55BB285F">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30万套（30吨）</w:t>
                  </w:r>
                </w:p>
              </w:tc>
              <w:tc>
                <w:tcPr>
                  <w:tcW w:w="570" w:type="pct"/>
                  <w:noWrap w:val="0"/>
                  <w:vAlign w:val="center"/>
                </w:tcPr>
                <w:p w14:paraId="5B50ED5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1万套</w:t>
                  </w:r>
                </w:p>
              </w:tc>
              <w:tc>
                <w:tcPr>
                  <w:tcW w:w="1068" w:type="pct"/>
                  <w:noWrap w:val="0"/>
                  <w:vAlign w:val="center"/>
                </w:tcPr>
                <w:p w14:paraId="7C948092">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散装</w:t>
                  </w:r>
                </w:p>
              </w:tc>
              <w:tc>
                <w:tcPr>
                  <w:tcW w:w="460" w:type="pct"/>
                  <w:vMerge w:val="continue"/>
                  <w:noWrap w:val="0"/>
                  <w:vAlign w:val="center"/>
                </w:tcPr>
                <w:p w14:paraId="01B23E6B">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70F36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26" w:type="pct"/>
                  <w:noWrap w:val="0"/>
                  <w:vAlign w:val="center"/>
                </w:tcPr>
                <w:p w14:paraId="18D55963">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w:t>
                  </w:r>
                </w:p>
              </w:tc>
              <w:tc>
                <w:tcPr>
                  <w:tcW w:w="721" w:type="pct"/>
                  <w:noWrap w:val="0"/>
                  <w:vAlign w:val="center"/>
                </w:tcPr>
                <w:p w14:paraId="6E09B016">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纸箱</w:t>
                  </w:r>
                </w:p>
              </w:tc>
              <w:tc>
                <w:tcPr>
                  <w:tcW w:w="1293" w:type="pct"/>
                  <w:noWrap w:val="0"/>
                  <w:vAlign w:val="center"/>
                </w:tcPr>
                <w:p w14:paraId="3CD20B1A">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558" w:type="pct"/>
                  <w:noWrap w:val="0"/>
                  <w:vAlign w:val="center"/>
                </w:tcPr>
                <w:p w14:paraId="799C9961">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5万个</w:t>
                  </w:r>
                </w:p>
              </w:tc>
              <w:tc>
                <w:tcPr>
                  <w:tcW w:w="570" w:type="pct"/>
                  <w:noWrap w:val="0"/>
                  <w:vAlign w:val="center"/>
                </w:tcPr>
                <w:p w14:paraId="7C9C0652">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1000个</w:t>
                  </w:r>
                </w:p>
              </w:tc>
              <w:tc>
                <w:tcPr>
                  <w:tcW w:w="1068" w:type="pct"/>
                  <w:noWrap w:val="0"/>
                  <w:vAlign w:val="center"/>
                </w:tcPr>
                <w:p w14:paraId="348AA434">
                  <w:pPr>
                    <w:adjustRightInd w:val="0"/>
                    <w:snapToGrid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散装</w:t>
                  </w:r>
                </w:p>
              </w:tc>
              <w:tc>
                <w:tcPr>
                  <w:tcW w:w="460" w:type="pct"/>
                  <w:vMerge w:val="continue"/>
                  <w:noWrap w:val="0"/>
                  <w:vAlign w:val="center"/>
                </w:tcPr>
                <w:p w14:paraId="21664B75">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3D654A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26" w:type="pct"/>
                  <w:noWrap w:val="0"/>
                  <w:vAlign w:val="center"/>
                </w:tcPr>
                <w:p w14:paraId="0153C700">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w:t>
                  </w:r>
                </w:p>
              </w:tc>
              <w:tc>
                <w:tcPr>
                  <w:tcW w:w="721" w:type="pct"/>
                  <w:noWrap w:val="0"/>
                  <w:vAlign w:val="center"/>
                </w:tcPr>
                <w:p w14:paraId="0D93D5F7">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模具</w:t>
                  </w:r>
                </w:p>
              </w:tc>
              <w:tc>
                <w:tcPr>
                  <w:tcW w:w="1293" w:type="pct"/>
                  <w:noWrap w:val="0"/>
                  <w:vAlign w:val="center"/>
                </w:tcPr>
                <w:p w14:paraId="23A53116">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558" w:type="pct"/>
                  <w:noWrap w:val="0"/>
                  <w:vAlign w:val="center"/>
                </w:tcPr>
                <w:p w14:paraId="117B0A72">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200套</w:t>
                  </w:r>
                </w:p>
              </w:tc>
              <w:tc>
                <w:tcPr>
                  <w:tcW w:w="570" w:type="pct"/>
                  <w:noWrap w:val="0"/>
                  <w:vAlign w:val="center"/>
                </w:tcPr>
                <w:p w14:paraId="3FA13E2C">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200套</w:t>
                  </w:r>
                </w:p>
              </w:tc>
              <w:tc>
                <w:tcPr>
                  <w:tcW w:w="1068" w:type="pct"/>
                  <w:noWrap w:val="0"/>
                  <w:vAlign w:val="center"/>
                </w:tcPr>
                <w:p w14:paraId="54E8D1FC">
                  <w:pPr>
                    <w:adjustRightInd w:val="0"/>
                    <w:snapToGrid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散装</w:t>
                  </w:r>
                </w:p>
              </w:tc>
              <w:tc>
                <w:tcPr>
                  <w:tcW w:w="460" w:type="pct"/>
                  <w:vMerge w:val="continue"/>
                  <w:noWrap w:val="0"/>
                  <w:vAlign w:val="center"/>
                </w:tcPr>
                <w:p w14:paraId="7D581B6D">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571ADE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26" w:type="pct"/>
                  <w:noWrap w:val="0"/>
                  <w:vAlign w:val="center"/>
                </w:tcPr>
                <w:p w14:paraId="3C07CD73">
                  <w:pPr>
                    <w:spacing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w:t>
                  </w:r>
                </w:p>
              </w:tc>
              <w:tc>
                <w:tcPr>
                  <w:tcW w:w="721" w:type="pct"/>
                  <w:noWrap w:val="0"/>
                  <w:vAlign w:val="center"/>
                </w:tcPr>
                <w:p w14:paraId="00556C14">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抹布</w:t>
                  </w:r>
                </w:p>
              </w:tc>
              <w:tc>
                <w:tcPr>
                  <w:tcW w:w="1293" w:type="pct"/>
                  <w:noWrap w:val="0"/>
                  <w:vAlign w:val="center"/>
                </w:tcPr>
                <w:p w14:paraId="27096249">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棉</w:t>
                  </w:r>
                </w:p>
              </w:tc>
              <w:tc>
                <w:tcPr>
                  <w:tcW w:w="558" w:type="pct"/>
                  <w:noWrap w:val="0"/>
                  <w:vAlign w:val="center"/>
                </w:tcPr>
                <w:p w14:paraId="03B81E65">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0.25</w:t>
                  </w:r>
                </w:p>
              </w:tc>
              <w:tc>
                <w:tcPr>
                  <w:tcW w:w="570" w:type="pct"/>
                  <w:noWrap w:val="0"/>
                  <w:vAlign w:val="center"/>
                </w:tcPr>
                <w:p w14:paraId="5F86271C">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0.05</w:t>
                  </w:r>
                </w:p>
              </w:tc>
              <w:tc>
                <w:tcPr>
                  <w:tcW w:w="1068" w:type="pct"/>
                  <w:noWrap w:val="0"/>
                  <w:vAlign w:val="center"/>
                </w:tcPr>
                <w:p w14:paraId="5035D5CA">
                  <w:pPr>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散装</w:t>
                  </w:r>
                </w:p>
              </w:tc>
              <w:tc>
                <w:tcPr>
                  <w:tcW w:w="460" w:type="pct"/>
                  <w:vMerge w:val="continue"/>
                  <w:noWrap w:val="0"/>
                  <w:vAlign w:val="center"/>
                </w:tcPr>
                <w:p w14:paraId="0BA2B306">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bookmarkEnd w:id="2"/>
          </w:tbl>
          <w:p w14:paraId="5D3F17D6">
            <w:pPr>
              <w:snapToGrid w:val="0"/>
              <w:spacing w:beforeLines="30"/>
              <w:jc w:val="both"/>
              <w:rPr>
                <w:rFonts w:hint="default" w:eastAsia="宋体"/>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注：由于产品规格不同，产品的原料用量按照最大规格产品来计。</w:t>
            </w:r>
          </w:p>
          <w:p w14:paraId="6D0C9B9F">
            <w:pPr>
              <w:snapToGrid w:val="0"/>
              <w:spacing w:beforeLines="3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表2.</w:t>
            </w:r>
            <w:r>
              <w:rPr>
                <w:rFonts w:hint="eastAsia"/>
                <w:b/>
                <w:color w:val="000000" w:themeColor="text1"/>
                <w:szCs w:val="21"/>
                <w14:textFill>
                  <w14:solidFill>
                    <w14:schemeClr w14:val="tx1"/>
                  </w14:solidFill>
                </w14:textFill>
              </w:rPr>
              <w:t>5</w:t>
            </w:r>
            <w:r>
              <w:rPr>
                <w:b/>
                <w:color w:val="000000" w:themeColor="text1"/>
                <w:szCs w:val="21"/>
                <w14:textFill>
                  <w14:solidFill>
                    <w14:schemeClr w14:val="tx1"/>
                  </w14:solidFill>
                </w14:textFill>
              </w:rPr>
              <w:t xml:space="preserve">-2  </w:t>
            </w:r>
            <w:r>
              <w:rPr>
                <w:rFonts w:hint="eastAsia"/>
                <w:b/>
                <w:color w:val="000000" w:themeColor="text1"/>
                <w:szCs w:val="21"/>
                <w14:textFill>
                  <w14:solidFill>
                    <w14:schemeClr w14:val="tx1"/>
                  </w14:solidFill>
                </w14:textFill>
              </w:rPr>
              <w:t>本</w:t>
            </w:r>
            <w:r>
              <w:rPr>
                <w:b/>
                <w:color w:val="000000" w:themeColor="text1"/>
                <w:szCs w:val="21"/>
                <w14:textFill>
                  <w14:solidFill>
                    <w14:schemeClr w14:val="tx1"/>
                  </w14:solidFill>
                </w14:textFill>
              </w:rPr>
              <w:t>项目原辅料理化性质一览表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2"/>
              <w:gridCol w:w="3521"/>
              <w:gridCol w:w="2789"/>
              <w:gridCol w:w="1456"/>
            </w:tblGrid>
            <w:tr w14:paraId="28639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6" w:type="pct"/>
                  <w:noWrap/>
                  <w:vAlign w:val="center"/>
                </w:tcPr>
                <w:p w14:paraId="1BE43D65">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名称</w:t>
                  </w:r>
                </w:p>
              </w:tc>
              <w:tc>
                <w:tcPr>
                  <w:tcW w:w="1734" w:type="pct"/>
                  <w:noWrap/>
                  <w:vAlign w:val="center"/>
                </w:tcPr>
                <w:p w14:paraId="7D16E834">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理化性质</w:t>
                  </w:r>
                </w:p>
              </w:tc>
              <w:tc>
                <w:tcPr>
                  <w:tcW w:w="1238" w:type="pct"/>
                  <w:noWrap/>
                  <w:tcMar>
                    <w:left w:w="28" w:type="dxa"/>
                    <w:right w:w="28" w:type="dxa"/>
                  </w:tcMar>
                  <w:vAlign w:val="center"/>
                </w:tcPr>
                <w:p w14:paraId="2542C4F0">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燃烧爆炸性</w:t>
                  </w:r>
                </w:p>
              </w:tc>
              <w:tc>
                <w:tcPr>
                  <w:tcW w:w="1360" w:type="pct"/>
                  <w:noWrap/>
                  <w:vAlign w:val="center"/>
                </w:tcPr>
                <w:p w14:paraId="3BDCFC9B">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毒理毒性</w:t>
                  </w:r>
                </w:p>
              </w:tc>
            </w:tr>
            <w:tr w14:paraId="4503C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6" w:type="pct"/>
                  <w:noWrap/>
                  <w:vAlign w:val="center"/>
                </w:tcPr>
                <w:p w14:paraId="6D37CEC5">
                  <w:pPr>
                    <w:jc w:val="center"/>
                    <w:rPr>
                      <w:rFonts w:hint="eastAsia"/>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HDPE</w:t>
                  </w:r>
                </w:p>
              </w:tc>
              <w:tc>
                <w:tcPr>
                  <w:tcW w:w="1734" w:type="pct"/>
                  <w:noWrap/>
                  <w:vAlign w:val="center"/>
                </w:tcPr>
                <w:p w14:paraId="057D1898">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颗粒状，密度：0.941至0.96g/cm³，熔点一般为130℃-142℃），其分解温度大于300℃</w:t>
                  </w:r>
                  <w:r>
                    <w:rPr>
                      <w:rFonts w:hint="eastAsia"/>
                      <w:color w:val="000000" w:themeColor="text1"/>
                      <w:kern w:val="0"/>
                      <w:szCs w:val="21"/>
                      <w:lang w:eastAsia="zh-CN"/>
                      <w14:textFill>
                        <w14:solidFill>
                          <w14:schemeClr w14:val="tx1"/>
                        </w14:solidFill>
                      </w14:textFill>
                    </w:rPr>
                    <w:t>；耐磨性、电绝缘性、韧性及耐寒性较好；化学稳定性好，在室温条件下，不溶于任何有机溶剂，耐酸、碱和各种盐类的腐蚀</w:t>
                  </w:r>
                </w:p>
              </w:tc>
              <w:tc>
                <w:tcPr>
                  <w:tcW w:w="1238" w:type="pct"/>
                  <w:noWrap/>
                  <w:vAlign w:val="center"/>
                </w:tcPr>
                <w:p w14:paraId="62D77D11">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易燃</w:t>
                  </w:r>
                </w:p>
              </w:tc>
              <w:tc>
                <w:tcPr>
                  <w:tcW w:w="1360" w:type="pct"/>
                  <w:noWrap/>
                  <w:vAlign w:val="center"/>
                </w:tcPr>
                <w:p w14:paraId="52DAD840">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无毒</w:t>
                  </w:r>
                </w:p>
              </w:tc>
            </w:tr>
            <w:tr w14:paraId="632079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6" w:type="pct"/>
                  <w:noWrap/>
                  <w:vAlign w:val="center"/>
                </w:tcPr>
                <w:p w14:paraId="62E6F24D">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油墨</w:t>
                  </w:r>
                </w:p>
              </w:tc>
              <w:tc>
                <w:tcPr>
                  <w:tcW w:w="1734" w:type="pct"/>
                  <w:noWrap/>
                  <w:vAlign w:val="center"/>
                </w:tcPr>
                <w:p w14:paraId="6E8F2A17">
                  <w:pPr>
                    <w:widowControl/>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粘稠性液体</w:t>
                  </w:r>
                </w:p>
                <w:p w14:paraId="27E11C26">
                  <w:pPr>
                    <w:widowControl/>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沸腾范围：113-116</w:t>
                  </w:r>
                </w:p>
                <w:p w14:paraId="38E24E2D">
                  <w:pPr>
                    <w:widowControl/>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着火点：100</w:t>
                  </w:r>
                </w:p>
                <w:p w14:paraId="69E9F023">
                  <w:pPr>
                    <w:widowControl/>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水中溶解性：不溶。</w:t>
                  </w:r>
                </w:p>
              </w:tc>
              <w:tc>
                <w:tcPr>
                  <w:tcW w:w="1238" w:type="pct"/>
                  <w:noWrap/>
                  <w:vAlign w:val="center"/>
                </w:tcPr>
                <w:p w14:paraId="11E1B16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易燃</w:t>
                  </w:r>
                </w:p>
              </w:tc>
              <w:tc>
                <w:tcPr>
                  <w:tcW w:w="1360" w:type="pct"/>
                  <w:noWrap/>
                  <w:vAlign w:val="center"/>
                </w:tcPr>
                <w:p w14:paraId="4DB203AC">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对眼睛、鼻子和喉咙有刺激作用，摄取少量会导致喉咙和食道恶心反胃以及腹泻</w:t>
                  </w:r>
                </w:p>
              </w:tc>
            </w:tr>
            <w:tr w14:paraId="65B4CD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6" w:type="pct"/>
                  <w:noWrap/>
                  <w:vAlign w:val="center"/>
                </w:tcPr>
                <w:p w14:paraId="49394179">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清洗剂</w:t>
                  </w:r>
                </w:p>
              </w:tc>
              <w:tc>
                <w:tcPr>
                  <w:tcW w:w="1734" w:type="pct"/>
                  <w:noWrap/>
                  <w:vAlign w:val="center"/>
                </w:tcPr>
                <w:p w14:paraId="7317AD29">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无色液体</w:t>
                  </w:r>
                </w:p>
                <w:p w14:paraId="7DD8AA4D">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闪点：</w:t>
                  </w:r>
                  <w:r>
                    <w:rPr>
                      <w:rFonts w:hint="eastAsia"/>
                      <w:color w:val="000000" w:themeColor="text1"/>
                      <w:kern w:val="0"/>
                      <w:szCs w:val="21"/>
                      <w:lang w:val="en-US" w:eastAsia="zh-CN"/>
                      <w14:textFill>
                        <w14:solidFill>
                          <w14:schemeClr w14:val="tx1"/>
                        </w14:solidFill>
                      </w14:textFill>
                    </w:rPr>
                    <w:t>100</w:t>
                  </w:r>
                  <w:r>
                    <w:rPr>
                      <w:color w:val="000000" w:themeColor="text1"/>
                      <w:szCs w:val="21"/>
                      <w14:textFill>
                        <w14:solidFill>
                          <w14:schemeClr w14:val="tx1"/>
                        </w14:solidFill>
                      </w14:textFill>
                    </w:rPr>
                    <w:t>℃；</w:t>
                  </w:r>
                </w:p>
                <w:p w14:paraId="73CB431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燃烧温度：&gt;360℃；</w:t>
                  </w:r>
                </w:p>
                <w:p w14:paraId="1C81524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自燃：</w:t>
                  </w:r>
                  <w:r>
                    <w:rPr>
                      <w:rFonts w:hint="eastAsia"/>
                      <w:color w:val="000000" w:themeColor="text1"/>
                      <w:szCs w:val="21"/>
                      <w:lang w:val="en-US" w:eastAsia="zh-CN"/>
                      <w14:textFill>
                        <w14:solidFill>
                          <w14:schemeClr w14:val="tx1"/>
                        </w14:solidFill>
                      </w14:textFill>
                    </w:rPr>
                    <w:t>370</w:t>
                  </w:r>
                  <w:r>
                    <w:rPr>
                      <w:color w:val="000000" w:themeColor="text1"/>
                      <w:szCs w:val="21"/>
                      <w14:textFill>
                        <w14:solidFill>
                          <w14:schemeClr w14:val="tx1"/>
                        </w14:solidFill>
                      </w14:textFill>
                    </w:rPr>
                    <w:t>℃；</w:t>
                  </w:r>
                </w:p>
                <w:p w14:paraId="13416F9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密度（25</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0.85-0.9</w:t>
                  </w:r>
                  <w:r>
                    <w:rPr>
                      <w:rFonts w:hint="eastAsia"/>
                      <w:color w:val="000000" w:themeColor="text1"/>
                      <w:szCs w:val="21"/>
                      <w14:textFill>
                        <w14:solidFill>
                          <w14:schemeClr w14:val="tx1"/>
                        </w14:solidFill>
                      </w14:textFill>
                    </w:rPr>
                    <w:t>g/cm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p>
              </w:tc>
              <w:tc>
                <w:tcPr>
                  <w:tcW w:w="1238" w:type="pct"/>
                  <w:noWrap/>
                  <w:vAlign w:val="center"/>
                </w:tcPr>
                <w:p w14:paraId="1A654AB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易燃</w:t>
                  </w:r>
                </w:p>
              </w:tc>
              <w:tc>
                <w:tcPr>
                  <w:tcW w:w="1360" w:type="pct"/>
                  <w:noWrap/>
                  <w:vAlign w:val="center"/>
                </w:tcPr>
                <w:p w14:paraId="7196AA3B">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LD50</w:t>
                  </w:r>
                  <w:r>
                    <w:rPr>
                      <w:rFonts w:hint="eastAsia"/>
                      <w:color w:val="000000" w:themeColor="text1"/>
                      <w:szCs w:val="21"/>
                      <w14:textFill>
                        <w14:solidFill>
                          <w14:schemeClr w14:val="tx1"/>
                        </w14:solidFill>
                      </w14:textFill>
                    </w:rPr>
                    <w:t>：2</w:t>
                  </w:r>
                  <w:r>
                    <w:rPr>
                      <w:rFonts w:hint="eastAsia"/>
                      <w:color w:val="000000" w:themeColor="text1"/>
                      <w:szCs w:val="21"/>
                      <w:lang w:val="en-US" w:eastAsia="zh-CN"/>
                      <w14:textFill>
                        <w14:solidFill>
                          <w14:schemeClr w14:val="tx1"/>
                        </w14:solidFill>
                      </w14:textFill>
                    </w:rPr>
                    <w:t>500</w:t>
                  </w:r>
                  <w:r>
                    <w:rPr>
                      <w:rFonts w:hint="eastAsia"/>
                      <w:color w:val="000000" w:themeColor="text1"/>
                      <w:szCs w:val="21"/>
                      <w14:textFill>
                        <w14:solidFill>
                          <w14:schemeClr w14:val="tx1"/>
                        </w14:solidFill>
                      </w14:textFill>
                    </w:rPr>
                    <w:t>mg/kg</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大鼠经口</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1200</w:t>
                  </w:r>
                  <w:r>
                    <w:rPr>
                      <w:rFonts w:hint="eastAsia"/>
                      <w:color w:val="000000" w:themeColor="text1"/>
                      <w:szCs w:val="21"/>
                      <w14:textFill>
                        <w14:solidFill>
                          <w14:schemeClr w14:val="tx1"/>
                        </w14:solidFill>
                      </w14:textFill>
                    </w:rPr>
                    <w:t>mg/kg</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小鼠经口</w:t>
                  </w:r>
                  <w:r>
                    <w:rPr>
                      <w:rFonts w:hint="eastAsia"/>
                      <w:color w:val="000000" w:themeColor="text1"/>
                      <w:szCs w:val="21"/>
                      <w:lang w:eastAsia="zh-CN"/>
                      <w14:textFill>
                        <w14:solidFill>
                          <w14:schemeClr w14:val="tx1"/>
                        </w14:solidFill>
                      </w14:textFill>
                    </w:rPr>
                    <w:t>）</w:t>
                  </w:r>
                </w:p>
              </w:tc>
            </w:tr>
            <w:tr w14:paraId="480B87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6" w:type="pct"/>
                  <w:noWrap/>
                  <w:vAlign w:val="center"/>
                </w:tcPr>
                <w:p w14:paraId="7A826B67">
                  <w:pPr>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液压油</w:t>
                  </w:r>
                </w:p>
              </w:tc>
              <w:tc>
                <w:tcPr>
                  <w:tcW w:w="1734" w:type="pct"/>
                  <w:noWrap/>
                  <w:vAlign w:val="center"/>
                </w:tcPr>
                <w:p w14:paraId="3A567FD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琥珀色具有矿物油气味的液体，沸点＞290℃</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闪点222℃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燃烧上下极限1%</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10%（V）</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蒸汽压力＜0.5Pa</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蒸气密度＞1（空气=1）</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密度896kg/m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自燃温度＞320℃</w:t>
                  </w:r>
                  <w:r>
                    <w:rPr>
                      <w:rFonts w:hint="eastAsia"/>
                      <w:color w:val="000000" w:themeColor="text1"/>
                      <w:szCs w:val="21"/>
                      <w14:textFill>
                        <w14:solidFill>
                          <w14:schemeClr w14:val="tx1"/>
                        </w14:solidFill>
                      </w14:textFill>
                    </w:rPr>
                    <w:t>。</w:t>
                  </w:r>
                </w:p>
              </w:tc>
              <w:tc>
                <w:tcPr>
                  <w:tcW w:w="1238" w:type="pct"/>
                  <w:noWrap/>
                  <w:vAlign w:val="center"/>
                </w:tcPr>
                <w:p w14:paraId="60459E9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该物质稳定，应避免极端温度及阳光直晒，避免与强氧化剂接触。燃烧可能形成在空气中的固体和液体微粒及气体的复杂混合物，包括CO、氧化硫及未识别的混合物</w:t>
                  </w:r>
                </w:p>
              </w:tc>
              <w:tc>
                <w:tcPr>
                  <w:tcW w:w="1360" w:type="pct"/>
                  <w:noWrap/>
                  <w:vAlign w:val="center"/>
                </w:tcPr>
                <w:p w14:paraId="3EB6BC5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经口急性毒性LD50＞5000mg/kg</w:t>
                  </w:r>
                </w:p>
                <w:p w14:paraId="439ABF9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皮肤急性毒性LD50＞5000mg/kg</w:t>
                  </w:r>
                </w:p>
                <w:p w14:paraId="467921F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呼吸急性毒性：正常使用状况下不认为存在吸入危险</w:t>
                  </w:r>
                  <w:r>
                    <w:rPr>
                      <w:rFonts w:hint="eastAsia"/>
                      <w:color w:val="000000" w:themeColor="text1"/>
                      <w:szCs w:val="21"/>
                      <w14:textFill>
                        <w14:solidFill>
                          <w14:schemeClr w14:val="tx1"/>
                        </w14:solidFill>
                      </w14:textFill>
                    </w:rPr>
                    <w:t>。</w:t>
                  </w:r>
                </w:p>
              </w:tc>
            </w:tr>
          </w:tbl>
          <w:p w14:paraId="3F9618CC">
            <w:pPr>
              <w:spacing w:line="420" w:lineRule="exact"/>
              <w:ind w:firstLine="422" w:firstLineChars="200"/>
              <w:rPr>
                <w:color w:val="000000" w:themeColor="text1"/>
                <w:kern w:val="0"/>
                <w:szCs w:val="16"/>
                <w14:textFill>
                  <w14:solidFill>
                    <w14:schemeClr w14:val="tx1"/>
                  </w14:solidFill>
                </w14:textFill>
              </w:rPr>
            </w:pPr>
            <w:r>
              <w:rPr>
                <w:b/>
                <w:bCs/>
                <w:color w:val="000000" w:themeColor="text1"/>
                <w:kern w:val="0"/>
                <w:szCs w:val="16"/>
                <w14:textFill>
                  <w14:solidFill>
                    <w14:schemeClr w14:val="tx1"/>
                  </w14:solidFill>
                </w14:textFill>
              </w:rPr>
              <w:t>2.</w:t>
            </w:r>
            <w:r>
              <w:rPr>
                <w:rFonts w:hint="eastAsia"/>
                <w:b/>
                <w:bCs/>
                <w:color w:val="000000" w:themeColor="text1"/>
                <w:kern w:val="0"/>
                <w:szCs w:val="16"/>
                <w14:textFill>
                  <w14:solidFill>
                    <w14:schemeClr w14:val="tx1"/>
                  </w14:solidFill>
                </w14:textFill>
              </w:rPr>
              <w:t>6</w:t>
            </w:r>
            <w:r>
              <w:rPr>
                <w:b/>
                <w:bCs/>
                <w:color w:val="000000" w:themeColor="text1"/>
                <w:kern w:val="0"/>
                <w:szCs w:val="16"/>
                <w14:textFill>
                  <w14:solidFill>
                    <w14:schemeClr w14:val="tx1"/>
                  </w14:solidFill>
                </w14:textFill>
              </w:rPr>
              <w:t>劳动定员及工作制度</w:t>
            </w:r>
          </w:p>
          <w:p w14:paraId="345B7214">
            <w:pPr>
              <w:spacing w:line="420" w:lineRule="exact"/>
              <w:ind w:firstLine="420" w:firstLineChars="200"/>
              <w:rPr>
                <w:color w:val="000000" w:themeColor="text1"/>
                <w:kern w:val="0"/>
                <w:szCs w:val="16"/>
                <w14:textFill>
                  <w14:solidFill>
                    <w14:schemeClr w14:val="tx1"/>
                  </w14:solidFill>
                </w14:textFill>
              </w:rPr>
            </w:pPr>
            <w:r>
              <w:rPr>
                <w:color w:val="000000" w:themeColor="text1"/>
                <w:kern w:val="0"/>
                <w:szCs w:val="16"/>
                <w14:textFill>
                  <w14:solidFill>
                    <w14:schemeClr w14:val="tx1"/>
                  </w14:solidFill>
                </w14:textFill>
              </w:rPr>
              <w:t>本项目</w:t>
            </w:r>
            <w:r>
              <w:rPr>
                <w:rFonts w:hint="eastAsia"/>
                <w:color w:val="000000" w:themeColor="text1"/>
                <w:kern w:val="0"/>
                <w:szCs w:val="16"/>
                <w14:textFill>
                  <w14:solidFill>
                    <w14:schemeClr w14:val="tx1"/>
                  </w14:solidFill>
                </w14:textFill>
              </w:rPr>
              <w:t>职工定员</w:t>
            </w:r>
            <w:r>
              <w:rPr>
                <w:rFonts w:hint="eastAsia"/>
                <w:color w:val="000000" w:themeColor="text1"/>
                <w:kern w:val="0"/>
                <w:szCs w:val="16"/>
                <w:lang w:val="en-US" w:eastAsia="zh-CN"/>
                <w14:textFill>
                  <w14:solidFill>
                    <w14:schemeClr w14:val="tx1"/>
                  </w14:solidFill>
                </w14:textFill>
              </w:rPr>
              <w:t>45</w:t>
            </w:r>
            <w:r>
              <w:rPr>
                <w:rFonts w:hint="eastAsia"/>
                <w:color w:val="000000" w:themeColor="text1"/>
                <w:kern w:val="0"/>
                <w:szCs w:val="16"/>
                <w14:textFill>
                  <w14:solidFill>
                    <w14:schemeClr w14:val="tx1"/>
                  </w14:solidFill>
                </w14:textFill>
              </w:rPr>
              <w:t>人，</w:t>
            </w:r>
            <w:r>
              <w:rPr>
                <w:color w:val="000000" w:themeColor="text1"/>
                <w:kern w:val="0"/>
                <w:szCs w:val="16"/>
                <w14:textFill>
                  <w14:solidFill>
                    <w14:schemeClr w14:val="tx1"/>
                  </w14:solidFill>
                </w14:textFill>
              </w:rPr>
              <w:t>年工作</w:t>
            </w:r>
            <w:r>
              <w:rPr>
                <w:rFonts w:hint="eastAsia"/>
                <w:color w:val="000000" w:themeColor="text1"/>
                <w:kern w:val="0"/>
                <w:szCs w:val="16"/>
                <w14:textFill>
                  <w14:solidFill>
                    <w14:schemeClr w14:val="tx1"/>
                  </w14:solidFill>
                </w14:textFill>
              </w:rPr>
              <w:t>30</w:t>
            </w:r>
            <w:r>
              <w:rPr>
                <w:color w:val="000000" w:themeColor="text1"/>
                <w:kern w:val="0"/>
                <w:szCs w:val="16"/>
                <w14:textFill>
                  <w14:solidFill>
                    <w14:schemeClr w14:val="tx1"/>
                  </w14:solidFill>
                </w14:textFill>
              </w:rPr>
              <w:t>0天，</w:t>
            </w:r>
            <w:r>
              <w:rPr>
                <w:rFonts w:hint="eastAsia"/>
                <w:color w:val="000000" w:themeColor="text1"/>
                <w:kern w:val="0"/>
                <w:szCs w:val="16"/>
                <w:lang w:val="en-US" w:eastAsia="zh-CN"/>
                <w14:textFill>
                  <w14:solidFill>
                    <w14:schemeClr w14:val="tx1"/>
                  </w14:solidFill>
                </w14:textFill>
              </w:rPr>
              <w:t>3</w:t>
            </w:r>
            <w:r>
              <w:rPr>
                <w:rFonts w:hint="eastAsia"/>
                <w:color w:val="000000" w:themeColor="text1"/>
                <w:kern w:val="0"/>
                <w:szCs w:val="16"/>
                <w14:textFill>
                  <w14:solidFill>
                    <w14:schemeClr w14:val="tx1"/>
                  </w14:solidFill>
                </w14:textFill>
              </w:rPr>
              <w:t>班8小时制，年工作</w:t>
            </w:r>
            <w:r>
              <w:rPr>
                <w:rFonts w:hint="eastAsia"/>
                <w:color w:val="000000" w:themeColor="text1"/>
                <w:kern w:val="0"/>
                <w:szCs w:val="16"/>
                <w:lang w:val="en-US" w:eastAsia="zh-CN"/>
                <w14:textFill>
                  <w14:solidFill>
                    <w14:schemeClr w14:val="tx1"/>
                  </w14:solidFill>
                </w14:textFill>
              </w:rPr>
              <w:t>7200</w:t>
            </w:r>
            <w:r>
              <w:rPr>
                <w:rFonts w:hint="eastAsia"/>
                <w:color w:val="000000" w:themeColor="text1"/>
                <w:kern w:val="0"/>
                <w:szCs w:val="16"/>
                <w14:textFill>
                  <w14:solidFill>
                    <w14:schemeClr w14:val="tx1"/>
                  </w14:solidFill>
                </w14:textFill>
              </w:rPr>
              <w:t>小时。厂区内不设置食堂、宿舍</w:t>
            </w:r>
            <w:r>
              <w:rPr>
                <w:color w:val="000000" w:themeColor="text1"/>
                <w:kern w:val="0"/>
                <w:szCs w:val="16"/>
                <w14:textFill>
                  <w14:solidFill>
                    <w14:schemeClr w14:val="tx1"/>
                  </w14:solidFill>
                </w14:textFill>
              </w:rPr>
              <w:t>。</w:t>
            </w:r>
          </w:p>
          <w:p w14:paraId="75255953">
            <w:pPr>
              <w:spacing w:line="420" w:lineRule="exact"/>
              <w:ind w:firstLine="422" w:firstLineChars="200"/>
              <w:rPr>
                <w:b/>
                <w:bCs/>
                <w:color w:val="000000" w:themeColor="text1"/>
                <w:kern w:val="0"/>
                <w:szCs w:val="16"/>
                <w14:textFill>
                  <w14:solidFill>
                    <w14:schemeClr w14:val="tx1"/>
                  </w14:solidFill>
                </w14:textFill>
              </w:rPr>
            </w:pPr>
            <w:r>
              <w:rPr>
                <w:b/>
                <w:bCs/>
                <w:color w:val="000000" w:themeColor="text1"/>
                <w:kern w:val="0"/>
                <w:szCs w:val="16"/>
                <w14:textFill>
                  <w14:solidFill>
                    <w14:schemeClr w14:val="tx1"/>
                  </w14:solidFill>
                </w14:textFill>
              </w:rPr>
              <w:t>2.</w:t>
            </w:r>
            <w:r>
              <w:rPr>
                <w:rFonts w:hint="eastAsia"/>
                <w:b/>
                <w:bCs/>
                <w:color w:val="000000" w:themeColor="text1"/>
                <w:kern w:val="0"/>
                <w:szCs w:val="16"/>
                <w14:textFill>
                  <w14:solidFill>
                    <w14:schemeClr w14:val="tx1"/>
                  </w14:solidFill>
                </w14:textFill>
              </w:rPr>
              <w:t>7</w:t>
            </w:r>
            <w:r>
              <w:rPr>
                <w:b/>
                <w:bCs/>
                <w:color w:val="000000" w:themeColor="text1"/>
                <w:kern w:val="0"/>
                <w:szCs w:val="16"/>
                <w14:textFill>
                  <w14:solidFill>
                    <w14:schemeClr w14:val="tx1"/>
                  </w14:solidFill>
                </w14:textFill>
              </w:rPr>
              <w:t>水平衡分析</w:t>
            </w:r>
          </w:p>
          <w:p w14:paraId="14428F42">
            <w:pPr>
              <w:spacing w:line="420" w:lineRule="exact"/>
              <w:ind w:firstLine="420" w:firstLineChars="200"/>
              <w:rPr>
                <w:rFonts w:hint="default" w:eastAsia="宋体"/>
                <w:color w:val="000000" w:themeColor="text1"/>
                <w:kern w:val="0"/>
                <w:szCs w:val="16"/>
                <w:lang w:val="en-US" w:eastAsia="zh-CN"/>
                <w14:textFill>
                  <w14:solidFill>
                    <w14:schemeClr w14:val="tx1"/>
                  </w14:solidFill>
                </w14:textFill>
              </w:rPr>
            </w:pPr>
            <w:r>
              <w:rPr>
                <w:rFonts w:hint="eastAsia"/>
                <w:color w:val="000000" w:themeColor="text1"/>
                <w:kern w:val="0"/>
                <w:szCs w:val="16"/>
                <w14:textFill>
                  <w14:solidFill>
                    <w14:schemeClr w14:val="tx1"/>
                  </w14:solidFill>
                </w14:textFill>
              </w:rPr>
              <w:t>（1）</w:t>
            </w:r>
            <w:r>
              <w:rPr>
                <w:rFonts w:hint="eastAsia"/>
                <w:color w:val="000000" w:themeColor="text1"/>
                <w:kern w:val="0"/>
                <w:szCs w:val="16"/>
                <w:lang w:val="en-US" w:eastAsia="zh-CN"/>
                <w14:textFill>
                  <w14:solidFill>
                    <w14:schemeClr w14:val="tx1"/>
                  </w14:solidFill>
                </w14:textFill>
              </w:rPr>
              <w:t>循环冷却水</w:t>
            </w:r>
          </w:p>
          <w:p w14:paraId="07B208EB">
            <w:pPr>
              <w:spacing w:line="420" w:lineRule="exact"/>
              <w:ind w:firstLine="420" w:firstLineChars="200"/>
              <w:rPr>
                <w:color w:val="000000" w:themeColor="text1"/>
                <w:kern w:val="0"/>
                <w:szCs w:val="16"/>
                <w:highlight w:val="none"/>
                <w14:textFill>
                  <w14:solidFill>
                    <w14:schemeClr w14:val="tx1"/>
                  </w14:solidFill>
                </w14:textFill>
              </w:rPr>
            </w:pPr>
            <w:r>
              <w:rPr>
                <w:rFonts w:hint="eastAsia"/>
                <w:color w:val="000000" w:themeColor="text1"/>
                <w:kern w:val="0"/>
                <w:szCs w:val="16"/>
                <w:highlight w:val="none"/>
                <w:lang w:val="en-US" w:eastAsia="zh-CN"/>
                <w14:textFill>
                  <w14:solidFill>
                    <w14:schemeClr w14:val="tx1"/>
                  </w14:solidFill>
                </w14:textFill>
              </w:rPr>
              <w:t>循环冷却水</w:t>
            </w:r>
            <w:r>
              <w:rPr>
                <w:rFonts w:hint="eastAsia"/>
                <w:color w:val="000000" w:themeColor="text1"/>
                <w:kern w:val="0"/>
                <w:szCs w:val="16"/>
                <w:highlight w:val="none"/>
                <w14:textFill>
                  <w14:solidFill>
                    <w14:schemeClr w14:val="tx1"/>
                  </w14:solidFill>
                </w14:textFill>
              </w:rPr>
              <w:t>：本项目</w:t>
            </w:r>
            <w:r>
              <w:rPr>
                <w:rFonts w:hint="eastAsia"/>
                <w:color w:val="000000" w:themeColor="text1"/>
                <w:kern w:val="0"/>
                <w:szCs w:val="16"/>
                <w:highlight w:val="none"/>
                <w:lang w:val="en-US" w:eastAsia="zh-CN"/>
                <w14:textFill>
                  <w14:solidFill>
                    <w14:schemeClr w14:val="tx1"/>
                  </w14:solidFill>
                </w14:textFill>
              </w:rPr>
              <w:t>吹塑工序需要自来水进行间接冷却，冷却水循环使用、不外排。本项目冷却塔循环量为60t</w:t>
            </w:r>
            <w:r>
              <w:rPr>
                <w:rFonts w:hint="eastAsia"/>
                <w:color w:val="000000" w:themeColor="text1"/>
                <w:kern w:val="0"/>
                <w:szCs w:val="16"/>
                <w:highlight w:val="none"/>
                <w:vertAlign w:val="baseline"/>
                <w:lang w:val="en-US" w:eastAsia="zh-CN"/>
                <w14:textFill>
                  <w14:solidFill>
                    <w14:schemeClr w14:val="tx1"/>
                  </w14:solidFill>
                </w14:textFill>
              </w:rPr>
              <w:t>/h，年工作时间7200h，</w:t>
            </w:r>
            <w:r>
              <w:rPr>
                <w:rFonts w:hint="eastAsia"/>
                <w:color w:val="000000" w:themeColor="text1"/>
                <w:highlight w:val="none"/>
                <w14:textFill>
                  <w14:solidFill>
                    <w14:schemeClr w14:val="tx1"/>
                  </w14:solidFill>
                </w14:textFill>
              </w:rPr>
              <w:t>则冷却水的用量为</w:t>
            </w:r>
            <w:r>
              <w:rPr>
                <w:rFonts w:hint="eastAsia"/>
                <w:color w:val="000000" w:themeColor="text1"/>
                <w:highlight w:val="none"/>
                <w:lang w:val="en-US" w:eastAsia="zh-CN"/>
                <w14:textFill>
                  <w14:solidFill>
                    <w14:schemeClr w14:val="tx1"/>
                  </w14:solidFill>
                </w14:textFill>
              </w:rPr>
              <w:t>432</w:t>
            </w:r>
            <w:r>
              <w:rPr>
                <w:rFonts w:hint="eastAsia"/>
                <w:color w:val="000000" w:themeColor="text1"/>
                <w:highlight w:val="none"/>
                <w14:textFill>
                  <w14:solidFill>
                    <w14:schemeClr w14:val="tx1"/>
                  </w14:solidFill>
                </w14:textFill>
              </w:rPr>
              <w:t>000t/a，</w:t>
            </w:r>
            <w:r>
              <w:rPr>
                <w:rFonts w:hint="eastAsia"/>
                <w:color w:val="000000" w:themeColor="text1"/>
                <w:highlight w:val="none"/>
                <w:lang w:val="en-US" w:eastAsia="zh-CN"/>
                <w14:textFill>
                  <w14:solidFill>
                    <w14:schemeClr w14:val="tx1"/>
                  </w14:solidFill>
                </w14:textFill>
              </w:rPr>
              <w:t>由于冷却方式为间接冷却，冷却水不与工件接触，因此</w:t>
            </w:r>
            <w:r>
              <w:rPr>
                <w:rFonts w:hint="eastAsia"/>
                <w:color w:val="000000" w:themeColor="text1"/>
                <w:highlight w:val="none"/>
                <w14:textFill>
                  <w14:solidFill>
                    <w14:schemeClr w14:val="tx1"/>
                  </w14:solidFill>
                </w14:textFill>
              </w:rPr>
              <w:t>该部分水循环使用不外排，损耗约0.05%，损耗量为</w:t>
            </w:r>
            <w:r>
              <w:rPr>
                <w:rFonts w:hint="eastAsia"/>
                <w:color w:val="000000" w:themeColor="text1"/>
                <w:highlight w:val="none"/>
                <w:lang w:val="en-US" w:eastAsia="zh-CN"/>
                <w14:textFill>
                  <w14:solidFill>
                    <w14:schemeClr w14:val="tx1"/>
                  </w14:solidFill>
                </w14:textFill>
              </w:rPr>
              <w:t>216</w:t>
            </w:r>
            <w:r>
              <w:rPr>
                <w:rFonts w:hint="eastAsia"/>
                <w:color w:val="000000" w:themeColor="text1"/>
                <w:highlight w:val="none"/>
                <w14:textFill>
                  <w14:solidFill>
                    <w14:schemeClr w14:val="tx1"/>
                  </w14:solidFill>
                </w14:textFill>
              </w:rPr>
              <w:t>t/a</w:t>
            </w:r>
            <w:r>
              <w:rPr>
                <w:rFonts w:hint="eastAsia"/>
                <w:color w:val="000000" w:themeColor="text1"/>
                <w:kern w:val="0"/>
                <w:szCs w:val="16"/>
                <w:highlight w:val="none"/>
                <w14:textFill>
                  <w14:solidFill>
                    <w14:schemeClr w14:val="tx1"/>
                  </w14:solidFill>
                </w14:textFill>
              </w:rPr>
              <w:t>。</w:t>
            </w:r>
          </w:p>
          <w:p w14:paraId="5F94158F">
            <w:pPr>
              <w:spacing w:line="420" w:lineRule="exact"/>
              <w:ind w:firstLine="420" w:firstLineChars="200"/>
              <w:rPr>
                <w:rFonts w:hint="eastAsia"/>
                <w:color w:val="000000" w:themeColor="text1"/>
                <w:kern w:val="0"/>
                <w:szCs w:val="16"/>
                <w14:textFill>
                  <w14:solidFill>
                    <w14:schemeClr w14:val="tx1"/>
                  </w14:solidFill>
                </w14:textFill>
              </w:rPr>
            </w:pPr>
            <w:r>
              <w:rPr>
                <w:rFonts w:hint="eastAsia"/>
                <w:color w:val="000000" w:themeColor="text1"/>
                <w:kern w:val="0"/>
                <w:szCs w:val="16"/>
                <w:lang w:eastAsia="zh-CN"/>
                <w14:textFill>
                  <w14:solidFill>
                    <w14:schemeClr w14:val="tx1"/>
                  </w14:solidFill>
                </w14:textFill>
              </w:rPr>
              <w:t>（</w:t>
            </w:r>
            <w:r>
              <w:rPr>
                <w:rFonts w:hint="eastAsia"/>
                <w:color w:val="000000" w:themeColor="text1"/>
                <w:kern w:val="0"/>
                <w:szCs w:val="16"/>
                <w:lang w:val="en-US" w:eastAsia="zh-CN"/>
                <w14:textFill>
                  <w14:solidFill>
                    <w14:schemeClr w14:val="tx1"/>
                  </w14:solidFill>
                </w14:textFill>
              </w:rPr>
              <w:t>2）产品检验</w:t>
            </w:r>
            <w:r>
              <w:rPr>
                <w:rFonts w:hint="eastAsia"/>
                <w:color w:val="000000" w:themeColor="text1"/>
                <w:kern w:val="0"/>
                <w:szCs w:val="16"/>
                <w14:textFill>
                  <w14:solidFill>
                    <w14:schemeClr w14:val="tx1"/>
                  </w14:solidFill>
                </w14:textFill>
              </w:rPr>
              <w:t>用水：本项目</w:t>
            </w:r>
            <w:r>
              <w:rPr>
                <w:rFonts w:hint="eastAsia"/>
                <w:color w:val="000000" w:themeColor="text1"/>
                <w:kern w:val="0"/>
                <w:szCs w:val="16"/>
                <w:lang w:val="en-US" w:eastAsia="zh-CN"/>
                <w14:textFill>
                  <w14:solidFill>
                    <w14:schemeClr w14:val="tx1"/>
                  </w14:solidFill>
                </w14:textFill>
              </w:rPr>
              <w:t>检验</w:t>
            </w:r>
            <w:r>
              <w:rPr>
                <w:rFonts w:hint="eastAsia"/>
                <w:color w:val="000000" w:themeColor="text1"/>
                <w:kern w:val="0"/>
                <w:szCs w:val="16"/>
                <w14:textFill>
                  <w14:solidFill>
                    <w14:schemeClr w14:val="tx1"/>
                  </w14:solidFill>
                </w14:textFill>
              </w:rPr>
              <w:t>工序需要使用</w:t>
            </w:r>
            <w:r>
              <w:rPr>
                <w:rFonts w:hint="eastAsia"/>
                <w:color w:val="000000" w:themeColor="text1"/>
                <w:kern w:val="0"/>
                <w:szCs w:val="16"/>
                <w:lang w:val="en-US" w:eastAsia="zh-CN"/>
                <w14:textFill>
                  <w14:solidFill>
                    <w14:schemeClr w14:val="tx1"/>
                  </w14:solidFill>
                </w14:textFill>
              </w:rPr>
              <w:t>自来水检验产品密封性能</w:t>
            </w:r>
            <w:r>
              <w:rPr>
                <w:rFonts w:hint="eastAsia"/>
                <w:color w:val="000000" w:themeColor="text1"/>
                <w:kern w:val="0"/>
                <w:szCs w:val="16"/>
                <w14:textFill>
                  <w14:solidFill>
                    <w14:schemeClr w14:val="tx1"/>
                  </w14:solidFill>
                </w14:textFill>
              </w:rPr>
              <w:t>，测试用水循环使用，本项目</w:t>
            </w:r>
            <w:r>
              <w:rPr>
                <w:rFonts w:hint="eastAsia"/>
                <w:color w:val="000000" w:themeColor="text1"/>
                <w:kern w:val="0"/>
                <w:szCs w:val="16"/>
                <w:lang w:val="en-US" w:eastAsia="zh-CN"/>
                <w14:textFill>
                  <w14:solidFill>
                    <w14:schemeClr w14:val="tx1"/>
                  </w14:solidFill>
                </w14:textFill>
              </w:rPr>
              <w:t>测漏机（配套水箱，容量为21kg）共1台</w:t>
            </w:r>
            <w:r>
              <w:rPr>
                <w:rFonts w:hint="eastAsia"/>
                <w:color w:val="000000" w:themeColor="text1"/>
                <w:kern w:val="0"/>
                <w:szCs w:val="16"/>
                <w14:textFill>
                  <w14:solidFill>
                    <w14:schemeClr w14:val="tx1"/>
                  </w14:solidFill>
                </w14:textFill>
              </w:rPr>
              <w:t>，用水量为</w:t>
            </w:r>
            <w:r>
              <w:rPr>
                <w:rFonts w:hint="eastAsia"/>
                <w:color w:val="000000" w:themeColor="text1"/>
                <w:kern w:val="0"/>
                <w:szCs w:val="16"/>
                <w:lang w:val="en-US" w:eastAsia="zh-CN"/>
                <w14:textFill>
                  <w14:solidFill>
                    <w14:schemeClr w14:val="tx1"/>
                  </w14:solidFill>
                </w14:textFill>
              </w:rPr>
              <w:t>20kg</w:t>
            </w:r>
            <w:r>
              <w:rPr>
                <w:rFonts w:hint="eastAsia"/>
                <w:color w:val="000000" w:themeColor="text1"/>
                <w:kern w:val="0"/>
                <w:szCs w:val="16"/>
                <w14:textFill>
                  <w14:solidFill>
                    <w14:schemeClr w14:val="tx1"/>
                  </w14:solidFill>
                </w14:textFill>
              </w:rPr>
              <w:t>/台</w:t>
            </w:r>
            <w:r>
              <w:rPr>
                <w:rFonts w:hint="eastAsia"/>
                <w:color w:val="000000" w:themeColor="text1"/>
                <w:kern w:val="0"/>
                <w:szCs w:val="16"/>
                <w:lang w:val="en-US" w:eastAsia="zh-CN"/>
                <w14:textFill>
                  <w14:solidFill>
                    <w14:schemeClr w14:val="tx1"/>
                  </w14:solidFill>
                </w14:textFill>
              </w:rPr>
              <w:t>/a</w:t>
            </w:r>
            <w:r>
              <w:rPr>
                <w:rFonts w:hint="eastAsia"/>
                <w:color w:val="000000" w:themeColor="text1"/>
                <w:kern w:val="0"/>
                <w:szCs w:val="16"/>
                <w14:textFill>
                  <w14:solidFill>
                    <w14:schemeClr w14:val="tx1"/>
                  </w14:solidFill>
                </w14:textFill>
              </w:rPr>
              <w:t>，则测试用水循环量</w:t>
            </w:r>
            <w:r>
              <w:rPr>
                <w:rFonts w:hint="eastAsia"/>
                <w:color w:val="000000" w:themeColor="text1"/>
                <w:kern w:val="0"/>
                <w:szCs w:val="16"/>
                <w:lang w:val="en-US" w:eastAsia="zh-CN"/>
                <w14:textFill>
                  <w14:solidFill>
                    <w14:schemeClr w14:val="tx1"/>
                  </w14:solidFill>
                </w14:textFill>
              </w:rPr>
              <w:t>0.02</w:t>
            </w:r>
            <w:r>
              <w:rPr>
                <w:rFonts w:hint="eastAsia"/>
                <w:color w:val="000000" w:themeColor="text1"/>
                <w:kern w:val="0"/>
                <w:szCs w:val="16"/>
                <w14:textFill>
                  <w14:solidFill>
                    <w14:schemeClr w14:val="tx1"/>
                  </w14:solidFill>
                </w14:textFill>
              </w:rPr>
              <w:t>t/a，损耗量约为循环用水量的1%，则损耗量为</w:t>
            </w:r>
            <w:r>
              <w:rPr>
                <w:rFonts w:hint="eastAsia"/>
                <w:color w:val="000000" w:themeColor="text1"/>
                <w:kern w:val="0"/>
                <w:szCs w:val="16"/>
                <w:lang w:val="en-US" w:eastAsia="zh-CN"/>
                <w14:textFill>
                  <w14:solidFill>
                    <w14:schemeClr w14:val="tx1"/>
                  </w14:solidFill>
                </w14:textFill>
              </w:rPr>
              <w:t>0.0002</w:t>
            </w:r>
            <w:r>
              <w:rPr>
                <w:rFonts w:hint="eastAsia"/>
                <w:color w:val="000000" w:themeColor="text1"/>
                <w:kern w:val="0"/>
                <w:szCs w:val="16"/>
                <w14:textFill>
                  <w14:solidFill>
                    <w14:schemeClr w14:val="tx1"/>
                  </w14:solidFill>
                </w14:textFill>
              </w:rPr>
              <w:t>t/a，定期补充损耗</w:t>
            </w:r>
            <w:r>
              <w:rPr>
                <w:rFonts w:hint="eastAsia"/>
                <w:color w:val="000000" w:themeColor="text1"/>
                <w:kern w:val="0"/>
                <w:szCs w:val="16"/>
                <w:lang w:eastAsia="zh-CN"/>
                <w14:textFill>
                  <w14:solidFill>
                    <w14:schemeClr w14:val="tx1"/>
                  </w14:solidFill>
                </w14:textFill>
              </w:rPr>
              <w:t>，</w:t>
            </w:r>
            <w:r>
              <w:rPr>
                <w:rFonts w:hint="eastAsia"/>
                <w:color w:val="000000" w:themeColor="text1"/>
                <w:kern w:val="0"/>
                <w:szCs w:val="16"/>
                <w:highlight w:val="none"/>
                <w:lang w:val="en-US" w:eastAsia="zh-CN"/>
                <w14:textFill>
                  <w14:solidFill>
                    <w14:schemeClr w14:val="tx1"/>
                  </w14:solidFill>
                </w14:textFill>
              </w:rPr>
              <w:t>循环使用不外排</w:t>
            </w:r>
            <w:r>
              <w:rPr>
                <w:rFonts w:hint="eastAsia"/>
                <w:color w:val="000000" w:themeColor="text1"/>
                <w:kern w:val="0"/>
                <w:szCs w:val="16"/>
                <w14:textFill>
                  <w14:solidFill>
                    <w14:schemeClr w14:val="tx1"/>
                  </w14:solidFill>
                </w14:textFill>
              </w:rPr>
              <w:t>。</w:t>
            </w:r>
          </w:p>
          <w:p w14:paraId="546AC801">
            <w:pPr>
              <w:spacing w:line="420" w:lineRule="exact"/>
              <w:ind w:firstLine="420" w:firstLineChars="200"/>
              <w:rPr>
                <w:color w:val="000000" w:themeColor="text1"/>
                <w:kern w:val="0"/>
                <w:szCs w:val="16"/>
                <w14:textFill>
                  <w14:solidFill>
                    <w14:schemeClr w14:val="tx1"/>
                  </w14:solidFill>
                </w14:textFill>
              </w:rPr>
            </w:pPr>
            <w:r>
              <w:rPr>
                <w:rFonts w:hint="eastAsia"/>
                <w:color w:val="000000" w:themeColor="text1"/>
                <w:kern w:val="0"/>
                <w:szCs w:val="16"/>
                <w14:textFill>
                  <w14:solidFill>
                    <w14:schemeClr w14:val="tx1"/>
                  </w14:solidFill>
                </w14:textFill>
              </w:rPr>
              <w:t>（</w:t>
            </w:r>
            <w:r>
              <w:rPr>
                <w:rFonts w:hint="eastAsia"/>
                <w:color w:val="000000" w:themeColor="text1"/>
                <w:kern w:val="0"/>
                <w:szCs w:val="16"/>
                <w:lang w:val="en-US" w:eastAsia="zh-CN"/>
                <w14:textFill>
                  <w14:solidFill>
                    <w14:schemeClr w14:val="tx1"/>
                  </w14:solidFill>
                </w14:textFill>
              </w:rPr>
              <w:t>3</w:t>
            </w:r>
            <w:r>
              <w:rPr>
                <w:rFonts w:hint="eastAsia"/>
                <w:color w:val="000000" w:themeColor="text1"/>
                <w:kern w:val="0"/>
                <w:szCs w:val="16"/>
                <w14:textFill>
                  <w14:solidFill>
                    <w14:schemeClr w14:val="tx1"/>
                  </w14:solidFill>
                </w14:textFill>
              </w:rPr>
              <w:t>）生活用水及排水</w:t>
            </w:r>
          </w:p>
          <w:p w14:paraId="699B67F0">
            <w:pPr>
              <w:spacing w:line="420" w:lineRule="exact"/>
              <w:ind w:firstLine="420" w:firstLineChars="200"/>
              <w:rPr>
                <w:color w:val="000000" w:themeColor="text1"/>
                <w:kern w:val="0"/>
                <w:szCs w:val="16"/>
                <w14:textFill>
                  <w14:solidFill>
                    <w14:schemeClr w14:val="tx1"/>
                  </w14:solidFill>
                </w14:textFill>
              </w:rPr>
            </w:pPr>
            <w:r>
              <w:rPr>
                <w:rFonts w:hint="eastAsia"/>
                <w:color w:val="000000" w:themeColor="text1"/>
                <w:kern w:val="0"/>
                <w:szCs w:val="16"/>
                <w14:textFill>
                  <w14:solidFill>
                    <w14:schemeClr w14:val="tx1"/>
                  </w14:solidFill>
                </w14:textFill>
              </w:rPr>
              <w:t>本项目职工</w:t>
            </w:r>
            <w:r>
              <w:rPr>
                <w:rFonts w:hint="eastAsia"/>
                <w:color w:val="000000" w:themeColor="text1"/>
                <w:kern w:val="0"/>
                <w:szCs w:val="16"/>
                <w:lang w:val="en-US" w:eastAsia="zh-CN"/>
                <w14:textFill>
                  <w14:solidFill>
                    <w14:schemeClr w14:val="tx1"/>
                  </w14:solidFill>
                </w14:textFill>
              </w:rPr>
              <w:t>45</w:t>
            </w:r>
            <w:r>
              <w:rPr>
                <w:rFonts w:hint="eastAsia"/>
                <w:color w:val="000000" w:themeColor="text1"/>
                <w:kern w:val="0"/>
                <w:szCs w:val="16"/>
                <w14:textFill>
                  <w14:solidFill>
                    <w14:schemeClr w14:val="tx1"/>
                  </w14:solidFill>
                </w14:textFill>
              </w:rPr>
              <w:t>人，</w:t>
            </w:r>
            <w:r>
              <w:rPr>
                <w:bCs/>
                <w:color w:val="000000" w:themeColor="text1"/>
                <w14:textFill>
                  <w14:solidFill>
                    <w14:schemeClr w14:val="tx1"/>
                  </w14:solidFill>
                </w14:textFill>
              </w:rPr>
              <w:t>根据《建筑给水排水设计</w:t>
            </w:r>
            <w:r>
              <w:rPr>
                <w:rFonts w:hint="eastAsia"/>
                <w:bCs/>
                <w:color w:val="000000" w:themeColor="text1"/>
                <w:lang w:val="en-US" w:eastAsia="zh-CN"/>
                <w14:textFill>
                  <w14:solidFill>
                    <w14:schemeClr w14:val="tx1"/>
                  </w14:solidFill>
                </w14:textFill>
              </w:rPr>
              <w:t>标准</w:t>
            </w:r>
            <w:r>
              <w:rPr>
                <w:bCs/>
                <w:color w:val="000000" w:themeColor="text1"/>
                <w14:textFill>
                  <w14:solidFill>
                    <w14:schemeClr w14:val="tx1"/>
                  </w14:solidFill>
                </w14:textFill>
              </w:rPr>
              <w:t>》（GB50015-2019），工业企业建筑管理人员的最高日生活用水定额可取30L/（人·班）～50L/（人·班）；车间工人的生活用水定额应根据车间性质确定，宜采用30L/（人·班）～50L/（人·班），本次环评以50L/人·天计，年工作300天，</w:t>
            </w:r>
            <w:r>
              <w:rPr>
                <w:rFonts w:hint="eastAsia"/>
                <w:color w:val="000000" w:themeColor="text1"/>
                <w:kern w:val="0"/>
                <w:szCs w:val="16"/>
                <w14:textFill>
                  <w14:solidFill>
                    <w14:schemeClr w14:val="tx1"/>
                  </w14:solidFill>
                </w14:textFill>
              </w:rPr>
              <w:t>生活用水量约</w:t>
            </w:r>
            <w:r>
              <w:rPr>
                <w:rFonts w:hint="eastAsia"/>
                <w:color w:val="000000" w:themeColor="text1"/>
                <w:kern w:val="0"/>
                <w:szCs w:val="16"/>
                <w:lang w:val="en-US" w:eastAsia="zh-CN"/>
                <w14:textFill>
                  <w14:solidFill>
                    <w14:schemeClr w14:val="tx1"/>
                  </w14:solidFill>
                </w14:textFill>
              </w:rPr>
              <w:t>675</w:t>
            </w:r>
            <w:r>
              <w:rPr>
                <w:rFonts w:hint="eastAsia"/>
                <w:color w:val="000000" w:themeColor="text1"/>
                <w:kern w:val="0"/>
                <w:szCs w:val="16"/>
                <w14:textFill>
                  <w14:solidFill>
                    <w14:schemeClr w14:val="tx1"/>
                  </w14:solidFill>
                </w14:textFill>
              </w:rPr>
              <w:t>t/a，产生的污水量按80%计，则生活污水排放量为</w:t>
            </w:r>
            <w:r>
              <w:rPr>
                <w:rFonts w:hint="eastAsia"/>
                <w:color w:val="000000" w:themeColor="text1"/>
                <w:kern w:val="0"/>
                <w:szCs w:val="16"/>
                <w:lang w:val="en-US" w:eastAsia="zh-CN"/>
                <w14:textFill>
                  <w14:solidFill>
                    <w14:schemeClr w14:val="tx1"/>
                  </w14:solidFill>
                </w14:textFill>
              </w:rPr>
              <w:t>540</w:t>
            </w:r>
            <w:r>
              <w:rPr>
                <w:rFonts w:hint="eastAsia"/>
                <w:color w:val="000000" w:themeColor="text1"/>
                <w:kern w:val="0"/>
                <w:szCs w:val="16"/>
                <w14:textFill>
                  <w14:solidFill>
                    <w14:schemeClr w14:val="tx1"/>
                  </w14:solidFill>
                </w14:textFill>
              </w:rPr>
              <w:t>t/a，接管</w:t>
            </w:r>
            <w:r>
              <w:rPr>
                <w:rFonts w:hint="eastAsia"/>
                <w:color w:val="000000" w:themeColor="text1"/>
                <w:szCs w:val="21"/>
                <w14:textFill>
                  <w14:solidFill>
                    <w14:schemeClr w14:val="tx1"/>
                  </w14:solidFill>
                </w14:textFill>
              </w:rPr>
              <w:t>至</w:t>
            </w:r>
            <w:r>
              <w:rPr>
                <w:rFonts w:hint="eastAsia" w:cs="Times New Roman"/>
                <w:color w:val="000000" w:themeColor="text1"/>
                <w:szCs w:val="21"/>
                <w:highlight w:val="none"/>
                <w:lang w:eastAsia="zh-CN"/>
                <w14:textFill>
                  <w14:solidFill>
                    <w14:schemeClr w14:val="tx1"/>
                  </w14:solidFill>
                </w14:textFill>
              </w:rPr>
              <w:t>江苏中法水务股份有限公司（城东水质净化厂）</w:t>
            </w:r>
            <w:r>
              <w:rPr>
                <w:rFonts w:hint="default" w:ascii="Times New Roman" w:hAnsi="Times New Roman" w:cs="Times New Roman"/>
                <w:color w:val="000000" w:themeColor="text1"/>
                <w:szCs w:val="21"/>
                <w:highlight w:val="none"/>
                <w:lang w:val="en-US" w:eastAsia="zh-CN"/>
                <w14:textFill>
                  <w14:solidFill>
                    <w14:schemeClr w14:val="tx1"/>
                  </w14:solidFill>
                </w14:textFill>
              </w:rPr>
              <w:t>集中</w:t>
            </w:r>
            <w:r>
              <w:rPr>
                <w:rFonts w:hint="default" w:ascii="Times New Roman" w:hAnsi="Times New Roman" w:cs="Times New Roman"/>
                <w:color w:val="000000" w:themeColor="text1"/>
                <w:szCs w:val="21"/>
                <w:highlight w:val="none"/>
                <w14:textFill>
                  <w14:solidFill>
                    <w14:schemeClr w14:val="tx1"/>
                  </w14:solidFill>
                </w14:textFill>
              </w:rPr>
              <w:t>处理，尾水</w:t>
            </w:r>
            <w:r>
              <w:rPr>
                <w:rFonts w:hint="default" w:ascii="Times New Roman" w:hAnsi="Times New Roman" w:cs="Times New Roman"/>
                <w:color w:val="000000" w:themeColor="text1"/>
                <w:szCs w:val="21"/>
                <w:highlight w:val="none"/>
                <w:lang w:val="en-US" w:eastAsia="zh-CN"/>
                <w14:textFill>
                  <w14:solidFill>
                    <w14:schemeClr w14:val="tx1"/>
                  </w14:solidFill>
                </w14:textFill>
              </w:rPr>
              <w:t>排放至</w:t>
            </w:r>
            <w:r>
              <w:rPr>
                <w:rFonts w:hint="eastAsia"/>
                <w:bCs/>
                <w:color w:val="000000" w:themeColor="text1"/>
                <w:szCs w:val="21"/>
                <w:lang w:val="en-US" w:eastAsia="zh-CN"/>
                <w14:textFill>
                  <w14:solidFill>
                    <w14:schemeClr w14:val="tx1"/>
                  </w14:solidFill>
                </w14:textFill>
              </w:rPr>
              <w:t>大滃</w:t>
            </w:r>
            <w:r>
              <w:rPr>
                <w:rFonts w:hint="eastAsia"/>
                <w:color w:val="000000" w:themeColor="text1"/>
                <w:kern w:val="0"/>
                <w:szCs w:val="16"/>
                <w14:textFill>
                  <w14:solidFill>
                    <w14:schemeClr w14:val="tx1"/>
                  </w14:solidFill>
                </w14:textFill>
              </w:rPr>
              <w:t>。</w:t>
            </w:r>
          </w:p>
          <w:p w14:paraId="5CC7DB25">
            <w:pPr>
              <w:spacing w:line="420" w:lineRule="exact"/>
              <w:ind w:firstLine="420" w:firstLineChars="200"/>
              <w:rPr>
                <w:color w:val="000000" w:themeColor="text1"/>
                <w:kern w:val="0"/>
                <w:szCs w:val="16"/>
                <w14:textFill>
                  <w14:solidFill>
                    <w14:schemeClr w14:val="tx1"/>
                  </w14:solidFill>
                </w14:textFill>
              </w:rPr>
            </w:pPr>
            <w:r>
              <w:rPr>
                <w:rFonts w:hint="eastAsia"/>
                <w:color w:val="000000" w:themeColor="text1"/>
                <w:kern w:val="0"/>
                <w:szCs w:val="16"/>
                <w:lang w:val="en-US" w:eastAsia="zh-CN"/>
                <w14:textFill>
                  <w14:solidFill>
                    <w14:schemeClr w14:val="tx1"/>
                  </w14:solidFill>
                </w14:textFill>
              </w:rPr>
              <w:t>本项目</w:t>
            </w:r>
            <w:r>
              <w:rPr>
                <w:rFonts w:hint="eastAsia"/>
                <w:color w:val="000000" w:themeColor="text1"/>
                <w:kern w:val="0"/>
                <w:szCs w:val="16"/>
                <w14:textFill>
                  <w14:solidFill>
                    <w14:schemeClr w14:val="tx1"/>
                  </w14:solidFill>
                </w14:textFill>
              </w:rPr>
              <w:t>水平衡见图2.7-1。</w:t>
            </w:r>
          </w:p>
          <w:p w14:paraId="27802117">
            <w:pPr>
              <w:rPr>
                <w:b/>
                <w:bCs/>
                <w:color w:val="000000" w:themeColor="text1"/>
                <w:kern w:val="0"/>
                <w:szCs w:val="16"/>
                <w:highlight w:val="yellow"/>
                <w14:textFill>
                  <w14:solidFill>
                    <w14:schemeClr w14:val="tx1"/>
                  </w14:solidFill>
                </w14:textFill>
              </w:rPr>
            </w:pPr>
          </w:p>
          <w:p w14:paraId="0007F480">
            <w:pPr>
              <w:pStyle w:val="2"/>
              <w:rPr>
                <w:b/>
                <w:bCs/>
                <w:color w:val="000000" w:themeColor="text1"/>
                <w:szCs w:val="16"/>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5130800" cy="2402205"/>
                  <wp:effectExtent l="0" t="0" r="12700" b="171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130800" cy="2402205"/>
                          </a:xfrm>
                          <a:prstGeom prst="rect">
                            <a:avLst/>
                          </a:prstGeom>
                          <a:noFill/>
                          <a:ln>
                            <a:noFill/>
                          </a:ln>
                        </pic:spPr>
                      </pic:pic>
                    </a:graphicData>
                  </a:graphic>
                </wp:inline>
              </w:drawing>
            </w:r>
          </w:p>
          <w:p w14:paraId="4542BAEE">
            <w:pPr>
              <w:jc w:val="center"/>
              <w:rPr>
                <w:b/>
                <w:bCs/>
                <w:color w:val="000000" w:themeColor="text1"/>
                <w:kern w:val="0"/>
                <w:szCs w:val="16"/>
                <w:highlight w:val="none"/>
                <w14:textFill>
                  <w14:solidFill>
                    <w14:schemeClr w14:val="tx1"/>
                  </w14:solidFill>
                </w14:textFill>
              </w:rPr>
            </w:pPr>
            <w:r>
              <w:rPr>
                <w:rFonts w:hint="eastAsia"/>
                <w:b/>
                <w:bCs/>
                <w:color w:val="000000" w:themeColor="text1"/>
                <w:kern w:val="0"/>
                <w:szCs w:val="16"/>
                <w:highlight w:val="none"/>
                <w14:textFill>
                  <w14:solidFill>
                    <w14:schemeClr w14:val="tx1"/>
                  </w14:solidFill>
                </w14:textFill>
              </w:rPr>
              <w:t>图</w:t>
            </w:r>
            <w:r>
              <w:rPr>
                <w:b/>
                <w:bCs/>
                <w:color w:val="000000" w:themeColor="text1"/>
                <w:kern w:val="0"/>
                <w:szCs w:val="16"/>
                <w:highlight w:val="none"/>
                <w14:textFill>
                  <w14:solidFill>
                    <w14:schemeClr w14:val="tx1"/>
                  </w14:solidFill>
                </w14:textFill>
              </w:rPr>
              <w:t>2.</w:t>
            </w:r>
            <w:r>
              <w:rPr>
                <w:rFonts w:hint="eastAsia"/>
                <w:b/>
                <w:bCs/>
                <w:color w:val="000000" w:themeColor="text1"/>
                <w:kern w:val="0"/>
                <w:szCs w:val="16"/>
                <w:highlight w:val="none"/>
                <w14:textFill>
                  <w14:solidFill>
                    <w14:schemeClr w14:val="tx1"/>
                  </w14:solidFill>
                </w14:textFill>
              </w:rPr>
              <w:t xml:space="preserve">7-1  </w:t>
            </w:r>
            <w:r>
              <w:rPr>
                <w:rFonts w:hint="eastAsia"/>
                <w:b/>
                <w:bCs/>
                <w:color w:val="000000" w:themeColor="text1"/>
                <w:kern w:val="0"/>
                <w:szCs w:val="16"/>
                <w:highlight w:val="none"/>
                <w:lang w:val="en-US" w:eastAsia="zh-CN"/>
                <w14:textFill>
                  <w14:solidFill>
                    <w14:schemeClr w14:val="tx1"/>
                  </w14:solidFill>
                </w14:textFill>
              </w:rPr>
              <w:t>本项目</w:t>
            </w:r>
            <w:r>
              <w:rPr>
                <w:rFonts w:hint="eastAsia"/>
                <w:b/>
                <w:bCs/>
                <w:color w:val="000000" w:themeColor="text1"/>
                <w:kern w:val="0"/>
                <w:szCs w:val="16"/>
                <w:highlight w:val="none"/>
                <w14:textFill>
                  <w14:solidFill>
                    <w14:schemeClr w14:val="tx1"/>
                  </w14:solidFill>
                </w14:textFill>
              </w:rPr>
              <w:t>水平衡图（t/a）</w:t>
            </w:r>
          </w:p>
          <w:p w14:paraId="6EE61D4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eastAsia="宋体"/>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2.8VOCs平衡</w:t>
            </w:r>
          </w:p>
          <w:p w14:paraId="48ADF8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themeColor="text1"/>
                <w:kern w:val="0"/>
                <w:szCs w:val="16"/>
                <w:highlight w:val="none"/>
                <w14:textFill>
                  <w14:solidFill>
                    <w14:schemeClr w14:val="tx1"/>
                  </w14:solidFill>
                </w14:textFill>
              </w:rPr>
            </w:pPr>
            <w:r>
              <w:rPr>
                <w:rFonts w:hint="eastAsia"/>
                <w:b/>
                <w:bCs/>
                <w:color w:val="000000" w:themeColor="text1"/>
                <w:kern w:val="0"/>
                <w:szCs w:val="16"/>
                <w:highlight w:val="none"/>
                <w:lang w:val="en-US" w:eastAsia="zh-CN"/>
                <w14:textFill>
                  <w14:solidFill>
                    <w14:schemeClr w14:val="tx1"/>
                  </w14:solidFill>
                </w14:textFill>
              </w:rPr>
              <w:t>表</w:t>
            </w:r>
            <w:r>
              <w:rPr>
                <w:rFonts w:hint="eastAsia"/>
                <w:b/>
                <w:bCs/>
                <w:color w:val="000000" w:themeColor="text1"/>
                <w:kern w:val="0"/>
                <w:szCs w:val="16"/>
                <w:highlight w:val="none"/>
                <w14:textFill>
                  <w14:solidFill>
                    <w14:schemeClr w14:val="tx1"/>
                  </w14:solidFill>
                </w14:textFill>
              </w:rPr>
              <w:t>2.</w:t>
            </w:r>
            <w:r>
              <w:rPr>
                <w:rFonts w:hint="eastAsia"/>
                <w:b/>
                <w:bCs/>
                <w:color w:val="000000" w:themeColor="text1"/>
                <w:kern w:val="0"/>
                <w:szCs w:val="16"/>
                <w:highlight w:val="none"/>
                <w:lang w:val="en-US" w:eastAsia="zh-CN"/>
                <w14:textFill>
                  <w14:solidFill>
                    <w14:schemeClr w14:val="tx1"/>
                  </w14:solidFill>
                </w14:textFill>
              </w:rPr>
              <w:t>8</w:t>
            </w:r>
            <w:r>
              <w:rPr>
                <w:rFonts w:hint="eastAsia"/>
                <w:b/>
                <w:bCs/>
                <w:color w:val="000000" w:themeColor="text1"/>
                <w:kern w:val="0"/>
                <w:szCs w:val="16"/>
                <w:highlight w:val="none"/>
                <w14:textFill>
                  <w14:solidFill>
                    <w14:schemeClr w14:val="tx1"/>
                  </w14:solidFill>
                </w14:textFill>
              </w:rPr>
              <w:t>-</w:t>
            </w:r>
            <w:r>
              <w:rPr>
                <w:rFonts w:hint="eastAsia"/>
                <w:b/>
                <w:bCs/>
                <w:color w:val="000000" w:themeColor="text1"/>
                <w:kern w:val="0"/>
                <w:szCs w:val="16"/>
                <w:highlight w:val="none"/>
                <w:lang w:val="en-US" w:eastAsia="zh-CN"/>
                <w14:textFill>
                  <w14:solidFill>
                    <w14:schemeClr w14:val="tx1"/>
                  </w14:solidFill>
                </w14:textFill>
              </w:rPr>
              <w:t>1</w:t>
            </w:r>
            <w:r>
              <w:rPr>
                <w:rFonts w:hint="eastAsia"/>
                <w:b/>
                <w:bCs/>
                <w:color w:val="000000" w:themeColor="text1"/>
                <w:kern w:val="0"/>
                <w:szCs w:val="16"/>
                <w:highlight w:val="none"/>
                <w14:textFill>
                  <w14:solidFill>
                    <w14:schemeClr w14:val="tx1"/>
                  </w14:solidFill>
                </w14:textFill>
              </w:rPr>
              <w:t xml:space="preserve">  </w:t>
            </w:r>
            <w:r>
              <w:rPr>
                <w:rFonts w:hint="eastAsia"/>
                <w:b/>
                <w:bCs/>
                <w:color w:val="000000" w:themeColor="text1"/>
                <w:kern w:val="0"/>
                <w:szCs w:val="16"/>
                <w:highlight w:val="none"/>
                <w:lang w:val="en-US" w:eastAsia="zh-CN"/>
                <w14:textFill>
                  <w14:solidFill>
                    <w14:schemeClr w14:val="tx1"/>
                  </w14:solidFill>
                </w14:textFill>
              </w:rPr>
              <w:t>本项目VOCs</w:t>
            </w:r>
            <w:r>
              <w:rPr>
                <w:rFonts w:hint="eastAsia"/>
                <w:b/>
                <w:bCs/>
                <w:color w:val="000000" w:themeColor="text1"/>
                <w:kern w:val="0"/>
                <w:szCs w:val="16"/>
                <w:highlight w:val="none"/>
                <w14:textFill>
                  <w14:solidFill>
                    <w14:schemeClr w14:val="tx1"/>
                  </w14:solidFill>
                </w14:textFill>
              </w:rPr>
              <w:t>平衡</w:t>
            </w:r>
            <w:r>
              <w:rPr>
                <w:rFonts w:hint="eastAsia"/>
                <w:b/>
                <w:bCs/>
                <w:color w:val="000000" w:themeColor="text1"/>
                <w:kern w:val="0"/>
                <w:szCs w:val="16"/>
                <w:highlight w:val="none"/>
                <w:lang w:val="en-US" w:eastAsia="zh-CN"/>
                <w14:textFill>
                  <w14:solidFill>
                    <w14:schemeClr w14:val="tx1"/>
                  </w14:solidFill>
                </w14:textFill>
              </w:rPr>
              <w:t>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20"/>
              <w:gridCol w:w="1777"/>
              <w:gridCol w:w="2464"/>
              <w:gridCol w:w="1827"/>
            </w:tblGrid>
            <w:tr w14:paraId="4C0A3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7" w:type="pct"/>
                  <w:gridSpan w:val="2"/>
                  <w:noWrap w:val="0"/>
                  <w:vAlign w:val="center"/>
                </w:tcPr>
                <w:p w14:paraId="7CC17A2D">
                  <w:pPr>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入方（t/a）</w:t>
                  </w:r>
                </w:p>
              </w:tc>
              <w:tc>
                <w:tcPr>
                  <w:tcW w:w="2652" w:type="pct"/>
                  <w:gridSpan w:val="2"/>
                  <w:noWrap w:val="0"/>
                  <w:vAlign w:val="center"/>
                </w:tcPr>
                <w:p w14:paraId="343FF32D">
                  <w:pPr>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出方（t/a）</w:t>
                  </w:r>
                </w:p>
              </w:tc>
            </w:tr>
            <w:tr w14:paraId="45757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noWrap w:val="0"/>
                  <w:vAlign w:val="center"/>
                </w:tcPr>
                <w:p w14:paraId="2EEEA9E9">
                  <w:pPr>
                    <w:jc w:val="center"/>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工艺</w:t>
                  </w:r>
                </w:p>
              </w:tc>
              <w:tc>
                <w:tcPr>
                  <w:tcW w:w="1097" w:type="pct"/>
                  <w:noWrap w:val="0"/>
                  <w:vAlign w:val="center"/>
                </w:tcPr>
                <w:p w14:paraId="4F319550">
                  <w:pPr>
                    <w:jc w:val="center"/>
                    <w:rPr>
                      <w:rFonts w:hint="default" w:ascii="Times New Roman" w:hAnsi="Times New Roman" w:cs="Times New Roman"/>
                      <w:b/>
                      <w:bCs/>
                      <w:color w:val="000000" w:themeColor="text1"/>
                      <w:highlight w:val="none"/>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VOCs产生量</w:t>
                  </w:r>
                </w:p>
              </w:tc>
              <w:tc>
                <w:tcPr>
                  <w:tcW w:w="1523" w:type="pct"/>
                  <w:noWrap w:val="0"/>
                  <w:vAlign w:val="center"/>
                </w:tcPr>
                <w:p w14:paraId="41FCBC4E">
                  <w:pPr>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去向</w:t>
                  </w:r>
                </w:p>
              </w:tc>
              <w:tc>
                <w:tcPr>
                  <w:tcW w:w="1129" w:type="pct"/>
                  <w:noWrap w:val="0"/>
                  <w:vAlign w:val="center"/>
                </w:tcPr>
                <w:p w14:paraId="301A3D3B">
                  <w:pPr>
                    <w:jc w:val="center"/>
                    <w:rPr>
                      <w:rFonts w:hint="default" w:ascii="Times New Roman" w:hAnsi="Times New Roman" w:cs="Times New Roman"/>
                      <w:b/>
                      <w:bCs/>
                      <w:color w:val="000000" w:themeColor="text1"/>
                      <w:highlight w:val="none"/>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VOCs排放量</w:t>
                  </w:r>
                </w:p>
              </w:tc>
            </w:tr>
            <w:tr w14:paraId="58A3BF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restart"/>
                  <w:noWrap w:val="0"/>
                  <w:vAlign w:val="center"/>
                </w:tcPr>
                <w:p w14:paraId="330B875E">
                  <w:pPr>
                    <w:jc w:val="center"/>
                    <w:rPr>
                      <w:rFonts w:hint="default" w:ascii="Times New Roman" w:hAnsi="Times New Roman" w:eastAsia="宋体" w:cs="Times New Roman"/>
                      <w:bCs/>
                      <w:color w:val="000000" w:themeColor="text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吹塑</w:t>
                  </w:r>
                </w:p>
              </w:tc>
              <w:tc>
                <w:tcPr>
                  <w:tcW w:w="1097" w:type="pct"/>
                  <w:vMerge w:val="restart"/>
                  <w:noWrap w:val="0"/>
                  <w:vAlign w:val="center"/>
                </w:tcPr>
                <w:p w14:paraId="2B7C497A">
                  <w:pPr>
                    <w:jc w:val="center"/>
                    <w:rPr>
                      <w:rFonts w:hint="default" w:ascii="Times New Roman" w:hAnsi="Times New Roman" w:cs="Times New Roman"/>
                      <w:bCs/>
                      <w:color w:val="000000" w:themeColor="text1"/>
                      <w:highlight w:val="none"/>
                      <w:lang w:val="en-US" w:eastAsia="zh-CN"/>
                      <w14:textFill>
                        <w14:solidFill>
                          <w14:schemeClr w14:val="tx1"/>
                        </w14:solidFill>
                      </w14:textFill>
                    </w:rPr>
                  </w:pPr>
                  <w:r>
                    <w:rPr>
                      <w:rFonts w:hint="eastAsia" w:ascii="Times New Roman" w:hAnsi="Times New Roman" w:cs="Times New Roman"/>
                      <w:bCs/>
                      <w:color w:val="000000" w:themeColor="text1"/>
                      <w:highlight w:val="none"/>
                      <w:lang w:val="en-US" w:eastAsia="zh-CN"/>
                      <w14:textFill>
                        <w14:solidFill>
                          <w14:schemeClr w14:val="tx1"/>
                        </w14:solidFill>
                      </w14:textFill>
                    </w:rPr>
                    <w:t>1.08</w:t>
                  </w:r>
                </w:p>
              </w:tc>
              <w:tc>
                <w:tcPr>
                  <w:tcW w:w="1523" w:type="pct"/>
                  <w:noWrap w:val="0"/>
                  <w:vAlign w:val="center"/>
                </w:tcPr>
                <w:p w14:paraId="014EB96F">
                  <w:pPr>
                    <w:jc w:val="center"/>
                    <w:rPr>
                      <w:rFonts w:hint="default" w:ascii="Times New Roman" w:hAnsi="Times New Roman" w:cs="Times New Roman"/>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cs="Times New Roman"/>
                      <w:bCs/>
                      <w:color w:val="000000" w:themeColor="text1"/>
                      <w:highlight w:val="none"/>
                      <w:lang w:val="en-US" w:eastAsia="zh-CN"/>
                      <w14:textFill>
                        <w14:solidFill>
                          <w14:schemeClr w14:val="tx1"/>
                        </w14:solidFill>
                      </w14:textFill>
                    </w:rPr>
                    <w:t>DA001排气筒</w:t>
                  </w:r>
                  <w:r>
                    <w:rPr>
                      <w:rFonts w:hint="default" w:ascii="Times New Roman" w:hAnsi="Times New Roman" w:cs="Times New Roman"/>
                      <w:bCs/>
                      <w:color w:val="000000" w:themeColor="text1"/>
                      <w:highlight w:val="none"/>
                      <w14:textFill>
                        <w14:solidFill>
                          <w14:schemeClr w14:val="tx1"/>
                        </w14:solidFill>
                      </w14:textFill>
                    </w:rPr>
                    <w:t>有组织排放</w:t>
                  </w:r>
                </w:p>
              </w:tc>
              <w:tc>
                <w:tcPr>
                  <w:tcW w:w="1129" w:type="pct"/>
                  <w:noWrap w:val="0"/>
                  <w:vAlign w:val="center"/>
                </w:tcPr>
                <w:p w14:paraId="49DAF7CB">
                  <w:pPr>
                    <w:jc w:val="center"/>
                    <w:rPr>
                      <w:rFonts w:hint="default" w:ascii="Times New Roman" w:hAnsi="Times New Roman" w:eastAsia="宋体" w:cs="Times New Roman"/>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4"/>
                      <w:highlight w:val="none"/>
                      <w:lang w:val="en-US" w:eastAsia="zh-CN" w:bidi="ar-SA"/>
                      <w14:textFill>
                        <w14:solidFill>
                          <w14:schemeClr w14:val="tx1"/>
                        </w14:solidFill>
                      </w14:textFill>
                    </w:rPr>
                    <w:t>0.0864</w:t>
                  </w:r>
                </w:p>
              </w:tc>
            </w:tr>
            <w:tr w14:paraId="460C20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continue"/>
                  <w:noWrap w:val="0"/>
                  <w:vAlign w:val="center"/>
                </w:tcPr>
                <w:p w14:paraId="5B758FB7">
                  <w:pPr>
                    <w:jc w:val="center"/>
                    <w:rPr>
                      <w:rFonts w:hint="eastAsia" w:ascii="Times New Roman" w:hAnsi="Times New Roman" w:cs="Times New Roman"/>
                      <w:bCs/>
                      <w:color w:val="000000" w:themeColor="text1"/>
                      <w:highlight w:val="none"/>
                      <w:lang w:val="en-US" w:eastAsia="zh-CN"/>
                      <w14:textFill>
                        <w14:solidFill>
                          <w14:schemeClr w14:val="tx1"/>
                        </w14:solidFill>
                      </w14:textFill>
                    </w:rPr>
                  </w:pPr>
                </w:p>
              </w:tc>
              <w:tc>
                <w:tcPr>
                  <w:tcW w:w="1097" w:type="pct"/>
                  <w:vMerge w:val="continue"/>
                  <w:noWrap w:val="0"/>
                  <w:vAlign w:val="center"/>
                </w:tcPr>
                <w:p w14:paraId="361B64BC">
                  <w:pPr>
                    <w:jc w:val="center"/>
                    <w:rPr>
                      <w:rFonts w:hint="eastAsia" w:ascii="Times New Roman" w:hAnsi="Times New Roman" w:cs="Times New Roman"/>
                      <w:bCs/>
                      <w:color w:val="000000" w:themeColor="text1"/>
                      <w:highlight w:val="none"/>
                      <w:lang w:val="en-US" w:eastAsia="zh-CN"/>
                      <w14:textFill>
                        <w14:solidFill>
                          <w14:schemeClr w14:val="tx1"/>
                        </w14:solidFill>
                      </w14:textFill>
                    </w:rPr>
                  </w:pPr>
                </w:p>
              </w:tc>
              <w:tc>
                <w:tcPr>
                  <w:tcW w:w="1523" w:type="pct"/>
                  <w:noWrap w:val="0"/>
                  <w:vAlign w:val="center"/>
                </w:tcPr>
                <w:p w14:paraId="4ED0384B">
                  <w:pPr>
                    <w:jc w:val="center"/>
                    <w:rPr>
                      <w:rFonts w:hint="default" w:ascii="Times New Roman" w:hAnsi="Times New Roman" w:cs="Times New Roman"/>
                      <w:bCs/>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bCs/>
                      <w:color w:val="000000" w:themeColor="text1"/>
                      <w:highlight w:val="none"/>
                      <w:lang w:val="en-US" w:eastAsia="zh-CN"/>
                      <w14:textFill>
                        <w14:solidFill>
                          <w14:schemeClr w14:val="tx1"/>
                        </w14:solidFill>
                      </w14:textFill>
                    </w:rPr>
                    <w:t>无组织排放</w:t>
                  </w:r>
                </w:p>
              </w:tc>
              <w:tc>
                <w:tcPr>
                  <w:tcW w:w="1129" w:type="pct"/>
                  <w:noWrap w:val="0"/>
                  <w:vAlign w:val="center"/>
                </w:tcPr>
                <w:p w14:paraId="5F156116">
                  <w:pPr>
                    <w:jc w:val="center"/>
                    <w:rPr>
                      <w:rFonts w:hint="default" w:ascii="Times New Roman" w:hAnsi="Times New Roman" w:eastAsia="宋体" w:cs="Times New Roman"/>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4"/>
                      <w:highlight w:val="none"/>
                      <w:lang w:val="en-US" w:eastAsia="zh-CN" w:bidi="ar-SA"/>
                      <w14:textFill>
                        <w14:solidFill>
                          <w14:schemeClr w14:val="tx1"/>
                        </w14:solidFill>
                      </w14:textFill>
                    </w:rPr>
                    <w:t>0.216</w:t>
                  </w:r>
                </w:p>
              </w:tc>
            </w:tr>
            <w:tr w14:paraId="5BEDBA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continue"/>
                  <w:noWrap w:val="0"/>
                  <w:vAlign w:val="center"/>
                </w:tcPr>
                <w:p w14:paraId="2212BFF9">
                  <w:pPr>
                    <w:jc w:val="center"/>
                    <w:rPr>
                      <w:rFonts w:hint="eastAsia" w:ascii="Times New Roman" w:hAnsi="Times New Roman" w:cs="Times New Roman"/>
                      <w:bCs/>
                      <w:color w:val="000000" w:themeColor="text1"/>
                      <w:highlight w:val="none"/>
                      <w:lang w:val="en-US" w:eastAsia="zh-CN"/>
                      <w14:textFill>
                        <w14:solidFill>
                          <w14:schemeClr w14:val="tx1"/>
                        </w14:solidFill>
                      </w14:textFill>
                    </w:rPr>
                  </w:pPr>
                </w:p>
              </w:tc>
              <w:tc>
                <w:tcPr>
                  <w:tcW w:w="1097" w:type="pct"/>
                  <w:vMerge w:val="continue"/>
                  <w:noWrap w:val="0"/>
                  <w:vAlign w:val="center"/>
                </w:tcPr>
                <w:p w14:paraId="7F7234C0">
                  <w:pPr>
                    <w:jc w:val="center"/>
                    <w:rPr>
                      <w:rFonts w:hint="default" w:ascii="Times New Roman" w:hAnsi="Times New Roman" w:cs="Times New Roman"/>
                      <w:bCs/>
                      <w:color w:val="000000" w:themeColor="text1"/>
                      <w:highlight w:val="none"/>
                      <w:lang w:val="en-US" w:eastAsia="zh-CN"/>
                      <w14:textFill>
                        <w14:solidFill>
                          <w14:schemeClr w14:val="tx1"/>
                        </w14:solidFill>
                      </w14:textFill>
                    </w:rPr>
                  </w:pPr>
                </w:p>
              </w:tc>
              <w:tc>
                <w:tcPr>
                  <w:tcW w:w="1523" w:type="pct"/>
                  <w:noWrap w:val="0"/>
                  <w:vAlign w:val="center"/>
                </w:tcPr>
                <w:p w14:paraId="4EEBF38F">
                  <w:pPr>
                    <w:jc w:val="center"/>
                    <w:rPr>
                      <w:rFonts w:hint="default" w:ascii="Times New Roman" w:hAnsi="Times New Roman" w:eastAsia="宋体" w:cs="Times New Roman"/>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4"/>
                      <w:highlight w:val="none"/>
                      <w:lang w:val="en-US" w:eastAsia="zh-CN" w:bidi="ar-SA"/>
                      <w14:textFill>
                        <w14:solidFill>
                          <w14:schemeClr w14:val="tx1"/>
                        </w14:solidFill>
                      </w14:textFill>
                    </w:rPr>
                    <w:t>TA001废气处理设施去除</w:t>
                  </w:r>
                </w:p>
              </w:tc>
              <w:tc>
                <w:tcPr>
                  <w:tcW w:w="1129" w:type="pct"/>
                  <w:noWrap w:val="0"/>
                  <w:vAlign w:val="center"/>
                </w:tcPr>
                <w:p w14:paraId="3FD8CDE3">
                  <w:pPr>
                    <w:jc w:val="center"/>
                    <w:rPr>
                      <w:rFonts w:hint="default" w:ascii="Times New Roman" w:hAnsi="Times New Roman" w:eastAsia="宋体" w:cs="Times New Roman"/>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4"/>
                      <w:highlight w:val="none"/>
                      <w:lang w:val="en-US" w:eastAsia="zh-CN" w:bidi="ar-SA"/>
                      <w14:textFill>
                        <w14:solidFill>
                          <w14:schemeClr w14:val="tx1"/>
                        </w14:solidFill>
                      </w14:textFill>
                    </w:rPr>
                    <w:t>0.7776</w:t>
                  </w:r>
                </w:p>
              </w:tc>
            </w:tr>
            <w:tr w14:paraId="5DDE2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restart"/>
                  <w:noWrap w:val="0"/>
                  <w:vAlign w:val="center"/>
                </w:tcPr>
                <w:p w14:paraId="54C174CE">
                  <w:pPr>
                    <w:jc w:val="center"/>
                    <w:rPr>
                      <w:rFonts w:hint="default" w:ascii="Times New Roman" w:hAnsi="Times New Roman" w:cs="Times New Roman"/>
                      <w:bCs/>
                      <w:color w:val="000000" w:themeColor="text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印刷、烘干</w:t>
                  </w:r>
                </w:p>
              </w:tc>
              <w:tc>
                <w:tcPr>
                  <w:tcW w:w="1097" w:type="pct"/>
                  <w:vMerge w:val="restart"/>
                  <w:noWrap w:val="0"/>
                  <w:vAlign w:val="center"/>
                </w:tcPr>
                <w:p w14:paraId="465EDD25">
                  <w:pPr>
                    <w:jc w:val="center"/>
                    <w:rPr>
                      <w:rFonts w:hint="default" w:ascii="Times New Roman" w:hAnsi="Times New Roman" w:cs="Times New Roman"/>
                      <w:bCs/>
                      <w:color w:val="000000" w:themeColor="text1"/>
                      <w:highlight w:val="none"/>
                      <w:lang w:val="en-US" w:eastAsia="zh-CN"/>
                      <w14:textFill>
                        <w14:solidFill>
                          <w14:schemeClr w14:val="tx1"/>
                        </w14:solidFill>
                      </w14:textFill>
                    </w:rPr>
                  </w:pPr>
                  <w:r>
                    <w:rPr>
                      <w:rFonts w:hint="eastAsia" w:ascii="Times New Roman" w:hAnsi="Times New Roman" w:cs="Times New Roman"/>
                      <w:bCs/>
                      <w:color w:val="000000" w:themeColor="text1"/>
                      <w:highlight w:val="none"/>
                      <w:lang w:val="en-US" w:eastAsia="zh-CN"/>
                      <w14:textFill>
                        <w14:solidFill>
                          <w14:schemeClr w14:val="tx1"/>
                        </w14:solidFill>
                      </w14:textFill>
                    </w:rPr>
                    <w:t>0.0708</w:t>
                  </w:r>
                </w:p>
              </w:tc>
              <w:tc>
                <w:tcPr>
                  <w:tcW w:w="1523" w:type="pct"/>
                  <w:noWrap w:val="0"/>
                  <w:vAlign w:val="center"/>
                </w:tcPr>
                <w:p w14:paraId="72297CC1">
                  <w:pPr>
                    <w:jc w:val="center"/>
                    <w:rPr>
                      <w:rFonts w:hint="eastAsia" w:ascii="Times New Roman" w:hAnsi="Times New Roman" w:eastAsia="宋体" w:cs="Times New Roman"/>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cs="Times New Roman"/>
                      <w:bCs/>
                      <w:color w:val="000000" w:themeColor="text1"/>
                      <w:highlight w:val="none"/>
                      <w:lang w:val="en-US" w:eastAsia="zh-CN"/>
                      <w14:textFill>
                        <w14:solidFill>
                          <w14:schemeClr w14:val="tx1"/>
                        </w14:solidFill>
                      </w14:textFill>
                    </w:rPr>
                    <w:t>DA001排气筒</w:t>
                  </w:r>
                  <w:r>
                    <w:rPr>
                      <w:rFonts w:hint="default" w:ascii="Times New Roman" w:hAnsi="Times New Roman" w:cs="Times New Roman"/>
                      <w:bCs/>
                      <w:color w:val="000000" w:themeColor="text1"/>
                      <w:highlight w:val="none"/>
                      <w14:textFill>
                        <w14:solidFill>
                          <w14:schemeClr w14:val="tx1"/>
                        </w14:solidFill>
                      </w14:textFill>
                    </w:rPr>
                    <w:t>有组织排放</w:t>
                  </w:r>
                </w:p>
              </w:tc>
              <w:tc>
                <w:tcPr>
                  <w:tcW w:w="1129" w:type="pct"/>
                  <w:noWrap w:val="0"/>
                  <w:vAlign w:val="center"/>
                </w:tcPr>
                <w:p w14:paraId="61FF0A32">
                  <w:pPr>
                    <w:jc w:val="center"/>
                    <w:rPr>
                      <w:rFonts w:hint="default" w:ascii="Times New Roman" w:hAnsi="Times New Roman" w:eastAsia="宋体" w:cs="Times New Roman"/>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4"/>
                      <w:highlight w:val="none"/>
                      <w:lang w:val="en-US" w:eastAsia="zh-CN" w:bidi="ar-SA"/>
                      <w14:textFill>
                        <w14:solidFill>
                          <w14:schemeClr w14:val="tx1"/>
                        </w14:solidFill>
                      </w14:textFill>
                    </w:rPr>
                    <w:t>0.0057</w:t>
                  </w:r>
                </w:p>
              </w:tc>
            </w:tr>
            <w:tr w14:paraId="446F66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continue"/>
                  <w:noWrap w:val="0"/>
                  <w:vAlign w:val="center"/>
                </w:tcPr>
                <w:p w14:paraId="60939978">
                  <w:pPr>
                    <w:jc w:val="center"/>
                    <w:rPr>
                      <w:rFonts w:hint="eastAsia" w:ascii="Times New Roman" w:hAnsi="Times New Roman" w:cs="Times New Roman"/>
                      <w:bCs/>
                      <w:color w:val="000000" w:themeColor="text1"/>
                      <w:highlight w:val="none"/>
                      <w:lang w:val="en-US" w:eastAsia="zh-CN"/>
                      <w14:textFill>
                        <w14:solidFill>
                          <w14:schemeClr w14:val="tx1"/>
                        </w14:solidFill>
                      </w14:textFill>
                    </w:rPr>
                  </w:pPr>
                </w:p>
              </w:tc>
              <w:tc>
                <w:tcPr>
                  <w:tcW w:w="1097" w:type="pct"/>
                  <w:vMerge w:val="continue"/>
                  <w:noWrap w:val="0"/>
                  <w:vAlign w:val="center"/>
                </w:tcPr>
                <w:p w14:paraId="11576335">
                  <w:pPr>
                    <w:jc w:val="center"/>
                    <w:rPr>
                      <w:rFonts w:hint="default" w:ascii="Times New Roman" w:hAnsi="Times New Roman" w:cs="Times New Roman"/>
                      <w:bCs/>
                      <w:color w:val="000000" w:themeColor="text1"/>
                      <w:highlight w:val="none"/>
                      <w:lang w:val="en-US" w:eastAsia="zh-CN"/>
                      <w14:textFill>
                        <w14:solidFill>
                          <w14:schemeClr w14:val="tx1"/>
                        </w14:solidFill>
                      </w14:textFill>
                    </w:rPr>
                  </w:pPr>
                </w:p>
              </w:tc>
              <w:tc>
                <w:tcPr>
                  <w:tcW w:w="1523" w:type="pct"/>
                  <w:noWrap w:val="0"/>
                  <w:vAlign w:val="center"/>
                </w:tcPr>
                <w:p w14:paraId="3FBAA07D">
                  <w:pPr>
                    <w:jc w:val="center"/>
                    <w:rPr>
                      <w:rFonts w:hint="eastAsia" w:ascii="Times New Roman" w:hAnsi="Times New Roman" w:eastAsia="宋体" w:cs="Times New Roman"/>
                      <w:bCs/>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bCs/>
                      <w:color w:val="000000" w:themeColor="text1"/>
                      <w:highlight w:val="none"/>
                      <w:lang w:val="en-US" w:eastAsia="zh-CN"/>
                      <w14:textFill>
                        <w14:solidFill>
                          <w14:schemeClr w14:val="tx1"/>
                        </w14:solidFill>
                      </w14:textFill>
                    </w:rPr>
                    <w:t>无组织排放</w:t>
                  </w:r>
                </w:p>
              </w:tc>
              <w:tc>
                <w:tcPr>
                  <w:tcW w:w="1129" w:type="pct"/>
                  <w:noWrap w:val="0"/>
                  <w:vAlign w:val="center"/>
                </w:tcPr>
                <w:p w14:paraId="6B39E6B6">
                  <w:pPr>
                    <w:jc w:val="center"/>
                    <w:rPr>
                      <w:rFonts w:hint="default" w:ascii="Times New Roman" w:hAnsi="Times New Roman" w:eastAsia="宋体" w:cs="Times New Roman"/>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4"/>
                      <w:highlight w:val="none"/>
                      <w:lang w:val="en-US" w:eastAsia="zh-CN" w:bidi="ar-SA"/>
                      <w14:textFill>
                        <w14:solidFill>
                          <w14:schemeClr w14:val="tx1"/>
                        </w14:solidFill>
                      </w14:textFill>
                    </w:rPr>
                    <w:t>0.0142</w:t>
                  </w:r>
                </w:p>
              </w:tc>
            </w:tr>
            <w:tr w14:paraId="330D8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continue"/>
                  <w:noWrap w:val="0"/>
                  <w:vAlign w:val="center"/>
                </w:tcPr>
                <w:p w14:paraId="00F08059">
                  <w:pPr>
                    <w:jc w:val="center"/>
                    <w:rPr>
                      <w:rFonts w:hint="eastAsia" w:ascii="Times New Roman" w:hAnsi="Times New Roman" w:cs="Times New Roman"/>
                      <w:bCs/>
                      <w:color w:val="000000" w:themeColor="text1"/>
                      <w:highlight w:val="none"/>
                      <w:lang w:val="en-US" w:eastAsia="zh-CN"/>
                      <w14:textFill>
                        <w14:solidFill>
                          <w14:schemeClr w14:val="tx1"/>
                        </w14:solidFill>
                      </w14:textFill>
                    </w:rPr>
                  </w:pPr>
                </w:p>
              </w:tc>
              <w:tc>
                <w:tcPr>
                  <w:tcW w:w="1097" w:type="pct"/>
                  <w:vMerge w:val="continue"/>
                  <w:noWrap w:val="0"/>
                  <w:vAlign w:val="center"/>
                </w:tcPr>
                <w:p w14:paraId="0218C7A9">
                  <w:pPr>
                    <w:jc w:val="center"/>
                    <w:rPr>
                      <w:rFonts w:hint="default" w:ascii="Times New Roman" w:hAnsi="Times New Roman" w:cs="Times New Roman"/>
                      <w:bCs/>
                      <w:color w:val="000000" w:themeColor="text1"/>
                      <w:highlight w:val="none"/>
                      <w:lang w:val="en-US" w:eastAsia="zh-CN"/>
                      <w14:textFill>
                        <w14:solidFill>
                          <w14:schemeClr w14:val="tx1"/>
                        </w14:solidFill>
                      </w14:textFill>
                    </w:rPr>
                  </w:pPr>
                </w:p>
              </w:tc>
              <w:tc>
                <w:tcPr>
                  <w:tcW w:w="1523" w:type="pct"/>
                  <w:noWrap w:val="0"/>
                  <w:vAlign w:val="center"/>
                </w:tcPr>
                <w:p w14:paraId="15766438">
                  <w:pPr>
                    <w:jc w:val="center"/>
                    <w:rPr>
                      <w:rFonts w:hint="eastAsia" w:ascii="Times New Roman" w:hAnsi="Times New Roman" w:eastAsia="宋体" w:cs="Times New Roman"/>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4"/>
                      <w:highlight w:val="none"/>
                      <w:lang w:val="en-US" w:eastAsia="zh-CN" w:bidi="ar-SA"/>
                      <w14:textFill>
                        <w14:solidFill>
                          <w14:schemeClr w14:val="tx1"/>
                        </w14:solidFill>
                      </w14:textFill>
                    </w:rPr>
                    <w:t>TA001废气处理设施去除</w:t>
                  </w:r>
                </w:p>
              </w:tc>
              <w:tc>
                <w:tcPr>
                  <w:tcW w:w="1129" w:type="pct"/>
                  <w:noWrap w:val="0"/>
                  <w:vAlign w:val="center"/>
                </w:tcPr>
                <w:p w14:paraId="2810655D">
                  <w:pPr>
                    <w:jc w:val="center"/>
                    <w:rPr>
                      <w:rFonts w:hint="default" w:ascii="Times New Roman" w:hAnsi="Times New Roman" w:eastAsia="宋体" w:cs="Times New Roman"/>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4"/>
                      <w:highlight w:val="none"/>
                      <w:lang w:val="en-US" w:eastAsia="zh-CN" w:bidi="ar-SA"/>
                      <w14:textFill>
                        <w14:solidFill>
                          <w14:schemeClr w14:val="tx1"/>
                        </w14:solidFill>
                      </w14:textFill>
                    </w:rPr>
                    <w:t>0.0509</w:t>
                  </w:r>
                </w:p>
              </w:tc>
            </w:tr>
            <w:tr w14:paraId="634A3E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restart"/>
                  <w:noWrap w:val="0"/>
                  <w:vAlign w:val="center"/>
                </w:tcPr>
                <w:p w14:paraId="50A478A0">
                  <w:pPr>
                    <w:jc w:val="center"/>
                    <w:rPr>
                      <w:rFonts w:hint="eastAsia" w:ascii="Times New Roman" w:hAnsi="Times New Roman" w:eastAsia="宋体" w:cs="Times New Roman"/>
                      <w:b w:val="0"/>
                      <w:bCs/>
                      <w:color w:val="000000" w:themeColor="text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印刷加清理</w:t>
                  </w:r>
                </w:p>
              </w:tc>
              <w:tc>
                <w:tcPr>
                  <w:tcW w:w="1097" w:type="pct"/>
                  <w:vMerge w:val="restart"/>
                  <w:tcBorders>
                    <w:top w:val="single" w:color="auto" w:sz="4" w:space="0"/>
                  </w:tcBorders>
                  <w:noWrap w:val="0"/>
                  <w:vAlign w:val="center"/>
                </w:tcPr>
                <w:p w14:paraId="24AD87B3">
                  <w:pPr>
                    <w:jc w:val="center"/>
                    <w:rPr>
                      <w:rFonts w:hint="default" w:ascii="Times New Roman" w:hAnsi="Times New Roman" w:cs="Times New Roman"/>
                      <w:b w:val="0"/>
                      <w:bCs/>
                      <w:color w:val="000000" w:themeColor="text1"/>
                      <w:highlight w:val="none"/>
                      <w:lang w:val="en-US" w:eastAsia="zh-CN"/>
                      <w14:textFill>
                        <w14:solidFill>
                          <w14:schemeClr w14:val="tx1"/>
                        </w14:solidFill>
                      </w14:textFill>
                    </w:rPr>
                  </w:pPr>
                  <w:r>
                    <w:rPr>
                      <w:rFonts w:hint="eastAsia" w:ascii="Times New Roman" w:hAnsi="Times New Roman" w:cs="Times New Roman"/>
                      <w:b w:val="0"/>
                      <w:bCs/>
                      <w:color w:val="000000" w:themeColor="text1"/>
                      <w:highlight w:val="none"/>
                      <w:lang w:val="en-US" w:eastAsia="zh-CN"/>
                      <w14:textFill>
                        <w14:solidFill>
                          <w14:schemeClr w14:val="tx1"/>
                        </w14:solidFill>
                      </w14:textFill>
                    </w:rPr>
                    <w:t>0.03</w:t>
                  </w:r>
                </w:p>
              </w:tc>
              <w:tc>
                <w:tcPr>
                  <w:tcW w:w="1523" w:type="pct"/>
                  <w:tcBorders>
                    <w:top w:val="single" w:color="auto" w:sz="4" w:space="0"/>
                    <w:bottom w:val="single" w:color="auto" w:sz="4" w:space="0"/>
                  </w:tcBorders>
                  <w:noWrap w:val="0"/>
                  <w:vAlign w:val="center"/>
                </w:tcPr>
                <w:p w14:paraId="3059D860">
                  <w:pPr>
                    <w:jc w:val="center"/>
                    <w:rPr>
                      <w:rFonts w:hint="default" w:ascii="Times New Roman" w:hAnsi="Times New Roman" w:cs="Times New Roman"/>
                      <w:b w:val="0"/>
                      <w:bCs/>
                      <w:color w:val="000000" w:themeColor="text1"/>
                      <w:highlight w:val="none"/>
                      <w14:textFill>
                        <w14:solidFill>
                          <w14:schemeClr w14:val="tx1"/>
                        </w14:solidFill>
                      </w14:textFill>
                    </w:rPr>
                  </w:pPr>
                  <w:r>
                    <w:rPr>
                      <w:rFonts w:hint="eastAsia" w:ascii="Times New Roman" w:hAnsi="Times New Roman" w:cs="Times New Roman"/>
                      <w:bCs/>
                      <w:color w:val="000000" w:themeColor="text1"/>
                      <w:highlight w:val="none"/>
                      <w:lang w:val="en-US" w:eastAsia="zh-CN"/>
                      <w14:textFill>
                        <w14:solidFill>
                          <w14:schemeClr w14:val="tx1"/>
                        </w14:solidFill>
                      </w14:textFill>
                    </w:rPr>
                    <w:t>DA001排气筒</w:t>
                  </w:r>
                  <w:r>
                    <w:rPr>
                      <w:rFonts w:hint="default" w:ascii="Times New Roman" w:hAnsi="Times New Roman" w:cs="Times New Roman"/>
                      <w:bCs/>
                      <w:color w:val="000000" w:themeColor="text1"/>
                      <w:highlight w:val="none"/>
                      <w14:textFill>
                        <w14:solidFill>
                          <w14:schemeClr w14:val="tx1"/>
                        </w14:solidFill>
                      </w14:textFill>
                    </w:rPr>
                    <w:t>有组织排放</w:t>
                  </w:r>
                </w:p>
              </w:tc>
              <w:tc>
                <w:tcPr>
                  <w:tcW w:w="1129" w:type="pct"/>
                  <w:tcBorders>
                    <w:top w:val="single" w:color="auto" w:sz="4" w:space="0"/>
                    <w:bottom w:val="single" w:color="auto" w:sz="4" w:space="0"/>
                  </w:tcBorders>
                  <w:noWrap w:val="0"/>
                  <w:vAlign w:val="center"/>
                </w:tcPr>
                <w:p w14:paraId="4FB4B5DA">
                  <w:pPr>
                    <w:jc w:val="center"/>
                    <w:rPr>
                      <w:rFonts w:hint="default" w:ascii="Times New Roman" w:hAnsi="Times New Roman" w:cs="Times New Roman"/>
                      <w:b w:val="0"/>
                      <w:bCs/>
                      <w:color w:val="000000" w:themeColor="text1"/>
                      <w:highlight w:val="none"/>
                      <w:lang w:val="en-US" w:eastAsia="zh-CN"/>
                      <w14:textFill>
                        <w14:solidFill>
                          <w14:schemeClr w14:val="tx1"/>
                        </w14:solidFill>
                      </w14:textFill>
                    </w:rPr>
                  </w:pPr>
                  <w:r>
                    <w:rPr>
                      <w:rFonts w:hint="eastAsia" w:ascii="Times New Roman" w:hAnsi="Times New Roman" w:cs="Times New Roman"/>
                      <w:b w:val="0"/>
                      <w:bCs/>
                      <w:color w:val="000000" w:themeColor="text1"/>
                      <w:highlight w:val="none"/>
                      <w:lang w:val="en-US" w:eastAsia="zh-CN"/>
                      <w14:textFill>
                        <w14:solidFill>
                          <w14:schemeClr w14:val="tx1"/>
                        </w14:solidFill>
                      </w14:textFill>
                    </w:rPr>
                    <w:t>0.0024</w:t>
                  </w:r>
                </w:p>
              </w:tc>
            </w:tr>
            <w:tr w14:paraId="02186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continue"/>
                  <w:noWrap w:val="0"/>
                  <w:vAlign w:val="center"/>
                </w:tcPr>
                <w:p w14:paraId="47B78038">
                  <w:pPr>
                    <w:jc w:val="center"/>
                    <w:rPr>
                      <w:rFonts w:hint="eastAsia" w:ascii="Times New Roman" w:hAnsi="Times New Roman" w:cs="Times New Roman"/>
                      <w:b w:val="0"/>
                      <w:bCs/>
                      <w:color w:val="000000" w:themeColor="text1"/>
                      <w:highlight w:val="none"/>
                      <w:lang w:val="en-US" w:eastAsia="zh-CN"/>
                      <w14:textFill>
                        <w14:solidFill>
                          <w14:schemeClr w14:val="tx1"/>
                        </w14:solidFill>
                      </w14:textFill>
                    </w:rPr>
                  </w:pPr>
                </w:p>
              </w:tc>
              <w:tc>
                <w:tcPr>
                  <w:tcW w:w="1097" w:type="pct"/>
                  <w:vMerge w:val="continue"/>
                  <w:noWrap w:val="0"/>
                  <w:vAlign w:val="center"/>
                </w:tcPr>
                <w:p w14:paraId="2986273C">
                  <w:pPr>
                    <w:jc w:val="center"/>
                    <w:rPr>
                      <w:rFonts w:hint="eastAsia" w:ascii="Times New Roman" w:hAnsi="Times New Roman" w:cs="Times New Roman"/>
                      <w:b w:val="0"/>
                      <w:bCs/>
                      <w:color w:val="000000" w:themeColor="text1"/>
                      <w:highlight w:val="none"/>
                      <w:lang w:val="en-US" w:eastAsia="zh-CN"/>
                      <w14:textFill>
                        <w14:solidFill>
                          <w14:schemeClr w14:val="tx1"/>
                        </w14:solidFill>
                      </w14:textFill>
                    </w:rPr>
                  </w:pPr>
                </w:p>
              </w:tc>
              <w:tc>
                <w:tcPr>
                  <w:tcW w:w="1523" w:type="pct"/>
                  <w:tcBorders>
                    <w:top w:val="single" w:color="auto" w:sz="4" w:space="0"/>
                    <w:bottom w:val="single" w:color="auto" w:sz="4" w:space="0"/>
                  </w:tcBorders>
                  <w:noWrap w:val="0"/>
                  <w:vAlign w:val="center"/>
                </w:tcPr>
                <w:p w14:paraId="26449B02">
                  <w:pPr>
                    <w:jc w:val="center"/>
                    <w:rPr>
                      <w:rFonts w:hint="default" w:ascii="Times New Roman" w:hAnsi="Times New Roman" w:cs="Times New Roman"/>
                      <w:bCs/>
                      <w:color w:val="000000" w:themeColor="text1"/>
                      <w:highlight w:val="none"/>
                      <w:lang w:val="en-US" w:eastAsia="zh-CN"/>
                      <w14:textFill>
                        <w14:solidFill>
                          <w14:schemeClr w14:val="tx1"/>
                        </w14:solidFill>
                      </w14:textFill>
                    </w:rPr>
                  </w:pPr>
                  <w:r>
                    <w:rPr>
                      <w:rFonts w:hint="default" w:ascii="Times New Roman" w:hAnsi="Times New Roman" w:cs="Times New Roman"/>
                      <w:bCs/>
                      <w:color w:val="000000" w:themeColor="text1"/>
                      <w:highlight w:val="none"/>
                      <w:lang w:val="en-US" w:eastAsia="zh-CN"/>
                      <w14:textFill>
                        <w14:solidFill>
                          <w14:schemeClr w14:val="tx1"/>
                        </w14:solidFill>
                      </w14:textFill>
                    </w:rPr>
                    <w:t>无组织排放</w:t>
                  </w:r>
                </w:p>
              </w:tc>
              <w:tc>
                <w:tcPr>
                  <w:tcW w:w="1129" w:type="pct"/>
                  <w:tcBorders>
                    <w:top w:val="single" w:color="auto" w:sz="4" w:space="0"/>
                    <w:bottom w:val="single" w:color="auto" w:sz="4" w:space="0"/>
                  </w:tcBorders>
                  <w:noWrap w:val="0"/>
                  <w:vAlign w:val="center"/>
                </w:tcPr>
                <w:p w14:paraId="79DD8378">
                  <w:pPr>
                    <w:jc w:val="center"/>
                    <w:rPr>
                      <w:rFonts w:hint="default" w:ascii="Times New Roman" w:hAnsi="Times New Roman" w:cs="Times New Roman"/>
                      <w:b w:val="0"/>
                      <w:bCs/>
                      <w:color w:val="000000" w:themeColor="text1"/>
                      <w:highlight w:val="none"/>
                      <w:lang w:val="en-US" w:eastAsia="zh-CN"/>
                      <w14:textFill>
                        <w14:solidFill>
                          <w14:schemeClr w14:val="tx1"/>
                        </w14:solidFill>
                      </w14:textFill>
                    </w:rPr>
                  </w:pPr>
                  <w:r>
                    <w:rPr>
                      <w:rFonts w:hint="eastAsia" w:ascii="Times New Roman" w:hAnsi="Times New Roman" w:cs="Times New Roman"/>
                      <w:b w:val="0"/>
                      <w:bCs/>
                      <w:color w:val="000000" w:themeColor="text1"/>
                      <w:highlight w:val="none"/>
                      <w:lang w:val="en-US" w:eastAsia="zh-CN"/>
                      <w14:textFill>
                        <w14:solidFill>
                          <w14:schemeClr w14:val="tx1"/>
                        </w14:solidFill>
                      </w14:textFill>
                    </w:rPr>
                    <w:t>0.006</w:t>
                  </w:r>
                </w:p>
              </w:tc>
            </w:tr>
            <w:tr w14:paraId="52A6E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continue"/>
                  <w:noWrap w:val="0"/>
                  <w:vAlign w:val="center"/>
                </w:tcPr>
                <w:p w14:paraId="4421010B">
                  <w:pPr>
                    <w:jc w:val="center"/>
                    <w:rPr>
                      <w:rFonts w:hint="eastAsia" w:ascii="Times New Roman" w:hAnsi="Times New Roman" w:cs="Times New Roman"/>
                      <w:b w:val="0"/>
                      <w:bCs/>
                      <w:color w:val="000000" w:themeColor="text1"/>
                      <w:highlight w:val="none"/>
                      <w:lang w:val="en-US" w:eastAsia="zh-CN"/>
                      <w14:textFill>
                        <w14:solidFill>
                          <w14:schemeClr w14:val="tx1"/>
                        </w14:solidFill>
                      </w14:textFill>
                    </w:rPr>
                  </w:pPr>
                </w:p>
              </w:tc>
              <w:tc>
                <w:tcPr>
                  <w:tcW w:w="1097" w:type="pct"/>
                  <w:vMerge w:val="continue"/>
                  <w:noWrap w:val="0"/>
                  <w:vAlign w:val="center"/>
                </w:tcPr>
                <w:p w14:paraId="57EAC56F">
                  <w:pPr>
                    <w:jc w:val="center"/>
                    <w:rPr>
                      <w:rFonts w:hint="eastAsia" w:ascii="Times New Roman" w:hAnsi="Times New Roman" w:cs="Times New Roman"/>
                      <w:b w:val="0"/>
                      <w:bCs/>
                      <w:color w:val="000000" w:themeColor="text1"/>
                      <w:highlight w:val="none"/>
                      <w:lang w:val="en-US" w:eastAsia="zh-CN"/>
                      <w14:textFill>
                        <w14:solidFill>
                          <w14:schemeClr w14:val="tx1"/>
                        </w14:solidFill>
                      </w14:textFill>
                    </w:rPr>
                  </w:pPr>
                </w:p>
              </w:tc>
              <w:tc>
                <w:tcPr>
                  <w:tcW w:w="1523" w:type="pct"/>
                  <w:tcBorders>
                    <w:top w:val="single" w:color="auto" w:sz="4" w:space="0"/>
                    <w:bottom w:val="single" w:color="auto" w:sz="4" w:space="0"/>
                  </w:tcBorders>
                  <w:noWrap w:val="0"/>
                  <w:vAlign w:val="center"/>
                </w:tcPr>
                <w:p w14:paraId="2AC9A8FC">
                  <w:pPr>
                    <w:jc w:val="center"/>
                    <w:rPr>
                      <w:rFonts w:hint="default" w:ascii="Times New Roman" w:hAnsi="Times New Roman" w:cs="Times New Roman"/>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1"/>
                      <w:szCs w:val="24"/>
                      <w:highlight w:val="none"/>
                      <w:lang w:val="en-US" w:eastAsia="zh-CN" w:bidi="ar-SA"/>
                      <w14:textFill>
                        <w14:solidFill>
                          <w14:schemeClr w14:val="tx1"/>
                        </w14:solidFill>
                      </w14:textFill>
                    </w:rPr>
                    <w:t>TA001废气处理设施去除</w:t>
                  </w:r>
                </w:p>
              </w:tc>
              <w:tc>
                <w:tcPr>
                  <w:tcW w:w="1129" w:type="pct"/>
                  <w:tcBorders>
                    <w:top w:val="single" w:color="auto" w:sz="4" w:space="0"/>
                    <w:bottom w:val="single" w:color="auto" w:sz="4" w:space="0"/>
                  </w:tcBorders>
                  <w:noWrap w:val="0"/>
                  <w:vAlign w:val="center"/>
                </w:tcPr>
                <w:p w14:paraId="3D62C6AA">
                  <w:pPr>
                    <w:jc w:val="center"/>
                    <w:rPr>
                      <w:rFonts w:hint="default" w:ascii="Times New Roman" w:hAnsi="Times New Roman" w:cs="Times New Roman"/>
                      <w:b w:val="0"/>
                      <w:bCs/>
                      <w:color w:val="000000" w:themeColor="text1"/>
                      <w:highlight w:val="none"/>
                      <w:lang w:val="en-US" w:eastAsia="zh-CN"/>
                      <w14:textFill>
                        <w14:solidFill>
                          <w14:schemeClr w14:val="tx1"/>
                        </w14:solidFill>
                      </w14:textFill>
                    </w:rPr>
                  </w:pPr>
                  <w:r>
                    <w:rPr>
                      <w:rFonts w:hint="eastAsia" w:ascii="Times New Roman" w:hAnsi="Times New Roman" w:cs="Times New Roman"/>
                      <w:b w:val="0"/>
                      <w:bCs/>
                      <w:color w:val="000000" w:themeColor="text1"/>
                      <w:highlight w:val="none"/>
                      <w:lang w:val="en-US" w:eastAsia="zh-CN"/>
                      <w14:textFill>
                        <w14:solidFill>
                          <w14:schemeClr w14:val="tx1"/>
                        </w14:solidFill>
                      </w14:textFill>
                    </w:rPr>
                    <w:t>0.0216</w:t>
                  </w:r>
                </w:p>
              </w:tc>
            </w:tr>
            <w:tr w14:paraId="6B8AF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restart"/>
                  <w:noWrap w:val="0"/>
                  <w:vAlign w:val="center"/>
                </w:tcPr>
                <w:p w14:paraId="2EE4E42D">
                  <w:pPr>
                    <w:jc w:val="center"/>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合计</w:t>
                  </w:r>
                </w:p>
              </w:tc>
              <w:tc>
                <w:tcPr>
                  <w:tcW w:w="1097" w:type="pct"/>
                  <w:vMerge w:val="restart"/>
                  <w:tcBorders>
                    <w:top w:val="single" w:color="auto" w:sz="4" w:space="0"/>
                  </w:tcBorders>
                  <w:noWrap w:val="0"/>
                  <w:vAlign w:val="center"/>
                </w:tcPr>
                <w:p w14:paraId="0E848FCB">
                  <w:pPr>
                    <w:jc w:val="center"/>
                    <w:rPr>
                      <w:rFonts w:hint="default" w:ascii="Times New Roman" w:hAnsi="Times New Roman" w:cs="Times New Roman"/>
                      <w:b/>
                      <w:bCs w:val="0"/>
                      <w:color w:val="000000" w:themeColor="text1"/>
                      <w:highlight w:val="none"/>
                      <w:lang w:val="en-US" w:eastAsia="zh-CN"/>
                      <w14:textFill>
                        <w14:solidFill>
                          <w14:schemeClr w14:val="tx1"/>
                        </w14:solidFill>
                      </w14:textFill>
                    </w:rPr>
                  </w:pPr>
                  <w:r>
                    <w:rPr>
                      <w:rFonts w:hint="eastAsia" w:ascii="Times New Roman" w:hAnsi="Times New Roman" w:cs="Times New Roman"/>
                      <w:b/>
                      <w:bCs w:val="0"/>
                      <w:color w:val="000000" w:themeColor="text1"/>
                      <w:highlight w:val="none"/>
                      <w:lang w:val="en-US" w:eastAsia="zh-CN"/>
                      <w14:textFill>
                        <w14:solidFill>
                          <w14:schemeClr w14:val="tx1"/>
                        </w14:solidFill>
                      </w14:textFill>
                    </w:rPr>
                    <w:t>1.1808</w:t>
                  </w:r>
                </w:p>
              </w:tc>
              <w:tc>
                <w:tcPr>
                  <w:tcW w:w="1523" w:type="pct"/>
                  <w:tcBorders>
                    <w:top w:val="single" w:color="auto" w:sz="4" w:space="0"/>
                    <w:bottom w:val="single" w:color="auto" w:sz="4" w:space="0"/>
                  </w:tcBorders>
                  <w:noWrap w:val="0"/>
                  <w:vAlign w:val="center"/>
                </w:tcPr>
                <w:p w14:paraId="29D4963F">
                  <w:pPr>
                    <w:jc w:val="center"/>
                    <w:rPr>
                      <w:rFonts w:hint="eastAsia" w:ascii="Times New Roman" w:hAnsi="Times New Roman" w:eastAsia="宋体" w:cs="Times New Roman"/>
                      <w:b/>
                      <w:bCs w:val="0"/>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有组织排放</w:t>
                  </w:r>
                  <w:r>
                    <w:rPr>
                      <w:rFonts w:hint="eastAsia" w:ascii="Times New Roman" w:hAnsi="Times New Roman" w:cs="Times New Roman"/>
                      <w:bCs/>
                      <w:color w:val="000000" w:themeColor="text1"/>
                      <w:highlight w:val="none"/>
                      <w:lang w:val="en-US" w:eastAsia="zh-CN"/>
                      <w14:textFill>
                        <w14:solidFill>
                          <w14:schemeClr w14:val="tx1"/>
                        </w14:solidFill>
                      </w14:textFill>
                    </w:rPr>
                    <w:t>合计</w:t>
                  </w:r>
                </w:p>
              </w:tc>
              <w:tc>
                <w:tcPr>
                  <w:tcW w:w="1129" w:type="pct"/>
                  <w:tcBorders>
                    <w:top w:val="single" w:color="auto" w:sz="4" w:space="0"/>
                    <w:bottom w:val="single" w:color="auto" w:sz="4" w:space="0"/>
                  </w:tcBorders>
                  <w:noWrap w:val="0"/>
                  <w:vAlign w:val="center"/>
                </w:tcPr>
                <w:p w14:paraId="007697AF">
                  <w:pPr>
                    <w:jc w:val="center"/>
                    <w:rPr>
                      <w:rFonts w:hint="default" w:ascii="Times New Roman" w:hAnsi="Times New Roman" w:cs="Times New Roman"/>
                      <w:b/>
                      <w:bCs w:val="0"/>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1"/>
                      <w:szCs w:val="24"/>
                      <w:highlight w:val="none"/>
                      <w:lang w:val="en-US" w:eastAsia="zh-CN" w:bidi="ar-SA"/>
                      <w14:textFill>
                        <w14:solidFill>
                          <w14:schemeClr w14:val="tx1"/>
                        </w14:solidFill>
                      </w14:textFill>
                    </w:rPr>
                    <w:t>0.0945</w:t>
                  </w:r>
                </w:p>
              </w:tc>
            </w:tr>
            <w:tr w14:paraId="713D39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continue"/>
                  <w:noWrap w:val="0"/>
                  <w:vAlign w:val="center"/>
                </w:tcPr>
                <w:p w14:paraId="248F0944">
                  <w:pPr>
                    <w:jc w:val="center"/>
                    <w:rPr>
                      <w:rFonts w:hint="default" w:ascii="Times New Roman" w:hAnsi="Times New Roman" w:cs="Times New Roman"/>
                      <w:b/>
                      <w:bCs w:val="0"/>
                      <w:color w:val="000000" w:themeColor="text1"/>
                      <w:highlight w:val="none"/>
                      <w14:textFill>
                        <w14:solidFill>
                          <w14:schemeClr w14:val="tx1"/>
                        </w14:solidFill>
                      </w14:textFill>
                    </w:rPr>
                  </w:pPr>
                </w:p>
              </w:tc>
              <w:tc>
                <w:tcPr>
                  <w:tcW w:w="1097" w:type="pct"/>
                  <w:vMerge w:val="continue"/>
                  <w:noWrap w:val="0"/>
                  <w:vAlign w:val="center"/>
                </w:tcPr>
                <w:p w14:paraId="760E1766">
                  <w:pPr>
                    <w:jc w:val="center"/>
                    <w:rPr>
                      <w:rFonts w:hint="default" w:ascii="Times New Roman" w:hAnsi="Times New Roman" w:cs="Times New Roman"/>
                      <w:b/>
                      <w:bCs w:val="0"/>
                      <w:color w:val="000000" w:themeColor="text1"/>
                      <w:highlight w:val="none"/>
                      <w:lang w:val="en-US" w:eastAsia="zh-CN"/>
                      <w14:textFill>
                        <w14:solidFill>
                          <w14:schemeClr w14:val="tx1"/>
                        </w14:solidFill>
                      </w14:textFill>
                    </w:rPr>
                  </w:pPr>
                </w:p>
              </w:tc>
              <w:tc>
                <w:tcPr>
                  <w:tcW w:w="1523" w:type="pct"/>
                  <w:tcBorders>
                    <w:top w:val="single" w:color="auto" w:sz="4" w:space="0"/>
                    <w:bottom w:val="single" w:color="auto" w:sz="4" w:space="0"/>
                  </w:tcBorders>
                  <w:noWrap w:val="0"/>
                  <w:vAlign w:val="center"/>
                </w:tcPr>
                <w:p w14:paraId="2E7F7FDA">
                  <w:pPr>
                    <w:jc w:val="center"/>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lang w:val="en-US" w:eastAsia="zh-CN"/>
                      <w14:textFill>
                        <w14:solidFill>
                          <w14:schemeClr w14:val="tx1"/>
                        </w14:solidFill>
                      </w14:textFill>
                    </w:rPr>
                    <w:t>无组织排放</w:t>
                  </w:r>
                  <w:r>
                    <w:rPr>
                      <w:rFonts w:hint="eastAsia" w:ascii="Times New Roman" w:hAnsi="Times New Roman" w:cs="Times New Roman"/>
                      <w:bCs/>
                      <w:color w:val="000000" w:themeColor="text1"/>
                      <w:highlight w:val="none"/>
                      <w:lang w:val="en-US" w:eastAsia="zh-CN"/>
                      <w14:textFill>
                        <w14:solidFill>
                          <w14:schemeClr w14:val="tx1"/>
                        </w14:solidFill>
                      </w14:textFill>
                    </w:rPr>
                    <w:t>合计</w:t>
                  </w:r>
                </w:p>
              </w:tc>
              <w:tc>
                <w:tcPr>
                  <w:tcW w:w="1129" w:type="pct"/>
                  <w:tcBorders>
                    <w:top w:val="single" w:color="auto" w:sz="4" w:space="0"/>
                    <w:bottom w:val="single" w:color="auto" w:sz="4" w:space="0"/>
                  </w:tcBorders>
                  <w:noWrap w:val="0"/>
                  <w:vAlign w:val="center"/>
                </w:tcPr>
                <w:p w14:paraId="5700A2AD">
                  <w:pPr>
                    <w:jc w:val="center"/>
                    <w:rPr>
                      <w:rFonts w:hint="default" w:ascii="Times New Roman" w:hAnsi="Times New Roman" w:cs="Times New Roman"/>
                      <w:b w:val="0"/>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1"/>
                      <w:szCs w:val="24"/>
                      <w:highlight w:val="none"/>
                      <w:lang w:val="en-US" w:eastAsia="zh-CN" w:bidi="ar-SA"/>
                      <w14:textFill>
                        <w14:solidFill>
                          <w14:schemeClr w14:val="tx1"/>
                        </w14:solidFill>
                      </w14:textFill>
                    </w:rPr>
                    <w:t>0.2362</w:t>
                  </w:r>
                </w:p>
              </w:tc>
            </w:tr>
            <w:tr w14:paraId="28B9A8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continue"/>
                  <w:noWrap w:val="0"/>
                  <w:vAlign w:val="center"/>
                </w:tcPr>
                <w:p w14:paraId="280BB2F6">
                  <w:pPr>
                    <w:jc w:val="center"/>
                    <w:rPr>
                      <w:rFonts w:hint="default" w:ascii="Times New Roman" w:hAnsi="Times New Roman" w:cs="Times New Roman"/>
                      <w:b/>
                      <w:bCs w:val="0"/>
                      <w:color w:val="000000" w:themeColor="text1"/>
                      <w:highlight w:val="none"/>
                      <w14:textFill>
                        <w14:solidFill>
                          <w14:schemeClr w14:val="tx1"/>
                        </w14:solidFill>
                      </w14:textFill>
                    </w:rPr>
                  </w:pPr>
                </w:p>
              </w:tc>
              <w:tc>
                <w:tcPr>
                  <w:tcW w:w="1097" w:type="pct"/>
                  <w:vMerge w:val="continue"/>
                  <w:noWrap w:val="0"/>
                  <w:vAlign w:val="center"/>
                </w:tcPr>
                <w:p w14:paraId="516779EF">
                  <w:pPr>
                    <w:jc w:val="center"/>
                    <w:rPr>
                      <w:rFonts w:hint="default" w:ascii="Times New Roman" w:hAnsi="Times New Roman" w:cs="Times New Roman"/>
                      <w:b/>
                      <w:bCs w:val="0"/>
                      <w:color w:val="000000" w:themeColor="text1"/>
                      <w:highlight w:val="none"/>
                      <w:lang w:val="en-US" w:eastAsia="zh-CN"/>
                      <w14:textFill>
                        <w14:solidFill>
                          <w14:schemeClr w14:val="tx1"/>
                        </w14:solidFill>
                      </w14:textFill>
                    </w:rPr>
                  </w:pPr>
                </w:p>
              </w:tc>
              <w:tc>
                <w:tcPr>
                  <w:tcW w:w="1523" w:type="pct"/>
                  <w:tcBorders>
                    <w:top w:val="single" w:color="auto" w:sz="4" w:space="0"/>
                    <w:bottom w:val="single" w:color="auto" w:sz="4" w:space="0"/>
                  </w:tcBorders>
                  <w:noWrap w:val="0"/>
                  <w:vAlign w:val="center"/>
                </w:tcPr>
                <w:p w14:paraId="1D470D32">
                  <w:pPr>
                    <w:jc w:val="center"/>
                    <w:rPr>
                      <w:rFonts w:hint="default" w:ascii="Times New Roman" w:hAnsi="Times New Roman" w:cs="Times New Roman"/>
                      <w:b/>
                      <w:bCs w:val="0"/>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kern w:val="2"/>
                      <w:sz w:val="21"/>
                      <w:szCs w:val="24"/>
                      <w:highlight w:val="none"/>
                      <w:lang w:val="en-US" w:eastAsia="zh-CN" w:bidi="ar-SA"/>
                      <w14:textFill>
                        <w14:solidFill>
                          <w14:schemeClr w14:val="tx1"/>
                        </w14:solidFill>
                      </w14:textFill>
                    </w:rPr>
                    <w:t>废气处理设施去除</w:t>
                  </w:r>
                  <w:r>
                    <w:rPr>
                      <w:rFonts w:hint="eastAsia" w:ascii="Times New Roman" w:hAnsi="Times New Roman" w:cs="Times New Roman"/>
                      <w:bCs/>
                      <w:color w:val="000000" w:themeColor="text1"/>
                      <w:highlight w:val="none"/>
                      <w:lang w:val="en-US" w:eastAsia="zh-CN"/>
                      <w14:textFill>
                        <w14:solidFill>
                          <w14:schemeClr w14:val="tx1"/>
                        </w14:solidFill>
                      </w14:textFill>
                    </w:rPr>
                    <w:t>合计</w:t>
                  </w:r>
                </w:p>
              </w:tc>
              <w:tc>
                <w:tcPr>
                  <w:tcW w:w="1129" w:type="pct"/>
                  <w:tcBorders>
                    <w:top w:val="single" w:color="auto" w:sz="4" w:space="0"/>
                    <w:bottom w:val="single" w:color="auto" w:sz="4" w:space="0"/>
                  </w:tcBorders>
                  <w:noWrap w:val="0"/>
                  <w:vAlign w:val="center"/>
                </w:tcPr>
                <w:p w14:paraId="05CB8E4B">
                  <w:pPr>
                    <w:jc w:val="center"/>
                    <w:rPr>
                      <w:rFonts w:hint="default" w:ascii="Times New Roman" w:hAnsi="Times New Roman" w:cs="Times New Roman"/>
                      <w:b w:val="0"/>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1"/>
                      <w:szCs w:val="24"/>
                      <w:highlight w:val="none"/>
                      <w:lang w:val="en-US" w:eastAsia="zh-CN" w:bidi="ar-SA"/>
                      <w14:textFill>
                        <w14:solidFill>
                          <w14:schemeClr w14:val="tx1"/>
                        </w14:solidFill>
                      </w14:textFill>
                    </w:rPr>
                    <w:t>0.8501</w:t>
                  </w:r>
                </w:p>
              </w:tc>
            </w:tr>
            <w:tr w14:paraId="2BF6F6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continue"/>
                  <w:tcBorders>
                    <w:bottom w:val="single" w:color="auto" w:sz="12" w:space="0"/>
                  </w:tcBorders>
                  <w:noWrap w:val="0"/>
                  <w:vAlign w:val="center"/>
                </w:tcPr>
                <w:p w14:paraId="10FF5EBD">
                  <w:pPr>
                    <w:jc w:val="center"/>
                    <w:rPr>
                      <w:rFonts w:hint="default" w:ascii="Times New Roman" w:hAnsi="Times New Roman" w:cs="Times New Roman"/>
                      <w:b/>
                      <w:bCs w:val="0"/>
                      <w:color w:val="000000" w:themeColor="text1"/>
                      <w:highlight w:val="none"/>
                      <w14:textFill>
                        <w14:solidFill>
                          <w14:schemeClr w14:val="tx1"/>
                        </w14:solidFill>
                      </w14:textFill>
                    </w:rPr>
                  </w:pPr>
                </w:p>
              </w:tc>
              <w:tc>
                <w:tcPr>
                  <w:tcW w:w="1097" w:type="pct"/>
                  <w:vMerge w:val="continue"/>
                  <w:tcBorders>
                    <w:bottom w:val="single" w:color="auto" w:sz="12" w:space="0"/>
                  </w:tcBorders>
                  <w:noWrap w:val="0"/>
                  <w:vAlign w:val="center"/>
                </w:tcPr>
                <w:p w14:paraId="0A252580">
                  <w:pPr>
                    <w:jc w:val="center"/>
                    <w:rPr>
                      <w:rFonts w:hint="default" w:ascii="Times New Roman" w:hAnsi="Times New Roman" w:cs="Times New Roman"/>
                      <w:b/>
                      <w:bCs w:val="0"/>
                      <w:color w:val="000000" w:themeColor="text1"/>
                      <w:highlight w:val="none"/>
                      <w:lang w:val="en-US" w:eastAsia="zh-CN"/>
                      <w14:textFill>
                        <w14:solidFill>
                          <w14:schemeClr w14:val="tx1"/>
                        </w14:solidFill>
                      </w14:textFill>
                    </w:rPr>
                  </w:pPr>
                </w:p>
              </w:tc>
              <w:tc>
                <w:tcPr>
                  <w:tcW w:w="1523" w:type="pct"/>
                  <w:tcBorders>
                    <w:top w:val="single" w:color="auto" w:sz="4" w:space="0"/>
                    <w:bottom w:val="single" w:color="auto" w:sz="12" w:space="0"/>
                  </w:tcBorders>
                  <w:noWrap w:val="0"/>
                  <w:vAlign w:val="center"/>
                </w:tcPr>
                <w:p w14:paraId="37F25ECB">
                  <w:pPr>
                    <w:jc w:val="center"/>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合计</w:t>
                  </w:r>
                </w:p>
              </w:tc>
              <w:tc>
                <w:tcPr>
                  <w:tcW w:w="1129" w:type="pct"/>
                  <w:tcBorders>
                    <w:top w:val="single" w:color="auto" w:sz="4" w:space="0"/>
                    <w:bottom w:val="single" w:color="auto" w:sz="12" w:space="0"/>
                  </w:tcBorders>
                  <w:noWrap w:val="0"/>
                  <w:vAlign w:val="center"/>
                </w:tcPr>
                <w:p w14:paraId="243C0E3F">
                  <w:pPr>
                    <w:jc w:val="center"/>
                    <w:rPr>
                      <w:rFonts w:hint="default" w:ascii="Times New Roman" w:hAnsi="Times New Roman" w:cs="Times New Roman"/>
                      <w:b/>
                      <w:bCs w:val="0"/>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21"/>
                      <w:szCs w:val="24"/>
                      <w:highlight w:val="none"/>
                      <w:lang w:val="en-US" w:eastAsia="zh-CN" w:bidi="ar-SA"/>
                      <w14:textFill>
                        <w14:solidFill>
                          <w14:schemeClr w14:val="tx1"/>
                        </w14:solidFill>
                      </w14:textFill>
                    </w:rPr>
                    <w:t>1.1808</w:t>
                  </w:r>
                </w:p>
              </w:tc>
            </w:tr>
          </w:tbl>
          <w:p w14:paraId="1D83E319">
            <w:pPr>
              <w:spacing w:line="360" w:lineRule="auto"/>
              <w:ind w:firstLine="422" w:firstLineChars="200"/>
              <w:rPr>
                <w:b/>
                <w:bCs/>
                <w:color w:val="000000" w:themeColor="text1"/>
                <w:kern w:val="0"/>
                <w:szCs w:val="16"/>
                <w:highlight w:val="none"/>
                <w14:textFill>
                  <w14:solidFill>
                    <w14:schemeClr w14:val="tx1"/>
                  </w14:solidFill>
                </w14:textFill>
              </w:rPr>
            </w:pPr>
            <w:r>
              <w:rPr>
                <w:rFonts w:hint="eastAsia"/>
                <w:b/>
                <w:bCs/>
                <w:color w:val="000000" w:themeColor="text1"/>
                <w:kern w:val="0"/>
                <w:szCs w:val="16"/>
                <w:highlight w:val="none"/>
                <w14:textFill>
                  <w14:solidFill>
                    <w14:schemeClr w14:val="tx1"/>
                  </w14:solidFill>
                </w14:textFill>
              </w:rPr>
              <w:t>2.</w:t>
            </w:r>
            <w:r>
              <w:rPr>
                <w:rFonts w:hint="eastAsia"/>
                <w:b/>
                <w:bCs/>
                <w:color w:val="000000" w:themeColor="text1"/>
                <w:kern w:val="0"/>
                <w:szCs w:val="16"/>
                <w:highlight w:val="none"/>
                <w:lang w:val="en-US" w:eastAsia="zh-CN"/>
                <w14:textFill>
                  <w14:solidFill>
                    <w14:schemeClr w14:val="tx1"/>
                  </w14:solidFill>
                </w14:textFill>
              </w:rPr>
              <w:t>9油墨</w:t>
            </w:r>
            <w:r>
              <w:rPr>
                <w:rFonts w:hint="eastAsia"/>
                <w:b/>
                <w:bCs/>
                <w:color w:val="000000" w:themeColor="text1"/>
                <w:kern w:val="0"/>
                <w:szCs w:val="16"/>
                <w:highlight w:val="none"/>
                <w14:textFill>
                  <w14:solidFill>
                    <w14:schemeClr w14:val="tx1"/>
                  </w14:solidFill>
                </w14:textFill>
              </w:rPr>
              <w:t>平衡分析</w:t>
            </w:r>
          </w:p>
          <w:p w14:paraId="171064BE">
            <w:pPr>
              <w:spacing w:line="360" w:lineRule="auto"/>
              <w:ind w:firstLine="422" w:firstLineChars="200"/>
              <w:rPr>
                <w:b/>
                <w:bCs/>
                <w:color w:val="000000" w:themeColor="text1"/>
                <w:highlight w:val="none"/>
                <w14:textFill>
                  <w14:solidFill>
                    <w14:schemeClr w14:val="tx1"/>
                  </w14:solidFill>
                </w14:textFill>
              </w:rPr>
            </w:pPr>
            <w:r>
              <w:rPr>
                <w:rFonts w:hint="eastAsia"/>
                <w:b/>
                <w:bCs/>
                <w:color w:val="000000" w:themeColor="text1"/>
                <w:kern w:val="0"/>
                <w:szCs w:val="16"/>
                <w:highlight w:val="none"/>
                <w:lang w:val="en-US" w:eastAsia="zh-CN"/>
                <w14:textFill>
                  <w14:solidFill>
                    <w14:schemeClr w14:val="tx1"/>
                  </w14:solidFill>
                </w14:textFill>
              </w:rPr>
              <w:t>油墨</w:t>
            </w:r>
          </w:p>
          <w:p w14:paraId="22665124">
            <w:pPr>
              <w:adjustRightInd w:val="0"/>
              <w:snapToGrid w:val="0"/>
              <w:spacing w:line="360" w:lineRule="auto"/>
              <w:ind w:firstLine="420" w:firstLineChars="200"/>
              <w:rPr>
                <w:b/>
                <w:bCs/>
                <w:color w:val="000000" w:themeColor="text1"/>
                <w:kern w:val="0"/>
                <w:szCs w:val="16"/>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根据上文“</w:t>
            </w:r>
            <w:r>
              <w:rPr>
                <w:rFonts w:hint="eastAsia"/>
                <w:bCs/>
                <w:color w:val="000000" w:themeColor="text1"/>
                <w:szCs w:val="21"/>
                <w:highlight w:val="none"/>
                <w:lang w:val="en-US" w:eastAsia="zh-CN"/>
                <w14:textFill>
                  <w14:solidFill>
                    <w14:schemeClr w14:val="tx1"/>
                  </w14:solidFill>
                </w14:textFill>
              </w:rPr>
              <w:t>清洁原料</w:t>
            </w:r>
            <w:r>
              <w:rPr>
                <w:rFonts w:hint="eastAsia"/>
                <w:bCs/>
                <w:color w:val="000000" w:themeColor="text1"/>
                <w:szCs w:val="21"/>
                <w:highlight w:val="none"/>
                <w14:textFill>
                  <w14:solidFill>
                    <w14:schemeClr w14:val="tx1"/>
                  </w14:solidFill>
                </w14:textFill>
              </w:rPr>
              <w:t>相符性分析</w:t>
            </w:r>
            <w:r>
              <w:rPr>
                <w:rFonts w:hint="eastAsia"/>
                <w:color w:val="000000" w:themeColor="text1"/>
                <w:szCs w:val="21"/>
                <w:highlight w:val="none"/>
                <w14:textFill>
                  <w14:solidFill>
                    <w14:schemeClr w14:val="tx1"/>
                  </w14:solidFill>
                </w14:textFill>
              </w:rPr>
              <w:t>”可知，本项目施工状态下的</w:t>
            </w:r>
            <w:r>
              <w:rPr>
                <w:rFonts w:hint="eastAsia"/>
                <w:color w:val="000000" w:themeColor="text1"/>
                <w:szCs w:val="21"/>
                <w:highlight w:val="none"/>
                <w:lang w:val="en-US" w:eastAsia="zh-CN"/>
                <w14:textFill>
                  <w14:solidFill>
                    <w14:schemeClr w14:val="tx1"/>
                  </w14:solidFill>
                </w14:textFill>
              </w:rPr>
              <w:t>油墨</w:t>
            </w:r>
            <w:r>
              <w:rPr>
                <w:rFonts w:hint="eastAsia"/>
                <w:color w:val="000000" w:themeColor="text1"/>
                <w:szCs w:val="21"/>
                <w:highlight w:val="none"/>
                <w14:textFill>
                  <w14:solidFill>
                    <w14:schemeClr w14:val="tx1"/>
                  </w14:solidFill>
                </w14:textFill>
              </w:rPr>
              <w:t>VOCs含量为</w:t>
            </w:r>
            <w:r>
              <w:rPr>
                <w:rFonts w:hint="eastAsia"/>
                <w:color w:val="000000" w:themeColor="text1"/>
                <w:szCs w:val="21"/>
                <w:highlight w:val="none"/>
                <w:lang w:val="en-US" w:eastAsia="zh-CN"/>
                <w14:textFill>
                  <w14:solidFill>
                    <w14:schemeClr w14:val="tx1"/>
                  </w14:solidFill>
                </w14:textFill>
              </w:rPr>
              <w:t>35.4%</w:t>
            </w:r>
            <w:r>
              <w:rPr>
                <w:rFonts w:hint="eastAsia"/>
                <w:color w:val="000000" w:themeColor="text1"/>
                <w:szCs w:val="21"/>
                <w:highlight w:val="none"/>
                <w14:textFill>
                  <w14:solidFill>
                    <w14:schemeClr w14:val="tx1"/>
                  </w14:solidFill>
                </w14:textFill>
              </w:rPr>
              <w:t>，本项目</w:t>
            </w:r>
            <w:r>
              <w:rPr>
                <w:rFonts w:hint="eastAsia"/>
                <w:color w:val="000000" w:themeColor="text1"/>
                <w:szCs w:val="21"/>
                <w:highlight w:val="none"/>
                <w:lang w:val="en-US" w:eastAsia="zh-CN"/>
                <w14:textFill>
                  <w14:solidFill>
                    <w14:schemeClr w14:val="tx1"/>
                  </w14:solidFill>
                </w14:textFill>
              </w:rPr>
              <w:t>油墨</w:t>
            </w:r>
            <w:r>
              <w:rPr>
                <w:rFonts w:hint="eastAsia"/>
                <w:color w:val="000000" w:themeColor="text1"/>
                <w:szCs w:val="21"/>
                <w:highlight w:val="none"/>
                <w14:textFill>
                  <w14:solidFill>
                    <w14:schemeClr w14:val="tx1"/>
                  </w14:solidFill>
                </w14:textFill>
              </w:rPr>
              <w:t>的使用量为</w:t>
            </w:r>
            <w:r>
              <w:rPr>
                <w:rFonts w:hint="eastAsia"/>
                <w:color w:val="000000" w:themeColor="text1"/>
                <w:szCs w:val="21"/>
                <w:highlight w:val="none"/>
                <w:lang w:val="en-US" w:eastAsia="zh-CN"/>
                <w14:textFill>
                  <w14:solidFill>
                    <w14:schemeClr w14:val="tx1"/>
                  </w14:solidFill>
                </w14:textFill>
              </w:rPr>
              <w:t>0.2</w:t>
            </w:r>
            <w:r>
              <w:rPr>
                <w:rFonts w:hint="eastAsia"/>
                <w:color w:val="000000" w:themeColor="text1"/>
                <w:szCs w:val="21"/>
                <w:highlight w:val="none"/>
                <w14:textFill>
                  <w14:solidFill>
                    <w14:schemeClr w14:val="tx1"/>
                  </w14:solidFill>
                </w14:textFill>
              </w:rPr>
              <w:t>t/a</w:t>
            </w:r>
            <w:r>
              <w:rPr>
                <w:rFonts w:hint="eastAsia"/>
                <w:color w:val="000000" w:themeColor="text1"/>
                <w:highlight w:val="none"/>
                <w14:textFill>
                  <w14:solidFill>
                    <w14:schemeClr w14:val="tx1"/>
                  </w14:solidFill>
                </w14:textFill>
              </w:rPr>
              <w:t>。本项目</w:t>
            </w:r>
            <w:r>
              <w:rPr>
                <w:rFonts w:hint="eastAsia"/>
                <w:color w:val="000000" w:themeColor="text1"/>
                <w:szCs w:val="21"/>
                <w:highlight w:val="none"/>
                <w:lang w:val="en-US" w:eastAsia="zh-CN"/>
                <w14:textFill>
                  <w14:solidFill>
                    <w14:schemeClr w14:val="tx1"/>
                  </w14:solidFill>
                </w14:textFill>
              </w:rPr>
              <w:t>油墨</w:t>
            </w:r>
            <w:r>
              <w:rPr>
                <w:rFonts w:hint="eastAsia"/>
                <w:color w:val="000000" w:themeColor="text1"/>
                <w:highlight w:val="none"/>
                <w14:textFill>
                  <w14:solidFill>
                    <w14:schemeClr w14:val="tx1"/>
                  </w14:solidFill>
                </w14:textFill>
              </w:rPr>
              <w:t>VOCs含量为</w:t>
            </w:r>
            <w:r>
              <w:rPr>
                <w:rFonts w:hint="eastAsia"/>
                <w:color w:val="000000" w:themeColor="text1"/>
                <w:highlight w:val="none"/>
                <w:lang w:val="en-US" w:eastAsia="zh-CN"/>
                <w14:textFill>
                  <w14:solidFill>
                    <w14:schemeClr w14:val="tx1"/>
                  </w14:solidFill>
                </w14:textFill>
              </w:rPr>
              <w:t>0.0708</w:t>
            </w:r>
            <w:r>
              <w:rPr>
                <w:rFonts w:hint="eastAsia"/>
                <w:color w:val="000000" w:themeColor="text1"/>
                <w:highlight w:val="none"/>
                <w14:textFill>
                  <w14:solidFill>
                    <w14:schemeClr w14:val="tx1"/>
                  </w14:solidFill>
                </w14:textFill>
              </w:rPr>
              <w:t>t/a，固分含量为</w:t>
            </w:r>
            <w:r>
              <w:rPr>
                <w:rFonts w:hint="eastAsia"/>
                <w:color w:val="000000" w:themeColor="text1"/>
                <w:highlight w:val="none"/>
                <w:lang w:val="en-US" w:eastAsia="zh-CN"/>
                <w14:textFill>
                  <w14:solidFill>
                    <w14:schemeClr w14:val="tx1"/>
                  </w14:solidFill>
                </w14:textFill>
              </w:rPr>
              <w:t>0.1292</w:t>
            </w:r>
            <w:r>
              <w:rPr>
                <w:rFonts w:hint="eastAsia"/>
                <w:color w:val="000000" w:themeColor="text1"/>
                <w:highlight w:val="none"/>
                <w14:textFill>
                  <w14:solidFill>
                    <w14:schemeClr w14:val="tx1"/>
                  </w14:solidFill>
                </w14:textFill>
              </w:rPr>
              <w:t>t/a。</w:t>
            </w:r>
          </w:p>
          <w:p w14:paraId="078769DF">
            <w:pPr>
              <w:adjustRightInd w:val="0"/>
              <w:snapToGrid w:val="0"/>
              <w:spacing w:line="360" w:lineRule="auto"/>
              <w:ind w:firstLine="420" w:firstLineChars="200"/>
              <w:rPr>
                <w:b/>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本项目</w:t>
            </w:r>
            <w:r>
              <w:rPr>
                <w:rFonts w:hint="eastAsia"/>
                <w:color w:val="000000" w:themeColor="text1"/>
                <w:szCs w:val="21"/>
                <w:highlight w:val="none"/>
                <w14:textFill>
                  <w14:solidFill>
                    <w14:schemeClr w14:val="tx1"/>
                  </w14:solidFill>
                </w14:textFill>
              </w:rPr>
              <w:t>喷涂</w:t>
            </w:r>
            <w:r>
              <w:rPr>
                <w:color w:val="000000" w:themeColor="text1"/>
                <w:szCs w:val="21"/>
                <w:highlight w:val="none"/>
                <w14:textFill>
                  <w14:solidFill>
                    <w14:schemeClr w14:val="tx1"/>
                  </w14:solidFill>
                </w14:textFill>
              </w:rPr>
              <w:t>参数见表2.</w:t>
            </w:r>
            <w:r>
              <w:rPr>
                <w:rFonts w:hint="eastAsia"/>
                <w:color w:val="000000" w:themeColor="text1"/>
                <w:szCs w:val="21"/>
                <w:highlight w:val="none"/>
                <w:lang w:val="en-US" w:eastAsia="zh-CN"/>
                <w14:textFill>
                  <w14:solidFill>
                    <w14:schemeClr w14:val="tx1"/>
                  </w14:solidFill>
                </w14:textFill>
              </w:rPr>
              <w:t>9</w:t>
            </w:r>
            <w:r>
              <w:rPr>
                <w:color w:val="000000" w:themeColor="text1"/>
                <w:szCs w:val="21"/>
                <w:highlight w:val="none"/>
                <w14:textFill>
                  <w14:solidFill>
                    <w14:schemeClr w14:val="tx1"/>
                  </w14:solidFill>
                </w14:textFill>
              </w:rPr>
              <w:t>-1。</w:t>
            </w:r>
          </w:p>
          <w:p w14:paraId="25CF5994">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表2.</w:t>
            </w:r>
            <w:r>
              <w:rPr>
                <w:rFonts w:hint="eastAsia"/>
                <w:b/>
                <w:color w:val="000000" w:themeColor="text1"/>
                <w:szCs w:val="21"/>
                <w:highlight w:val="none"/>
                <w:lang w:val="en-US" w:eastAsia="zh-CN"/>
                <w14:textFill>
                  <w14:solidFill>
                    <w14:schemeClr w14:val="tx1"/>
                  </w14:solidFill>
                </w14:textFill>
              </w:rPr>
              <w:t>9</w:t>
            </w:r>
            <w:r>
              <w:rPr>
                <w:b/>
                <w:color w:val="000000" w:themeColor="text1"/>
                <w:szCs w:val="21"/>
                <w:highlight w:val="none"/>
                <w14:textFill>
                  <w14:solidFill>
                    <w14:schemeClr w14:val="tx1"/>
                  </w14:solidFill>
                </w14:textFill>
              </w:rPr>
              <w:t>-1  本项目</w:t>
            </w:r>
            <w:r>
              <w:rPr>
                <w:rFonts w:hint="eastAsia"/>
                <w:b/>
                <w:color w:val="000000" w:themeColor="text1"/>
                <w:szCs w:val="21"/>
                <w:highlight w:val="none"/>
                <w:lang w:val="en-US" w:eastAsia="zh-CN"/>
                <w14:textFill>
                  <w14:solidFill>
                    <w14:schemeClr w14:val="tx1"/>
                  </w14:solidFill>
                </w14:textFill>
              </w:rPr>
              <w:t>印刷</w:t>
            </w:r>
            <w:r>
              <w:rPr>
                <w:b/>
                <w:color w:val="000000" w:themeColor="text1"/>
                <w:szCs w:val="21"/>
                <w:highlight w:val="none"/>
                <w14:textFill>
                  <w14:solidFill>
                    <w14:schemeClr w14:val="tx1"/>
                  </w14:solidFill>
                </w14:textFill>
              </w:rPr>
              <w:t>参数表</w:t>
            </w:r>
          </w:p>
          <w:tbl>
            <w:tblPr>
              <w:tblStyle w:val="2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1652"/>
              <w:gridCol w:w="1025"/>
              <w:gridCol w:w="1234"/>
              <w:gridCol w:w="1007"/>
              <w:gridCol w:w="849"/>
              <w:gridCol w:w="871"/>
              <w:gridCol w:w="871"/>
            </w:tblGrid>
            <w:tr w14:paraId="25C5DF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noWrap w:val="0"/>
                  <w:vAlign w:val="center"/>
                </w:tcPr>
                <w:p w14:paraId="676F39BB">
                  <w:pPr>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涂层</w:t>
                  </w:r>
                </w:p>
              </w:tc>
              <w:tc>
                <w:tcPr>
                  <w:tcW w:w="0" w:type="auto"/>
                  <w:noWrap w:val="0"/>
                  <w:vAlign w:val="center"/>
                </w:tcPr>
                <w:p w14:paraId="03153C35">
                  <w:pPr>
                    <w:snapToGrid w:val="0"/>
                    <w:jc w:val="center"/>
                    <w:rPr>
                      <w:b/>
                      <w:color w:val="000000" w:themeColor="text1"/>
                      <w:szCs w:val="21"/>
                      <w:highlight w:val="none"/>
                      <w14:textFill>
                        <w14:solidFill>
                          <w14:schemeClr w14:val="tx1"/>
                        </w14:solidFill>
                      </w14:textFill>
                    </w:rPr>
                  </w:pPr>
                  <w:r>
                    <w:rPr>
                      <w:rFonts w:hint="eastAsia"/>
                      <w:b/>
                      <w:color w:val="000000" w:themeColor="text1"/>
                      <w:szCs w:val="21"/>
                      <w:highlight w:val="none"/>
                      <w:lang w:val="en-US" w:eastAsia="zh-CN"/>
                      <w14:textFill>
                        <w14:solidFill>
                          <w14:schemeClr w14:val="tx1"/>
                        </w14:solidFill>
                      </w14:textFill>
                    </w:rPr>
                    <w:t>印刷</w:t>
                  </w:r>
                  <w:r>
                    <w:rPr>
                      <w:b/>
                      <w:color w:val="000000" w:themeColor="text1"/>
                      <w:szCs w:val="21"/>
                      <w:highlight w:val="none"/>
                      <w14:textFill>
                        <w14:solidFill>
                          <w14:schemeClr w14:val="tx1"/>
                        </w14:solidFill>
                      </w14:textFill>
                    </w:rPr>
                    <w:t>面积（m</w:t>
                  </w:r>
                  <w:r>
                    <w:rPr>
                      <w:b/>
                      <w:color w:val="000000" w:themeColor="text1"/>
                      <w:szCs w:val="21"/>
                      <w:highlight w:val="none"/>
                      <w:vertAlign w:val="superscript"/>
                      <w14:textFill>
                        <w14:solidFill>
                          <w14:schemeClr w14:val="tx1"/>
                        </w14:solidFill>
                      </w14:textFill>
                    </w:rPr>
                    <w:t>2</w:t>
                  </w:r>
                  <w:r>
                    <w:rPr>
                      <w:b/>
                      <w:color w:val="000000" w:themeColor="text1"/>
                      <w:szCs w:val="21"/>
                      <w:highlight w:val="none"/>
                      <w14:textFill>
                        <w14:solidFill>
                          <w14:schemeClr w14:val="tx1"/>
                        </w14:solidFill>
                      </w14:textFill>
                    </w:rPr>
                    <w:t>/a）</w:t>
                  </w:r>
                </w:p>
              </w:tc>
              <w:tc>
                <w:tcPr>
                  <w:tcW w:w="0" w:type="auto"/>
                  <w:noWrap w:val="0"/>
                  <w:vAlign w:val="center"/>
                </w:tcPr>
                <w:p w14:paraId="3D7D342D">
                  <w:pPr>
                    <w:snapToGrid w:val="0"/>
                    <w:jc w:val="center"/>
                    <w:rPr>
                      <w:b/>
                      <w:color w:val="000000" w:themeColor="text1"/>
                      <w:szCs w:val="21"/>
                      <w:highlight w:val="none"/>
                      <w14:textFill>
                        <w14:solidFill>
                          <w14:schemeClr w14:val="tx1"/>
                        </w14:solidFill>
                      </w14:textFill>
                    </w:rPr>
                  </w:pPr>
                  <w:r>
                    <w:rPr>
                      <w:rFonts w:hint="eastAsia"/>
                      <w:b/>
                      <w:color w:val="000000" w:themeColor="text1"/>
                      <w:szCs w:val="21"/>
                      <w:highlight w:val="none"/>
                      <w:lang w:val="en-US" w:eastAsia="zh-CN"/>
                      <w14:textFill>
                        <w14:solidFill>
                          <w14:schemeClr w14:val="tx1"/>
                        </w14:solidFill>
                      </w14:textFill>
                    </w:rPr>
                    <w:t>印刷</w:t>
                  </w:r>
                  <w:r>
                    <w:rPr>
                      <w:b/>
                      <w:color w:val="000000" w:themeColor="text1"/>
                      <w:szCs w:val="21"/>
                      <w:highlight w:val="none"/>
                      <w14:textFill>
                        <w14:solidFill>
                          <w14:schemeClr w14:val="tx1"/>
                        </w14:solidFill>
                      </w14:textFill>
                    </w:rPr>
                    <w:t>厚度</w:t>
                  </w:r>
                </w:p>
                <w:p w14:paraId="4899012A">
                  <w:pPr>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（µm）</w:t>
                  </w:r>
                </w:p>
              </w:tc>
              <w:tc>
                <w:tcPr>
                  <w:tcW w:w="0" w:type="auto"/>
                  <w:noWrap w:val="0"/>
                  <w:vAlign w:val="center"/>
                </w:tcPr>
                <w:p w14:paraId="3E3ECC48">
                  <w:pPr>
                    <w:snapToGrid w:val="0"/>
                    <w:jc w:val="center"/>
                    <w:rPr>
                      <w:b/>
                      <w:color w:val="000000" w:themeColor="text1"/>
                      <w:szCs w:val="21"/>
                      <w:highlight w:val="none"/>
                      <w14:textFill>
                        <w14:solidFill>
                          <w14:schemeClr w14:val="tx1"/>
                        </w14:solidFill>
                      </w14:textFill>
                    </w:rPr>
                  </w:pPr>
                  <w:r>
                    <w:rPr>
                      <w:rFonts w:hint="eastAsia"/>
                      <w:b/>
                      <w:color w:val="000000" w:themeColor="text1"/>
                      <w:szCs w:val="21"/>
                      <w:highlight w:val="none"/>
                      <w:lang w:val="en-US" w:eastAsia="zh-CN"/>
                      <w14:textFill>
                        <w14:solidFill>
                          <w14:schemeClr w14:val="tx1"/>
                        </w14:solidFill>
                      </w14:textFill>
                    </w:rPr>
                    <w:t>印刷层</w:t>
                  </w:r>
                  <w:r>
                    <w:rPr>
                      <w:b/>
                      <w:color w:val="000000" w:themeColor="text1"/>
                      <w:szCs w:val="21"/>
                      <w:highlight w:val="none"/>
                      <w14:textFill>
                        <w14:solidFill>
                          <w14:schemeClr w14:val="tx1"/>
                        </w14:solidFill>
                      </w14:textFill>
                    </w:rPr>
                    <w:t>密度</w:t>
                  </w:r>
                </w:p>
                <w:p w14:paraId="76171FC4">
                  <w:pPr>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w:t>
                  </w:r>
                  <w:r>
                    <w:rPr>
                      <w:rFonts w:hint="eastAsia"/>
                      <w:b/>
                      <w:color w:val="000000" w:themeColor="text1"/>
                      <w:szCs w:val="21"/>
                      <w:highlight w:val="none"/>
                      <w14:textFill>
                        <w14:solidFill>
                          <w14:schemeClr w14:val="tx1"/>
                        </w14:solidFill>
                      </w14:textFill>
                    </w:rPr>
                    <w:t>g</w:t>
                  </w:r>
                  <w:r>
                    <w:rPr>
                      <w:b/>
                      <w:color w:val="000000" w:themeColor="text1"/>
                      <w:szCs w:val="21"/>
                      <w:highlight w:val="none"/>
                      <w14:textFill>
                        <w14:solidFill>
                          <w14:schemeClr w14:val="tx1"/>
                        </w14:solidFill>
                      </w14:textFill>
                    </w:rPr>
                    <w:t>/</w:t>
                  </w:r>
                  <w:r>
                    <w:rPr>
                      <w:rFonts w:hint="eastAsia"/>
                      <w:b/>
                      <w:color w:val="000000" w:themeColor="text1"/>
                      <w:szCs w:val="21"/>
                      <w:highlight w:val="none"/>
                      <w14:textFill>
                        <w14:solidFill>
                          <w14:schemeClr w14:val="tx1"/>
                        </w14:solidFill>
                      </w14:textFill>
                    </w:rPr>
                    <w:t>c</w:t>
                  </w:r>
                  <w:r>
                    <w:rPr>
                      <w:b/>
                      <w:color w:val="000000" w:themeColor="text1"/>
                      <w:szCs w:val="21"/>
                      <w:highlight w:val="none"/>
                      <w14:textFill>
                        <w14:solidFill>
                          <w14:schemeClr w14:val="tx1"/>
                        </w14:solidFill>
                      </w14:textFill>
                    </w:rPr>
                    <w:t>m</w:t>
                  </w:r>
                  <w:r>
                    <w:rPr>
                      <w:b/>
                      <w:color w:val="000000" w:themeColor="text1"/>
                      <w:szCs w:val="21"/>
                      <w:highlight w:val="none"/>
                      <w:vertAlign w:val="superscript"/>
                      <w14:textFill>
                        <w14:solidFill>
                          <w14:schemeClr w14:val="tx1"/>
                        </w14:solidFill>
                      </w14:textFill>
                    </w:rPr>
                    <w:t>3</w:t>
                  </w:r>
                  <w:r>
                    <w:rPr>
                      <w:b/>
                      <w:color w:val="000000" w:themeColor="text1"/>
                      <w:szCs w:val="21"/>
                      <w:highlight w:val="none"/>
                      <w14:textFill>
                        <w14:solidFill>
                          <w14:schemeClr w14:val="tx1"/>
                        </w14:solidFill>
                      </w14:textFill>
                    </w:rPr>
                    <w:t>）</w:t>
                  </w:r>
                </w:p>
              </w:tc>
              <w:tc>
                <w:tcPr>
                  <w:tcW w:w="0" w:type="auto"/>
                  <w:noWrap w:val="0"/>
                  <w:vAlign w:val="center"/>
                </w:tcPr>
                <w:p w14:paraId="615435AB">
                  <w:pPr>
                    <w:snapToGrid w:val="0"/>
                    <w:jc w:val="center"/>
                    <w:rPr>
                      <w:b/>
                      <w:color w:val="000000" w:themeColor="text1"/>
                      <w:szCs w:val="21"/>
                      <w:highlight w:val="none"/>
                      <w14:textFill>
                        <w14:solidFill>
                          <w14:schemeClr w14:val="tx1"/>
                        </w14:solidFill>
                      </w14:textFill>
                    </w:rPr>
                  </w:pPr>
                  <w:r>
                    <w:rPr>
                      <w:rFonts w:hint="eastAsia"/>
                      <w:b/>
                      <w:color w:val="000000" w:themeColor="text1"/>
                      <w:szCs w:val="21"/>
                      <w:highlight w:val="none"/>
                      <w:lang w:val="en-US" w:eastAsia="zh-CN"/>
                      <w14:textFill>
                        <w14:solidFill>
                          <w14:schemeClr w14:val="tx1"/>
                        </w14:solidFill>
                      </w14:textFill>
                    </w:rPr>
                    <w:t>油墨</w:t>
                  </w:r>
                  <w:r>
                    <w:rPr>
                      <w:b/>
                      <w:color w:val="000000" w:themeColor="text1"/>
                      <w:szCs w:val="21"/>
                      <w:highlight w:val="none"/>
                      <w14:textFill>
                        <w14:solidFill>
                          <w14:schemeClr w14:val="tx1"/>
                        </w14:solidFill>
                      </w14:textFill>
                    </w:rPr>
                    <w:t>重量</w:t>
                  </w:r>
                </w:p>
                <w:p w14:paraId="5954D130">
                  <w:pPr>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（t/a）</w:t>
                  </w:r>
                </w:p>
              </w:tc>
              <w:tc>
                <w:tcPr>
                  <w:tcW w:w="0" w:type="auto"/>
                  <w:noWrap w:val="0"/>
                  <w:vAlign w:val="center"/>
                </w:tcPr>
                <w:p w14:paraId="54101E69">
                  <w:pPr>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上</w:t>
                  </w:r>
                  <w:r>
                    <w:rPr>
                      <w:rFonts w:hint="eastAsia"/>
                      <w:b/>
                      <w:color w:val="000000" w:themeColor="text1"/>
                      <w:szCs w:val="21"/>
                      <w:highlight w:val="none"/>
                      <w:lang w:val="en-US" w:eastAsia="zh-CN"/>
                      <w14:textFill>
                        <w14:solidFill>
                          <w14:schemeClr w14:val="tx1"/>
                        </w14:solidFill>
                      </w14:textFill>
                    </w:rPr>
                    <w:t>墨</w:t>
                  </w:r>
                  <w:r>
                    <w:rPr>
                      <w:b/>
                      <w:color w:val="000000" w:themeColor="text1"/>
                      <w:szCs w:val="21"/>
                      <w:highlight w:val="none"/>
                      <w14:textFill>
                        <w14:solidFill>
                          <w14:schemeClr w14:val="tx1"/>
                        </w14:solidFill>
                      </w14:textFill>
                    </w:rPr>
                    <w:t>率</w:t>
                  </w:r>
                </w:p>
                <w:p w14:paraId="46817E28">
                  <w:pPr>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w:t>
                  </w:r>
                </w:p>
              </w:tc>
              <w:tc>
                <w:tcPr>
                  <w:tcW w:w="0" w:type="auto"/>
                  <w:noWrap w:val="0"/>
                  <w:vAlign w:val="center"/>
                </w:tcPr>
                <w:p w14:paraId="6A32A335">
                  <w:pPr>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固含量</w:t>
                  </w:r>
                </w:p>
                <w:p w14:paraId="344CF7C2">
                  <w:pPr>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w:t>
                  </w:r>
                  <w:r>
                    <w:rPr>
                      <w:rFonts w:hint="eastAsia"/>
                      <w:b/>
                      <w:color w:val="000000" w:themeColor="text1"/>
                      <w:szCs w:val="21"/>
                      <w:highlight w:val="none"/>
                      <w14:textFill>
                        <w14:solidFill>
                          <w14:schemeClr w14:val="tx1"/>
                        </w14:solidFill>
                      </w14:textFill>
                    </w:rPr>
                    <w:t>t/a</w:t>
                  </w:r>
                  <w:r>
                    <w:rPr>
                      <w:b/>
                      <w:color w:val="000000" w:themeColor="text1"/>
                      <w:szCs w:val="21"/>
                      <w:highlight w:val="none"/>
                      <w14:textFill>
                        <w14:solidFill>
                          <w14:schemeClr w14:val="tx1"/>
                        </w14:solidFill>
                      </w14:textFill>
                    </w:rPr>
                    <w:t>）</w:t>
                  </w:r>
                </w:p>
              </w:tc>
              <w:tc>
                <w:tcPr>
                  <w:tcW w:w="0" w:type="auto"/>
                  <w:noWrap w:val="0"/>
                  <w:vAlign w:val="center"/>
                </w:tcPr>
                <w:p w14:paraId="45C12073">
                  <w:pPr>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用量</w:t>
                  </w:r>
                </w:p>
                <w:p w14:paraId="2BDA929E">
                  <w:pPr>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（t/a）</w:t>
                  </w:r>
                </w:p>
              </w:tc>
            </w:tr>
            <w:tr w14:paraId="4BEA5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noWrap w:val="0"/>
                  <w:vAlign w:val="center"/>
                </w:tcPr>
                <w:p w14:paraId="574EC7C8">
                  <w:pPr>
                    <w:snapToGrid w:val="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油墨</w:t>
                  </w:r>
                </w:p>
              </w:tc>
              <w:tc>
                <w:tcPr>
                  <w:tcW w:w="0" w:type="auto"/>
                  <w:noWrap w:val="0"/>
                  <w:vAlign w:val="center"/>
                </w:tcPr>
                <w:p w14:paraId="4DE545AF">
                  <w:pPr>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771.7</w:t>
                  </w:r>
                </w:p>
              </w:tc>
              <w:tc>
                <w:tcPr>
                  <w:tcW w:w="0" w:type="auto"/>
                  <w:noWrap w:val="0"/>
                  <w:vAlign w:val="center"/>
                </w:tcPr>
                <w:p w14:paraId="2C7070F9">
                  <w:pPr>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150</w:t>
                  </w:r>
                </w:p>
              </w:tc>
              <w:tc>
                <w:tcPr>
                  <w:tcW w:w="0" w:type="auto"/>
                  <w:noWrap w:val="0"/>
                  <w:vAlign w:val="center"/>
                </w:tcPr>
                <w:p w14:paraId="0485BCAB">
                  <w:pPr>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1.06</w:t>
                  </w:r>
                </w:p>
              </w:tc>
              <w:tc>
                <w:tcPr>
                  <w:tcW w:w="0" w:type="auto"/>
                  <w:noWrap w:val="0"/>
                  <w:vAlign w:val="center"/>
                </w:tcPr>
                <w:p w14:paraId="391C6AAB">
                  <w:pPr>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0.1227</w:t>
                  </w:r>
                </w:p>
              </w:tc>
              <w:tc>
                <w:tcPr>
                  <w:tcW w:w="0" w:type="auto"/>
                  <w:noWrap w:val="0"/>
                  <w:vAlign w:val="center"/>
                </w:tcPr>
                <w:p w14:paraId="7E356327">
                  <w:pPr>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95</w:t>
                  </w:r>
                </w:p>
              </w:tc>
              <w:tc>
                <w:tcPr>
                  <w:tcW w:w="0" w:type="auto"/>
                  <w:noWrap w:val="0"/>
                  <w:vAlign w:val="center"/>
                </w:tcPr>
                <w:p w14:paraId="219DE5D7">
                  <w:pPr>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0.1292</w:t>
                  </w:r>
                </w:p>
              </w:tc>
              <w:tc>
                <w:tcPr>
                  <w:tcW w:w="0" w:type="auto"/>
                  <w:noWrap w:val="0"/>
                  <w:vAlign w:val="center"/>
                </w:tcPr>
                <w:p w14:paraId="4FDEF6CC">
                  <w:pPr>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0.2</w:t>
                  </w:r>
                </w:p>
              </w:tc>
            </w:tr>
          </w:tbl>
          <w:p w14:paraId="71F646C5">
            <w:pPr>
              <w:spacing w:line="420" w:lineRule="exact"/>
              <w:rPr>
                <w:rFonts w:hint="default" w:eastAsia="宋体"/>
                <w:b/>
                <w:bCs/>
                <w:color w:val="000000" w:themeColor="text1"/>
                <w:kern w:val="0"/>
                <w:szCs w:val="16"/>
                <w:lang w:val="en-US" w:eastAsia="zh-CN"/>
                <w14:textFill>
                  <w14:solidFill>
                    <w14:schemeClr w14:val="tx1"/>
                  </w14:solidFill>
                </w14:textFill>
              </w:rPr>
            </w:pPr>
            <w:r>
              <w:rPr>
                <w:rFonts w:hint="eastAsia"/>
                <w:b/>
                <w:bCs/>
                <w:color w:val="000000" w:themeColor="text1"/>
                <w:kern w:val="0"/>
                <w:szCs w:val="16"/>
                <w:lang w:val="en-US" w:eastAsia="zh-CN"/>
                <w14:textFill>
                  <w14:solidFill>
                    <w14:schemeClr w14:val="tx1"/>
                  </w14:solidFill>
                </w14:textFill>
              </w:rPr>
              <w:t>注：工具箱中约10万个需要印刷。</w:t>
            </w:r>
          </w:p>
          <w:p w14:paraId="549B148D">
            <w:pPr>
              <w:spacing w:line="420" w:lineRule="exact"/>
              <w:ind w:firstLine="422" w:firstLineChars="200"/>
              <w:rPr>
                <w:b/>
                <w:bCs/>
                <w:color w:val="000000" w:themeColor="text1"/>
                <w:kern w:val="0"/>
                <w:szCs w:val="16"/>
                <w14:textFill>
                  <w14:solidFill>
                    <w14:schemeClr w14:val="tx1"/>
                  </w14:solidFill>
                </w14:textFill>
              </w:rPr>
            </w:pPr>
            <w:r>
              <w:rPr>
                <w:rFonts w:hint="eastAsia"/>
                <w:b/>
                <w:bCs/>
                <w:color w:val="000000" w:themeColor="text1"/>
                <w:kern w:val="0"/>
                <w:szCs w:val="16"/>
                <w14:textFill>
                  <w14:solidFill>
                    <w14:schemeClr w14:val="tx1"/>
                  </w14:solidFill>
                </w14:textFill>
              </w:rPr>
              <w:t>2.</w:t>
            </w:r>
            <w:r>
              <w:rPr>
                <w:rFonts w:hint="eastAsia"/>
                <w:b/>
                <w:bCs/>
                <w:color w:val="000000" w:themeColor="text1"/>
                <w:kern w:val="0"/>
                <w:szCs w:val="16"/>
                <w:lang w:val="en-US" w:eastAsia="zh-CN"/>
                <w14:textFill>
                  <w14:solidFill>
                    <w14:schemeClr w14:val="tx1"/>
                  </w14:solidFill>
                </w14:textFill>
              </w:rPr>
              <w:t>10</w:t>
            </w:r>
            <w:r>
              <w:rPr>
                <w:rFonts w:hint="eastAsia"/>
                <w:b/>
                <w:bCs/>
                <w:color w:val="000000" w:themeColor="text1"/>
                <w:kern w:val="0"/>
                <w:szCs w:val="16"/>
                <w14:textFill>
                  <w14:solidFill>
                    <w14:schemeClr w14:val="tx1"/>
                  </w14:solidFill>
                </w14:textFill>
              </w:rPr>
              <w:t>建设项目周边概况</w:t>
            </w:r>
          </w:p>
          <w:p w14:paraId="526DFC1C">
            <w:pPr>
              <w:adjustRightInd w:val="0"/>
              <w:snapToGrid w:val="0"/>
              <w:spacing w:line="420" w:lineRule="exact"/>
              <w:ind w:firstLine="420" w:firstLineChars="200"/>
              <w:rPr>
                <w:color w:val="000000" w:themeColor="text1"/>
                <w:kern w:val="0"/>
                <w:szCs w:val="16"/>
                <w14:textFill>
                  <w14:solidFill>
                    <w14:schemeClr w14:val="tx1"/>
                  </w14:solidFill>
                </w14:textFill>
              </w:rPr>
            </w:pPr>
            <w:r>
              <w:rPr>
                <w:rFonts w:hint="eastAsia"/>
                <w:color w:val="000000" w:themeColor="text1"/>
                <w:kern w:val="0"/>
                <w:szCs w:val="16"/>
                <w14:textFill>
                  <w14:solidFill>
                    <w14:schemeClr w14:val="tx1"/>
                  </w14:solidFill>
                </w14:textFill>
              </w:rPr>
              <w:t>本项目位于常熟</w:t>
            </w:r>
            <w:r>
              <w:rPr>
                <w:rFonts w:hint="eastAsia"/>
                <w:color w:val="000000" w:themeColor="text1"/>
                <w:kern w:val="0"/>
                <w:szCs w:val="16"/>
                <w:highlight w:val="none"/>
                <w14:textFill>
                  <w14:solidFill>
                    <w14:schemeClr w14:val="tx1"/>
                  </w14:solidFill>
                </w14:textFill>
              </w:rPr>
              <w:t>市</w:t>
            </w:r>
            <w:r>
              <w:rPr>
                <w:rFonts w:hint="eastAsia"/>
                <w:color w:val="000000" w:themeColor="text1"/>
                <w:szCs w:val="21"/>
                <w:highlight w:val="none"/>
                <w14:textFill>
                  <w14:solidFill>
                    <w14:schemeClr w14:val="tx1"/>
                  </w14:solidFill>
                </w14:textFill>
              </w:rPr>
              <w:t>东南街道</w:t>
            </w:r>
            <w:r>
              <w:rPr>
                <w:rFonts w:hint="eastAsia"/>
                <w:color w:val="000000" w:themeColor="text1"/>
                <w:szCs w:val="21"/>
                <w:highlight w:val="none"/>
                <w:lang w:val="en-US" w:eastAsia="zh-CN"/>
                <w14:textFill>
                  <w14:solidFill>
                    <w14:schemeClr w14:val="tx1"/>
                  </w14:solidFill>
                </w14:textFill>
              </w:rPr>
              <w:t>银环路28-1号10幢102</w:t>
            </w:r>
            <w:r>
              <w:rPr>
                <w:rFonts w:hint="eastAsia"/>
                <w:color w:val="000000" w:themeColor="text1"/>
                <w:kern w:val="0"/>
                <w:szCs w:val="16"/>
                <w:highlight w:val="none"/>
                <w14:textFill>
                  <w14:solidFill>
                    <w14:schemeClr w14:val="tx1"/>
                  </w14:solidFill>
                </w14:textFill>
              </w:rPr>
              <w:t>，地理位置详见附图1。</w:t>
            </w:r>
            <w:r>
              <w:rPr>
                <w:rFonts w:hint="eastAsia"/>
                <w:color w:val="000000" w:themeColor="text1"/>
                <w:kern w:val="0"/>
                <w:szCs w:val="16"/>
                <w:highlight w:val="none"/>
                <w14:textFill>
                  <w14:solidFill>
                    <w14:schemeClr w14:val="tx1"/>
                  </w14:solidFill>
                </w14:textFill>
              </w:rPr>
              <w:t>本项目东</w:t>
            </w:r>
            <w:r>
              <w:rPr>
                <w:rFonts w:hint="eastAsia"/>
                <w:color w:val="000000" w:themeColor="text1"/>
                <w:kern w:val="0"/>
                <w:szCs w:val="16"/>
                <w:highlight w:val="none"/>
                <w:lang w:val="en-US" w:eastAsia="zh-CN"/>
                <w14:textFill>
                  <w14:solidFill>
                    <w14:schemeClr w14:val="tx1"/>
                  </w14:solidFill>
                </w14:textFill>
              </w:rPr>
              <w:t>南</w:t>
            </w:r>
            <w:r>
              <w:rPr>
                <w:rFonts w:hint="eastAsia"/>
                <w:color w:val="000000" w:themeColor="text1"/>
                <w:kern w:val="0"/>
                <w:szCs w:val="16"/>
                <w:highlight w:val="none"/>
                <w14:textFill>
                  <w14:solidFill>
                    <w14:schemeClr w14:val="tx1"/>
                  </w14:solidFill>
                </w14:textFill>
              </w:rPr>
              <w:t>侧为</w:t>
            </w:r>
            <w:r>
              <w:rPr>
                <w:rFonts w:hint="eastAsia"/>
                <w:color w:val="000000" w:themeColor="text1"/>
                <w:kern w:val="0"/>
                <w:szCs w:val="16"/>
                <w:highlight w:val="none"/>
                <w:lang w:val="en-US" w:eastAsia="zh-CN"/>
                <w14:textFill>
                  <w14:solidFill>
                    <w14:schemeClr w14:val="tx1"/>
                  </w14:solidFill>
                </w14:textFill>
              </w:rPr>
              <w:t>产业园内2号厂房</w:t>
            </w:r>
            <w:r>
              <w:rPr>
                <w:rFonts w:hint="eastAsia"/>
                <w:color w:val="000000" w:themeColor="text1"/>
                <w:kern w:val="0"/>
                <w:szCs w:val="16"/>
                <w:highlight w:val="none"/>
                <w14:textFill>
                  <w14:solidFill>
                    <w14:schemeClr w14:val="tx1"/>
                  </w14:solidFill>
                </w14:textFill>
              </w:rPr>
              <w:t>，</w:t>
            </w:r>
            <w:r>
              <w:rPr>
                <w:rFonts w:hint="eastAsia"/>
                <w:color w:val="000000" w:themeColor="text1"/>
                <w:kern w:val="0"/>
                <w:szCs w:val="16"/>
                <w:highlight w:val="none"/>
                <w:lang w:val="en-US" w:eastAsia="zh-CN"/>
                <w14:textFill>
                  <w14:solidFill>
                    <w14:schemeClr w14:val="tx1"/>
                  </w14:solidFill>
                </w14:textFill>
              </w:rPr>
              <w:t>西</w:t>
            </w:r>
            <w:r>
              <w:rPr>
                <w:rFonts w:hint="eastAsia"/>
                <w:color w:val="000000" w:themeColor="text1"/>
                <w:kern w:val="0"/>
                <w:szCs w:val="16"/>
                <w:highlight w:val="none"/>
                <w14:textFill>
                  <w14:solidFill>
                    <w14:schemeClr w14:val="tx1"/>
                  </w14:solidFill>
                </w14:textFill>
              </w:rPr>
              <w:t>南侧</w:t>
            </w:r>
            <w:r>
              <w:rPr>
                <w:rFonts w:hint="eastAsia"/>
                <w:color w:val="000000" w:themeColor="text1"/>
                <w:szCs w:val="21"/>
                <w:highlight w:val="none"/>
                <w14:textFill>
                  <w14:solidFill>
                    <w14:schemeClr w14:val="tx1"/>
                  </w14:solidFill>
                </w14:textFill>
              </w:rPr>
              <w:t>为</w:t>
            </w:r>
            <w:r>
              <w:rPr>
                <w:rFonts w:hint="eastAsia"/>
                <w:color w:val="000000" w:themeColor="text1"/>
                <w:kern w:val="0"/>
                <w:szCs w:val="16"/>
                <w:highlight w:val="none"/>
                <w:lang w:val="en-US" w:eastAsia="zh-CN"/>
                <w14:textFill>
                  <w14:solidFill>
                    <w14:schemeClr w14:val="tx1"/>
                  </w14:solidFill>
                </w14:textFill>
              </w:rPr>
              <w:t>产业园内8号厂房</w:t>
            </w:r>
            <w:r>
              <w:rPr>
                <w:rFonts w:hint="eastAsia"/>
                <w:color w:val="000000" w:themeColor="text1"/>
                <w:kern w:val="0"/>
                <w:szCs w:val="16"/>
                <w:highlight w:val="none"/>
                <w14:textFill>
                  <w14:solidFill>
                    <w14:schemeClr w14:val="tx1"/>
                  </w14:solidFill>
                </w14:textFill>
              </w:rPr>
              <w:t>，西</w:t>
            </w:r>
            <w:r>
              <w:rPr>
                <w:rFonts w:hint="eastAsia"/>
                <w:color w:val="000000" w:themeColor="text1"/>
                <w:kern w:val="0"/>
                <w:szCs w:val="16"/>
                <w:highlight w:val="none"/>
                <w:lang w:val="en-US" w:eastAsia="zh-CN"/>
                <w14:textFill>
                  <w14:solidFill>
                    <w14:schemeClr w14:val="tx1"/>
                  </w14:solidFill>
                </w14:textFill>
              </w:rPr>
              <w:t>北</w:t>
            </w:r>
            <w:r>
              <w:rPr>
                <w:rFonts w:hint="eastAsia"/>
                <w:color w:val="000000" w:themeColor="text1"/>
                <w:szCs w:val="21"/>
                <w:highlight w:val="none"/>
                <w14:textFill>
                  <w14:solidFill>
                    <w14:schemeClr w14:val="tx1"/>
                  </w14:solidFill>
                </w14:textFill>
              </w:rPr>
              <w:t>侧为</w:t>
            </w:r>
            <w:r>
              <w:rPr>
                <w:rFonts w:hint="eastAsia"/>
                <w:color w:val="000000" w:themeColor="text1"/>
                <w:kern w:val="0"/>
                <w:szCs w:val="16"/>
                <w:highlight w:val="none"/>
                <w:lang w:val="en-US" w:eastAsia="zh-CN"/>
                <w14:textFill>
                  <w14:solidFill>
                    <w14:schemeClr w14:val="tx1"/>
                  </w14:solidFill>
                </w14:textFill>
              </w:rPr>
              <w:t>产业园内11号厂房</w:t>
            </w:r>
            <w:r>
              <w:rPr>
                <w:rFonts w:hint="eastAsia"/>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东</w:t>
            </w:r>
            <w:r>
              <w:rPr>
                <w:rFonts w:hint="eastAsia"/>
                <w:color w:val="000000" w:themeColor="text1"/>
                <w:szCs w:val="21"/>
                <w:highlight w:val="none"/>
                <w14:textFill>
                  <w14:solidFill>
                    <w14:schemeClr w14:val="tx1"/>
                  </w14:solidFill>
                </w14:textFill>
              </w:rPr>
              <w:t>北侧为</w:t>
            </w:r>
            <w:r>
              <w:rPr>
                <w:rFonts w:hint="eastAsia"/>
                <w:color w:val="000000" w:themeColor="text1"/>
                <w:szCs w:val="21"/>
                <w:highlight w:val="none"/>
                <w:lang w:val="en-US" w:eastAsia="zh-CN"/>
                <w14:textFill>
                  <w14:solidFill>
                    <w14:schemeClr w14:val="tx1"/>
                  </w14:solidFill>
                </w14:textFill>
              </w:rPr>
              <w:t>产业园内道路</w:t>
            </w:r>
            <w:r>
              <w:rPr>
                <w:rFonts w:hint="eastAsia"/>
                <w:color w:val="000000" w:themeColor="text1"/>
                <w:szCs w:val="21"/>
                <w:highlight w:val="none"/>
                <w14:textFill>
                  <w14:solidFill>
                    <w14:schemeClr w14:val="tx1"/>
                  </w14:solidFill>
                </w14:textFill>
              </w:rPr>
              <w:t>，</w:t>
            </w:r>
            <w:r>
              <w:rPr>
                <w:rFonts w:hint="eastAsia"/>
                <w:color w:val="000000" w:themeColor="text1"/>
                <w:kern w:val="0"/>
                <w:szCs w:val="16"/>
                <w:highlight w:val="none"/>
                <w14:textFill>
                  <w14:solidFill>
                    <w14:schemeClr w14:val="tx1"/>
                  </w14:solidFill>
                </w14:textFill>
              </w:rPr>
              <w:t>距离本项目厂界最近的环境敏感目标为</w:t>
            </w:r>
            <w:r>
              <w:rPr>
                <w:rFonts w:hint="eastAsia"/>
                <w:color w:val="000000" w:themeColor="text1"/>
                <w:kern w:val="0"/>
                <w:szCs w:val="16"/>
                <w:highlight w:val="none"/>
                <w:lang w:val="en-US" w:eastAsia="zh-CN"/>
                <w14:textFill>
                  <w14:solidFill>
                    <w14:schemeClr w14:val="tx1"/>
                  </w14:solidFill>
                </w14:textFill>
              </w:rPr>
              <w:t>北</w:t>
            </w:r>
            <w:r>
              <w:rPr>
                <w:rFonts w:hint="eastAsia"/>
                <w:color w:val="000000" w:themeColor="text1"/>
                <w:kern w:val="0"/>
                <w:szCs w:val="16"/>
                <w:highlight w:val="none"/>
                <w14:textFill>
                  <w14:solidFill>
                    <w14:schemeClr w14:val="tx1"/>
                  </w14:solidFill>
                </w14:textFill>
              </w:rPr>
              <w:t>侧</w:t>
            </w:r>
            <w:r>
              <w:rPr>
                <w:rFonts w:hint="eastAsia"/>
                <w:color w:val="000000" w:themeColor="text1"/>
                <w:kern w:val="0"/>
                <w:szCs w:val="16"/>
                <w:highlight w:val="none"/>
                <w:lang w:val="en-US" w:eastAsia="zh-CN"/>
                <w14:textFill>
                  <w14:solidFill>
                    <w14:schemeClr w14:val="tx1"/>
                  </w14:solidFill>
                </w14:textFill>
              </w:rPr>
              <w:t>252</w:t>
            </w:r>
            <w:r>
              <w:rPr>
                <w:rFonts w:hint="eastAsia"/>
                <w:color w:val="000000" w:themeColor="text1"/>
                <w:kern w:val="0"/>
                <w:szCs w:val="16"/>
                <w:highlight w:val="none"/>
                <w14:textFill>
                  <w14:solidFill>
                    <w14:schemeClr w14:val="tx1"/>
                  </w14:solidFill>
                </w14:textFill>
              </w:rPr>
              <w:t>m处的</w:t>
            </w:r>
            <w:r>
              <w:rPr>
                <w:rFonts w:hint="eastAsia"/>
                <w:color w:val="000000" w:themeColor="text1"/>
                <w:kern w:val="0"/>
                <w:szCs w:val="16"/>
                <w:highlight w:val="none"/>
                <w:lang w:val="en-US" w:eastAsia="zh-CN"/>
                <w14:textFill>
                  <w14:solidFill>
                    <w14:schemeClr w14:val="tx1"/>
                  </w14:solidFill>
                </w14:textFill>
              </w:rPr>
              <w:t>银环苑</w:t>
            </w:r>
            <w:r>
              <w:rPr>
                <w:rFonts w:hint="eastAsia"/>
                <w:color w:val="000000" w:themeColor="text1"/>
                <w:szCs w:val="21"/>
                <w:highlight w:val="none"/>
                <w14:textFill>
                  <w14:solidFill>
                    <w14:schemeClr w14:val="tx1"/>
                  </w14:solidFill>
                </w14:textFill>
              </w:rPr>
              <w:t>。本项目厂界周围</w:t>
            </w:r>
            <w:r>
              <w:rPr>
                <w:rFonts w:hint="eastAsia"/>
                <w:color w:val="000000" w:themeColor="text1"/>
                <w:kern w:val="0"/>
                <w:szCs w:val="16"/>
                <w:highlight w:val="none"/>
                <w14:textFill>
                  <w14:solidFill>
                    <w14:schemeClr w14:val="tx1"/>
                  </w14:solidFill>
                </w14:textFill>
              </w:rPr>
              <w:t>500米现状见附图</w:t>
            </w:r>
            <w:r>
              <w:rPr>
                <w:rFonts w:hint="eastAsia"/>
                <w:color w:val="000000" w:themeColor="text1"/>
                <w:kern w:val="0"/>
                <w:szCs w:val="16"/>
                <w:highlight w:val="none"/>
                <w:lang w:val="en-US" w:eastAsia="zh-CN"/>
                <w14:textFill>
                  <w14:solidFill>
                    <w14:schemeClr w14:val="tx1"/>
                  </w14:solidFill>
                </w14:textFill>
              </w:rPr>
              <w:t>6</w:t>
            </w:r>
            <w:r>
              <w:rPr>
                <w:rFonts w:hint="eastAsia"/>
                <w:color w:val="000000" w:themeColor="text1"/>
                <w:kern w:val="0"/>
                <w:szCs w:val="16"/>
                <w:highlight w:val="none"/>
                <w14:textFill>
                  <w14:solidFill>
                    <w14:schemeClr w14:val="tx1"/>
                  </w14:solidFill>
                </w14:textFill>
              </w:rPr>
              <w:t>，厂界四周现状彩色照片见附图</w:t>
            </w:r>
            <w:r>
              <w:rPr>
                <w:rFonts w:hint="eastAsia"/>
                <w:color w:val="000000" w:themeColor="text1"/>
                <w:kern w:val="0"/>
                <w:szCs w:val="16"/>
                <w:highlight w:val="none"/>
                <w:lang w:val="en-US" w:eastAsia="zh-CN"/>
                <w14:textFill>
                  <w14:solidFill>
                    <w14:schemeClr w14:val="tx1"/>
                  </w14:solidFill>
                </w14:textFill>
              </w:rPr>
              <w:t>8</w:t>
            </w:r>
            <w:r>
              <w:rPr>
                <w:rFonts w:hint="eastAsia"/>
                <w:color w:val="000000" w:themeColor="text1"/>
                <w:kern w:val="0"/>
                <w:szCs w:val="16"/>
                <w:highlight w:val="none"/>
                <w14:textFill>
                  <w14:solidFill>
                    <w14:schemeClr w14:val="tx1"/>
                  </w14:solidFill>
                </w14:textFill>
              </w:rPr>
              <w:t>。</w:t>
            </w:r>
          </w:p>
          <w:p w14:paraId="2756C18D">
            <w:pPr>
              <w:spacing w:line="420" w:lineRule="exact"/>
              <w:ind w:firstLine="422" w:firstLineChars="200"/>
              <w:rPr>
                <w:color w:val="000000" w:themeColor="text1"/>
                <w:kern w:val="0"/>
                <w:szCs w:val="16"/>
                <w14:textFill>
                  <w14:solidFill>
                    <w14:schemeClr w14:val="tx1"/>
                  </w14:solidFill>
                </w14:textFill>
              </w:rPr>
            </w:pPr>
            <w:r>
              <w:rPr>
                <w:b/>
                <w:bCs/>
                <w:color w:val="000000" w:themeColor="text1"/>
                <w:kern w:val="0"/>
                <w:szCs w:val="16"/>
                <w14:textFill>
                  <w14:solidFill>
                    <w14:schemeClr w14:val="tx1"/>
                  </w14:solidFill>
                </w14:textFill>
              </w:rPr>
              <w:t>2.</w:t>
            </w:r>
            <w:r>
              <w:rPr>
                <w:rFonts w:hint="eastAsia"/>
                <w:b/>
                <w:bCs/>
                <w:color w:val="000000" w:themeColor="text1"/>
                <w:kern w:val="0"/>
                <w:szCs w:val="16"/>
                <w:lang w:val="en-US" w:eastAsia="zh-CN"/>
                <w14:textFill>
                  <w14:solidFill>
                    <w14:schemeClr w14:val="tx1"/>
                  </w14:solidFill>
                </w14:textFill>
              </w:rPr>
              <w:t>11</w:t>
            </w:r>
            <w:r>
              <w:rPr>
                <w:b/>
                <w:bCs/>
                <w:color w:val="000000" w:themeColor="text1"/>
                <w:kern w:val="0"/>
                <w:szCs w:val="16"/>
                <w14:textFill>
                  <w14:solidFill>
                    <w14:schemeClr w14:val="tx1"/>
                  </w14:solidFill>
                </w14:textFill>
              </w:rPr>
              <w:t>厂区平面布置</w:t>
            </w:r>
          </w:p>
          <w:p w14:paraId="3659150D">
            <w:pPr>
              <w:spacing w:line="420" w:lineRule="exact"/>
              <w:ind w:firstLine="420" w:firstLineChars="200"/>
              <w:rPr>
                <w:rFonts w:hint="eastAsia" w:cs="Times New Roman"/>
                <w:color w:val="000000" w:themeColor="text1"/>
                <w:kern w:val="0"/>
                <w:szCs w:val="16"/>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16"/>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购买位于</w:t>
            </w:r>
            <w:r>
              <w:rPr>
                <w:rFonts w:hint="eastAsia"/>
                <w:bCs/>
                <w:color w:val="000000" w:themeColor="text1"/>
                <w:szCs w:val="21"/>
                <w:lang w:val="en-US" w:eastAsia="zh-CN"/>
                <w14:textFill>
                  <w14:solidFill>
                    <w14:schemeClr w14:val="tx1"/>
                  </w14:solidFill>
                </w14:textFill>
              </w:rPr>
              <w:t>常熟市东南街道银环路28-1号</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的</w:t>
            </w:r>
            <w:r>
              <w:rPr>
                <w:rFonts w:hint="eastAsia" w:ascii="Times New Roman" w:hAnsi="Times New Roman" w:eastAsia="宋体" w:cs="Times New Roman"/>
                <w:color w:val="000000" w:themeColor="text1"/>
                <w:kern w:val="0"/>
                <w:szCs w:val="21"/>
                <w14:textFill>
                  <w14:solidFill>
                    <w14:schemeClr w14:val="tx1"/>
                  </w14:solidFill>
                </w14:textFill>
              </w:rPr>
              <w:t>常熟瓴润企业管理有限公司</w:t>
            </w:r>
            <w:r>
              <w:rPr>
                <w:rFonts w:hint="eastAsia"/>
                <w:bCs/>
                <w:color w:val="000000" w:themeColor="text1"/>
                <w:szCs w:val="21"/>
                <w:lang w:val="en-US" w:eastAsia="zh-CN"/>
                <w14:textFill>
                  <w14:solidFill>
                    <w14:schemeClr w14:val="tx1"/>
                  </w14:solidFill>
                </w14:textFill>
              </w:rPr>
              <w:t>10幢102</w:t>
            </w:r>
            <w:r>
              <w:rPr>
                <w:rFonts w:hint="eastAsia"/>
                <w:bCs/>
                <w:color w:val="000000" w:themeColor="text1"/>
                <w:szCs w:val="21"/>
                <w14:textFill>
                  <w14:solidFill>
                    <w14:schemeClr w14:val="tx1"/>
                  </w14:solidFill>
                </w14:textFill>
              </w:rPr>
              <w:t>，</w:t>
            </w:r>
            <w:r>
              <w:rPr>
                <w:rFonts w:hint="eastAsia"/>
                <w:bCs/>
                <w:color w:val="000000" w:themeColor="text1"/>
                <w:szCs w:val="21"/>
                <w:lang w:val="en-US" w:eastAsia="zh-CN"/>
                <w14:textFill>
                  <w14:solidFill>
                    <w14:schemeClr w14:val="tx1"/>
                  </w14:solidFill>
                </w14:textFill>
              </w:rPr>
              <w:t>厂房</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进行生产</w:t>
            </w:r>
            <w:r>
              <w:rPr>
                <w:rFonts w:hint="eastAsia" w:cs="Times New Roman"/>
                <w:color w:val="000000" w:themeColor="text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0"/>
                <w:szCs w:val="21"/>
                <w14:textFill>
                  <w14:solidFill>
                    <w14:schemeClr w14:val="tx1"/>
                  </w14:solidFill>
                </w14:textFill>
              </w:rPr>
              <w:t>常熟瓴润企业管理有限公司</w:t>
            </w:r>
            <w:r>
              <w:rPr>
                <w:rFonts w:hint="eastAsia" w:ascii="Times New Roman" w:hAnsi="Times New Roman" w:eastAsia="宋体" w:cs="Times New Roman"/>
                <w:color w:val="000000" w:themeColor="text1"/>
                <w:kern w:val="0"/>
                <w:szCs w:val="21"/>
                <w:lang w:eastAsia="zh-CN"/>
                <w14:textFill>
                  <w14:solidFill>
                    <w14:schemeClr w14:val="tx1"/>
                  </w14:solidFill>
                </w14:textFill>
              </w:rPr>
              <w:t>（</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地块编号为320581021027JB00007</w:t>
            </w:r>
            <w:r>
              <w:rPr>
                <w:rFonts w:hint="eastAsia" w:ascii="Times New Roman" w:hAnsi="Times New Roman" w:eastAsia="宋体" w:cs="Times New Roman"/>
                <w:color w:val="000000" w:themeColor="text1"/>
                <w:kern w:val="0"/>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厂区占地面积46686</w:t>
            </w:r>
            <w:r>
              <w:rPr>
                <w:rFonts w:hint="eastAsia"/>
                <w:color w:val="000000" w:themeColor="text1"/>
                <w:lang w:val="en-US" w:eastAsia="zh-CN"/>
                <w14:textFill>
                  <w14:solidFill>
                    <w14:schemeClr w14:val="tx1"/>
                  </w14:solidFill>
                </w14:textFill>
              </w:rPr>
              <w:t>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，共有建筑物11幢，</w:t>
            </w:r>
            <w:r>
              <w:rPr>
                <w:rFonts w:hint="eastAsia"/>
                <w:color w:val="000000" w:themeColor="text1"/>
                <w:vertAlign w:val="baseline"/>
                <w:lang w:val="en-US" w:eastAsia="zh-CN"/>
                <w14:textFill>
                  <w14:solidFill>
                    <w14:schemeClr w14:val="tx1"/>
                  </w14:solidFill>
                </w14:textFill>
              </w:rPr>
              <w:t>目前已有苏州市施晟帆精密机械有限公司、苏州冠佳机电装备有限公司、苏州博益瑞模型有限公司、苏州山水半导体有限公司、苏州乐豪电子商务有限公司、苏州伊诺维特净化科技有限公司、苏州云肯机电科技有限公司、利博（常熟）合金材料有限公司、苏州纤创智造材料有限公司、苏州好顺佳食品有限公司合计10家企业签约入驻</w:t>
            </w:r>
            <w:r>
              <w:rPr>
                <w:rFonts w:hint="eastAsia" w:cs="Times New Roman"/>
                <w:color w:val="000000" w:themeColor="text1"/>
                <w:kern w:val="0"/>
                <w:szCs w:val="16"/>
                <w:highlight w:val="none"/>
                <w:vertAlign w:val="baseline"/>
                <w:lang w:val="en-US" w:eastAsia="zh-CN"/>
                <w14:textFill>
                  <w14:solidFill>
                    <w14:schemeClr w14:val="tx1"/>
                  </w14:solidFill>
                </w14:textFill>
              </w:rPr>
              <w:t>，产业园内入驻企业均已供水供电，产业园内雨水、污水管网</w:t>
            </w:r>
            <w:r>
              <w:rPr>
                <w:rFonts w:hint="eastAsia" w:ascii="Times New Roman" w:hAnsi="Times New Roman" w:eastAsia="宋体" w:cs="Times New Roman"/>
                <w:b w:val="0"/>
                <w:bCs/>
                <w:color w:val="000000" w:themeColor="text1"/>
                <w:szCs w:val="21"/>
                <w:highlight w:val="none"/>
                <w:lang w:val="en-US" w:eastAsia="zh-CN"/>
                <w14:textFill>
                  <w14:solidFill>
                    <w14:schemeClr w14:val="tx1"/>
                  </w14:solidFill>
                </w14:textFill>
              </w:rPr>
              <w:t>已铺设到位，设置有1个雨水排口、1个污水排口，事故应急池目前尚未建设</w:t>
            </w:r>
            <w:r>
              <w:rPr>
                <w:rFonts w:hint="eastAsia" w:cs="Times New Roman"/>
                <w:b w:val="0"/>
                <w:bCs/>
                <w:color w:val="000000" w:themeColor="text1"/>
                <w:szCs w:val="21"/>
                <w:highlight w:val="none"/>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厂区内各企业负责各自的环保责任</w:t>
            </w:r>
            <w:r>
              <w:rPr>
                <w:rFonts w:hint="eastAsia" w:cs="Times New Roman"/>
                <w:color w:val="000000" w:themeColor="text1"/>
                <w:kern w:val="0"/>
                <w:szCs w:val="16"/>
                <w:highlight w:val="none"/>
                <w:lang w:val="en-US" w:eastAsia="zh-CN"/>
                <w14:textFill>
                  <w14:solidFill>
                    <w14:schemeClr w14:val="tx1"/>
                  </w14:solidFill>
                </w14:textFill>
              </w:rPr>
              <w:t>。</w:t>
            </w:r>
          </w:p>
          <w:p w14:paraId="36BE71DE">
            <w:pPr>
              <w:spacing w:line="360" w:lineRule="auto"/>
              <w:ind w:firstLine="420" w:firstLineChars="200"/>
              <w:rPr>
                <w:rFonts w:hint="eastAsia"/>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0"/>
                <w:szCs w:val="16"/>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厂房位于园区内</w:t>
            </w:r>
            <w:r>
              <w:rPr>
                <w:rFonts w:hint="eastAsia"/>
                <w:bCs/>
                <w:color w:val="000000" w:themeColor="text1"/>
                <w:szCs w:val="21"/>
                <w:lang w:val="en-US" w:eastAsia="zh-CN"/>
                <w14:textFill>
                  <w14:solidFill>
                    <w14:schemeClr w14:val="tx1"/>
                  </w14:solidFill>
                </w14:textFill>
              </w:rPr>
              <w:t>10幢，10幢分为101、102两个单元，目前101尚无企业入驻，本项目入驻单元为102，共4层-2-，一、二层作为生产区域，三层作为成品仓库，四层作为办公区。</w:t>
            </w:r>
            <w:r>
              <w:rPr>
                <w:rFonts w:hint="eastAsia"/>
                <w:color w:val="000000" w:themeColor="text1"/>
                <w14:textFill>
                  <w14:solidFill>
                    <w14:schemeClr w14:val="tx1"/>
                  </w14:solidFill>
                </w14:textFill>
              </w:rPr>
              <w:t>产业园</w:t>
            </w:r>
            <w:r>
              <w:rPr>
                <w:rFonts w:hint="eastAsia"/>
                <w:color w:val="000000" w:themeColor="text1"/>
                <w:lang w:val="en-US" w:eastAsia="zh-CN"/>
                <w14:textFill>
                  <w14:solidFill>
                    <w14:schemeClr w14:val="tx1"/>
                  </w14:solidFill>
                </w14:textFill>
              </w:rPr>
              <w:t>房产情况见下表：</w:t>
            </w:r>
          </w:p>
          <w:p w14:paraId="2AF37F3A">
            <w:pPr>
              <w:jc w:val="center"/>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 xml:space="preserve">表2.11-1 </w:t>
            </w:r>
            <w:r>
              <w:rPr>
                <w:rFonts w:hint="eastAsia"/>
                <w:b/>
                <w:bCs/>
                <w:color w:val="000000" w:themeColor="text1"/>
                <w14:textFill>
                  <w14:solidFill>
                    <w14:schemeClr w14:val="tx1"/>
                  </w14:solidFill>
                </w14:textFill>
              </w:rPr>
              <w:t>产业园</w:t>
            </w:r>
            <w:r>
              <w:rPr>
                <w:rFonts w:hint="eastAsia"/>
                <w:b/>
                <w:bCs/>
                <w:color w:val="000000" w:themeColor="text1"/>
                <w:lang w:val="en-US" w:eastAsia="zh-CN"/>
                <w14:textFill>
                  <w14:solidFill>
                    <w14:schemeClr w14:val="tx1"/>
                  </w14:solidFill>
                </w14:textFill>
              </w:rPr>
              <w:t>房产情况</w:t>
            </w:r>
          </w:p>
          <w:tbl>
            <w:tblPr>
              <w:tblStyle w:val="23"/>
              <w:tblW w:w="8278" w:type="dxa"/>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737"/>
              <w:gridCol w:w="1134"/>
              <w:gridCol w:w="1304"/>
              <w:gridCol w:w="1191"/>
              <w:gridCol w:w="1417"/>
              <w:gridCol w:w="1304"/>
              <w:gridCol w:w="1191"/>
            </w:tblGrid>
            <w:tr w14:paraId="41886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737" w:type="dxa"/>
                  <w:tcBorders>
                    <w:top w:val="single" w:color="auto" w:sz="12" w:space="0"/>
                    <w:left w:val="nil"/>
                    <w:bottom w:val="single" w:color="auto" w:sz="4" w:space="0"/>
                    <w:right w:val="single" w:color="auto" w:sz="4" w:space="0"/>
                  </w:tcBorders>
                  <w:noWrap w:val="0"/>
                  <w:vAlign w:val="center"/>
                </w:tcPr>
                <w:p w14:paraId="26276B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000000" w:themeColor="text1"/>
                      <w:kern w:val="2"/>
                      <w:sz w:val="21"/>
                      <w:szCs w:val="24"/>
                      <w:vertAlign w:val="baseline"/>
                      <w:lang w:val="en-US" w:eastAsia="zh-CN" w:bidi="ar-SA"/>
                      <w14:textFill>
                        <w14:solidFill>
                          <w14:schemeClr w14:val="tx1"/>
                        </w14:solidFill>
                      </w14:textFill>
                    </w:rPr>
                  </w:pPr>
                  <w:r>
                    <w:rPr>
                      <w:rFonts w:hint="eastAsia" w:eastAsia="宋体"/>
                      <w:b/>
                      <w:bCs/>
                      <w:color w:val="000000" w:themeColor="text1"/>
                      <w:kern w:val="2"/>
                      <w:sz w:val="21"/>
                      <w:szCs w:val="24"/>
                      <w:vertAlign w:val="baseline"/>
                      <w:lang w:val="en-US" w:eastAsia="zh-CN" w:bidi="ar-SA"/>
                      <w14:textFill>
                        <w14:solidFill>
                          <w14:schemeClr w14:val="tx1"/>
                        </w14:solidFill>
                      </w14:textFill>
                    </w:rPr>
                    <w:t>序号</w:t>
                  </w:r>
                </w:p>
              </w:tc>
              <w:tc>
                <w:tcPr>
                  <w:tcW w:w="1134" w:type="dxa"/>
                  <w:tcBorders>
                    <w:top w:val="single" w:color="auto" w:sz="12" w:space="0"/>
                    <w:left w:val="single" w:color="auto" w:sz="4" w:space="0"/>
                    <w:bottom w:val="single" w:color="auto" w:sz="4" w:space="0"/>
                    <w:right w:val="single" w:color="auto" w:sz="4" w:space="0"/>
                  </w:tcBorders>
                  <w:noWrap w:val="0"/>
                  <w:vAlign w:val="center"/>
                </w:tcPr>
                <w:p w14:paraId="44D1D8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000000" w:themeColor="text1"/>
                      <w:kern w:val="2"/>
                      <w:sz w:val="21"/>
                      <w:szCs w:val="24"/>
                      <w:vertAlign w:val="baseline"/>
                      <w:lang w:val="en-US" w:eastAsia="zh-CN" w:bidi="ar-SA"/>
                      <w14:textFill>
                        <w14:solidFill>
                          <w14:schemeClr w14:val="tx1"/>
                        </w14:solidFill>
                      </w14:textFill>
                    </w:rPr>
                  </w:pPr>
                  <w:r>
                    <w:rPr>
                      <w:rFonts w:hint="eastAsia" w:eastAsia="宋体"/>
                      <w:b/>
                      <w:bCs/>
                      <w:color w:val="000000" w:themeColor="text1"/>
                      <w:kern w:val="2"/>
                      <w:sz w:val="21"/>
                      <w:szCs w:val="24"/>
                      <w:vertAlign w:val="baseline"/>
                      <w:lang w:val="en-US" w:eastAsia="zh-CN" w:bidi="ar-SA"/>
                      <w14:textFill>
                        <w14:solidFill>
                          <w14:schemeClr w14:val="tx1"/>
                        </w14:solidFill>
                      </w14:textFill>
                    </w:rPr>
                    <w:t>建构筑物名称</w:t>
                  </w:r>
                </w:p>
              </w:tc>
              <w:tc>
                <w:tcPr>
                  <w:tcW w:w="1304" w:type="dxa"/>
                  <w:tcBorders>
                    <w:top w:val="single" w:color="auto" w:sz="12" w:space="0"/>
                    <w:left w:val="single" w:color="auto" w:sz="4" w:space="0"/>
                    <w:bottom w:val="single" w:color="auto" w:sz="4" w:space="0"/>
                    <w:right w:val="single" w:color="auto" w:sz="4" w:space="0"/>
                  </w:tcBorders>
                  <w:noWrap w:val="0"/>
                  <w:vAlign w:val="center"/>
                </w:tcPr>
                <w:p w14:paraId="52DB3B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000000" w:themeColor="text1"/>
                      <w:kern w:val="2"/>
                      <w:sz w:val="21"/>
                      <w:szCs w:val="24"/>
                      <w:vertAlign w:val="baseline"/>
                      <w:lang w:val="en-US" w:eastAsia="zh-CN" w:bidi="ar-SA"/>
                      <w14:textFill>
                        <w14:solidFill>
                          <w14:schemeClr w14:val="tx1"/>
                        </w14:solidFill>
                      </w14:textFill>
                    </w:rPr>
                  </w:pPr>
                  <w:r>
                    <w:rPr>
                      <w:rFonts w:hint="eastAsia" w:eastAsia="宋体"/>
                      <w:b/>
                      <w:bCs/>
                      <w:color w:val="000000" w:themeColor="text1"/>
                      <w:kern w:val="2"/>
                      <w:sz w:val="21"/>
                      <w:szCs w:val="24"/>
                      <w:vertAlign w:val="baseline"/>
                      <w:lang w:val="en-US" w:eastAsia="zh-CN" w:bidi="ar-SA"/>
                      <w14:textFill>
                        <w14:solidFill>
                          <w14:schemeClr w14:val="tx1"/>
                        </w14:solidFill>
                      </w14:textFill>
                    </w:rPr>
                    <w:t>火灾危险性类别</w:t>
                  </w:r>
                </w:p>
              </w:tc>
              <w:tc>
                <w:tcPr>
                  <w:tcW w:w="1191" w:type="dxa"/>
                  <w:tcBorders>
                    <w:top w:val="single" w:color="auto" w:sz="12" w:space="0"/>
                    <w:left w:val="single" w:color="auto" w:sz="4" w:space="0"/>
                    <w:bottom w:val="single" w:color="auto" w:sz="4" w:space="0"/>
                    <w:right w:val="single" w:color="auto" w:sz="4" w:space="0"/>
                  </w:tcBorders>
                  <w:noWrap w:val="0"/>
                  <w:vAlign w:val="center"/>
                </w:tcPr>
                <w:p w14:paraId="3F4DFA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themeColor="text1"/>
                      <w:vertAlign w:val="baseline"/>
                      <w:lang w:val="en-US" w:eastAsia="zh-CN"/>
                      <w14:textFill>
                        <w14:solidFill>
                          <w14:schemeClr w14:val="tx1"/>
                        </w14:solidFill>
                      </w14:textFill>
                    </w:rPr>
                  </w:pPr>
                  <w:r>
                    <w:rPr>
                      <w:rFonts w:hint="eastAsia"/>
                      <w:b/>
                      <w:bCs/>
                      <w:color w:val="000000" w:themeColor="text1"/>
                      <w:vertAlign w:val="baseline"/>
                      <w:lang w:val="en-US" w:eastAsia="zh-CN"/>
                      <w14:textFill>
                        <w14:solidFill>
                          <w14:schemeClr w14:val="tx1"/>
                        </w14:solidFill>
                      </w14:textFill>
                    </w:rPr>
                    <w:t>耐火等级</w:t>
                  </w:r>
                </w:p>
              </w:tc>
              <w:tc>
                <w:tcPr>
                  <w:tcW w:w="1417" w:type="dxa"/>
                  <w:tcBorders>
                    <w:top w:val="single" w:color="auto" w:sz="12" w:space="0"/>
                    <w:left w:val="single" w:color="auto" w:sz="4" w:space="0"/>
                    <w:bottom w:val="single" w:color="auto" w:sz="4" w:space="0"/>
                    <w:right w:val="single" w:color="auto" w:sz="4" w:space="0"/>
                  </w:tcBorders>
                  <w:noWrap w:val="0"/>
                  <w:vAlign w:val="center"/>
                </w:tcPr>
                <w:p w14:paraId="51AC86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themeColor="text1"/>
                      <w:vertAlign w:val="baseline"/>
                      <w:lang w:val="en-US" w:eastAsia="zh-CN"/>
                      <w14:textFill>
                        <w14:solidFill>
                          <w14:schemeClr w14:val="tx1"/>
                        </w14:solidFill>
                      </w14:textFill>
                    </w:rPr>
                  </w:pPr>
                  <w:r>
                    <w:rPr>
                      <w:rFonts w:hint="eastAsia"/>
                      <w:b/>
                      <w:bCs/>
                      <w:color w:val="000000" w:themeColor="text1"/>
                      <w:vertAlign w:val="baseline"/>
                      <w:lang w:val="en-US" w:eastAsia="zh-CN"/>
                      <w14:textFill>
                        <w14:solidFill>
                          <w14:schemeClr w14:val="tx1"/>
                        </w14:solidFill>
                      </w14:textFill>
                    </w:rPr>
                    <w:t>层数（层）</w:t>
                  </w:r>
                </w:p>
              </w:tc>
              <w:tc>
                <w:tcPr>
                  <w:tcW w:w="1304" w:type="dxa"/>
                  <w:tcBorders>
                    <w:top w:val="single" w:color="auto" w:sz="12" w:space="0"/>
                    <w:left w:val="single" w:color="auto" w:sz="4" w:space="0"/>
                    <w:bottom w:val="single" w:color="auto" w:sz="4" w:space="0"/>
                    <w:right w:val="single" w:color="auto" w:sz="4" w:space="0"/>
                  </w:tcBorders>
                  <w:noWrap w:val="0"/>
                  <w:vAlign w:val="center"/>
                </w:tcPr>
                <w:p w14:paraId="1A2907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themeColor="text1"/>
                      <w:vertAlign w:val="baseline"/>
                      <w:lang w:val="en-US" w:eastAsia="zh-CN"/>
                      <w14:textFill>
                        <w14:solidFill>
                          <w14:schemeClr w14:val="tx1"/>
                        </w14:solidFill>
                      </w14:textFill>
                    </w:rPr>
                  </w:pPr>
                  <w:r>
                    <w:rPr>
                      <w:rFonts w:hint="eastAsia"/>
                      <w:b/>
                      <w:bCs/>
                      <w:color w:val="000000" w:themeColor="text1"/>
                      <w:vertAlign w:val="baseline"/>
                      <w:lang w:val="en-US" w:eastAsia="zh-CN"/>
                      <w14:textFill>
                        <w14:solidFill>
                          <w14:schemeClr w14:val="tx1"/>
                        </w14:solidFill>
                      </w14:textFill>
                    </w:rPr>
                    <w:t>建筑面积（m</w:t>
                  </w:r>
                  <w:r>
                    <w:rPr>
                      <w:rFonts w:hint="eastAsia"/>
                      <w:b/>
                      <w:bCs/>
                      <w:color w:val="000000" w:themeColor="text1"/>
                      <w:vertAlign w:val="superscript"/>
                      <w:lang w:val="en-US" w:eastAsia="zh-CN"/>
                      <w14:textFill>
                        <w14:solidFill>
                          <w14:schemeClr w14:val="tx1"/>
                        </w14:solidFill>
                      </w14:textFill>
                    </w:rPr>
                    <w:t>2</w:t>
                  </w:r>
                  <w:r>
                    <w:rPr>
                      <w:rFonts w:hint="eastAsia"/>
                      <w:b/>
                      <w:bCs/>
                      <w:color w:val="000000" w:themeColor="text1"/>
                      <w:vertAlign w:val="baseline"/>
                      <w:lang w:val="en-US" w:eastAsia="zh-CN"/>
                      <w14:textFill>
                        <w14:solidFill>
                          <w14:schemeClr w14:val="tx1"/>
                        </w14:solidFill>
                      </w14:textFill>
                    </w:rPr>
                    <w:t>）</w:t>
                  </w:r>
                </w:p>
              </w:tc>
              <w:tc>
                <w:tcPr>
                  <w:tcW w:w="1191" w:type="dxa"/>
                  <w:tcBorders>
                    <w:top w:val="single" w:color="auto" w:sz="12" w:space="0"/>
                    <w:left w:val="single" w:color="auto" w:sz="4" w:space="0"/>
                    <w:bottom w:val="single" w:color="auto" w:sz="4" w:space="0"/>
                    <w:right w:val="nil"/>
                  </w:tcBorders>
                  <w:noWrap w:val="0"/>
                  <w:vAlign w:val="center"/>
                </w:tcPr>
                <w:p w14:paraId="2540A9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themeColor="text1"/>
                      <w:vertAlign w:val="baseline"/>
                      <w:lang w:val="en-US" w:eastAsia="zh-CN"/>
                      <w14:textFill>
                        <w14:solidFill>
                          <w14:schemeClr w14:val="tx1"/>
                        </w14:solidFill>
                      </w14:textFill>
                    </w:rPr>
                  </w:pPr>
                  <w:r>
                    <w:rPr>
                      <w:rFonts w:hint="eastAsia"/>
                      <w:b/>
                      <w:bCs/>
                      <w:color w:val="000000" w:themeColor="text1"/>
                      <w:vertAlign w:val="baseline"/>
                      <w:lang w:val="en-US" w:eastAsia="zh-CN"/>
                      <w14:textFill>
                        <w14:solidFill>
                          <w14:schemeClr w14:val="tx1"/>
                        </w14:solidFill>
                      </w14:textFill>
                    </w:rPr>
                    <w:t>占地面积（m</w:t>
                  </w:r>
                  <w:r>
                    <w:rPr>
                      <w:rFonts w:hint="eastAsia"/>
                      <w:b/>
                      <w:bCs/>
                      <w:color w:val="000000" w:themeColor="text1"/>
                      <w:vertAlign w:val="superscript"/>
                      <w:lang w:val="en-US" w:eastAsia="zh-CN"/>
                      <w14:textFill>
                        <w14:solidFill>
                          <w14:schemeClr w14:val="tx1"/>
                        </w14:solidFill>
                      </w14:textFill>
                    </w:rPr>
                    <w:t>2</w:t>
                  </w:r>
                  <w:r>
                    <w:rPr>
                      <w:rFonts w:hint="eastAsia"/>
                      <w:b/>
                      <w:bCs/>
                      <w:color w:val="000000" w:themeColor="text1"/>
                      <w:vertAlign w:val="baseline"/>
                      <w:lang w:val="en-US" w:eastAsia="zh-CN"/>
                      <w14:textFill>
                        <w14:solidFill>
                          <w14:schemeClr w14:val="tx1"/>
                        </w14:solidFill>
                      </w14:textFill>
                    </w:rPr>
                    <w:t>）</w:t>
                  </w:r>
                </w:p>
              </w:tc>
            </w:tr>
            <w:tr w14:paraId="6E73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737" w:type="dxa"/>
                  <w:tcBorders>
                    <w:top w:val="single" w:color="auto" w:sz="4" w:space="0"/>
                    <w:left w:val="nil"/>
                    <w:bottom w:val="single" w:color="auto" w:sz="4" w:space="0"/>
                    <w:right w:val="single" w:color="auto" w:sz="4" w:space="0"/>
                  </w:tcBorders>
                  <w:noWrap w:val="0"/>
                  <w:vAlign w:val="center"/>
                </w:tcPr>
                <w:p w14:paraId="25C96C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vertAlign w:val="baseline"/>
                      <w:lang w:val="en-US" w:eastAsia="zh-CN"/>
                      <w14:textFill>
                        <w14:solidFill>
                          <w14:schemeClr w14:val="tx1"/>
                        </w14:solidFill>
                      </w14:textFill>
                    </w:rPr>
                  </w:pPr>
                  <w:r>
                    <w:rPr>
                      <w:rFonts w:hint="eastAsia" w:eastAsia="宋体"/>
                      <w:color w:val="000000" w:themeColor="text1"/>
                      <w:vertAlign w:val="baseline"/>
                      <w:lang w:val="en-US" w:eastAsia="zh-CN"/>
                      <w14:textFill>
                        <w14:solidFill>
                          <w14:schemeClr w14:val="tx1"/>
                        </w14:solidFill>
                      </w14:textFill>
                    </w:rPr>
                    <w:t>1</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1A25E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kern w:val="2"/>
                      <w:sz w:val="21"/>
                      <w:szCs w:val="24"/>
                      <w:vertAlign w:val="baseline"/>
                      <w:lang w:val="en-US" w:eastAsia="zh-CN" w:bidi="ar-SA"/>
                      <w14:textFill>
                        <w14:solidFill>
                          <w14:schemeClr w14:val="tx1"/>
                        </w14:solidFill>
                      </w14:textFill>
                    </w:rPr>
                  </w:pPr>
                  <w:r>
                    <w:rPr>
                      <w:rFonts w:hint="eastAsia" w:eastAsia="宋体"/>
                      <w:color w:val="000000" w:themeColor="text1"/>
                      <w:vertAlign w:val="baseline"/>
                      <w:lang w:val="en-US" w:eastAsia="zh-CN"/>
                      <w14:textFill>
                        <w14:solidFill>
                          <w14:schemeClr w14:val="tx1"/>
                        </w14:solidFill>
                      </w14:textFill>
                    </w:rPr>
                    <w:t>1</w:t>
                  </w:r>
                  <w:r>
                    <w:rPr>
                      <w:rFonts w:hint="eastAsia"/>
                      <w:color w:val="000000" w:themeColor="text1"/>
                      <w:vertAlign w:val="baseline"/>
                      <w:lang w:val="en-US" w:eastAsia="zh-CN"/>
                      <w14:textFill>
                        <w14:solidFill>
                          <w14:schemeClr w14:val="tx1"/>
                        </w14:solidFill>
                      </w14:textFill>
                    </w:rPr>
                    <w:t>幢</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7E52B8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vertAlign w:val="baseline"/>
                      <w:lang w:val="en-US" w:eastAsia="zh-CN"/>
                      <w14:textFill>
                        <w14:solidFill>
                          <w14:schemeClr w14:val="tx1"/>
                        </w14:solidFill>
                      </w14:textFill>
                    </w:rPr>
                  </w:pPr>
                  <w:r>
                    <w:rPr>
                      <w:rFonts w:hint="eastAsia" w:eastAsia="宋体"/>
                      <w:color w:val="000000" w:themeColor="text1"/>
                      <w:vertAlign w:val="baseline"/>
                      <w:lang w:val="en-US" w:eastAsia="zh-CN"/>
                      <w14:textFill>
                        <w14:solidFill>
                          <w14:schemeClr w14:val="tx1"/>
                        </w14:solidFill>
                      </w14:textFill>
                    </w:rPr>
                    <w:t>丙类</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3817A3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一级</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7EE46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16</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2C4AA3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25081.48</w:t>
                  </w:r>
                </w:p>
              </w:tc>
              <w:tc>
                <w:tcPr>
                  <w:tcW w:w="1191" w:type="dxa"/>
                  <w:tcBorders>
                    <w:top w:val="single" w:color="auto" w:sz="4" w:space="0"/>
                    <w:left w:val="single" w:color="auto" w:sz="4" w:space="0"/>
                    <w:bottom w:val="single" w:color="auto" w:sz="4" w:space="0"/>
                    <w:right w:val="nil"/>
                  </w:tcBorders>
                  <w:noWrap w:val="0"/>
                  <w:vAlign w:val="center"/>
                </w:tcPr>
                <w:p w14:paraId="2AE0C2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1667.03</w:t>
                  </w:r>
                </w:p>
              </w:tc>
            </w:tr>
            <w:tr w14:paraId="3517D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737" w:type="dxa"/>
                  <w:tcBorders>
                    <w:top w:val="single" w:color="auto" w:sz="4" w:space="0"/>
                    <w:left w:val="nil"/>
                    <w:bottom w:val="single" w:color="auto" w:sz="4" w:space="0"/>
                    <w:right w:val="single" w:color="auto" w:sz="4" w:space="0"/>
                  </w:tcBorders>
                  <w:noWrap w:val="0"/>
                  <w:vAlign w:val="center"/>
                </w:tcPr>
                <w:p w14:paraId="049FA4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86BCC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kern w:val="2"/>
                      <w:sz w:val="21"/>
                      <w:szCs w:val="24"/>
                      <w:vertAlign w:val="baseline"/>
                      <w:lang w:val="en-US" w:eastAsia="zh-CN" w:bidi="ar-SA"/>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2幢</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017E20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val="en-US" w:eastAsia="zh-CN"/>
                      <w14:textFill>
                        <w14:solidFill>
                          <w14:schemeClr w14:val="tx1"/>
                        </w14:solidFill>
                      </w14:textFill>
                    </w:rPr>
                  </w:pPr>
                  <w:r>
                    <w:rPr>
                      <w:rFonts w:hint="eastAsia" w:eastAsia="宋体"/>
                      <w:color w:val="000000" w:themeColor="text1"/>
                      <w:vertAlign w:val="baseline"/>
                      <w:lang w:val="en-US" w:eastAsia="zh-CN"/>
                      <w14:textFill>
                        <w14:solidFill>
                          <w14:schemeClr w14:val="tx1"/>
                        </w14:solidFill>
                      </w14:textFill>
                    </w:rPr>
                    <w:t>丙类</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5434CC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一级</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EA8A3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16</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408F9E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24964.16</w:t>
                  </w:r>
                </w:p>
              </w:tc>
              <w:tc>
                <w:tcPr>
                  <w:tcW w:w="1191" w:type="dxa"/>
                  <w:tcBorders>
                    <w:top w:val="single" w:color="auto" w:sz="4" w:space="0"/>
                    <w:left w:val="single" w:color="auto" w:sz="4" w:space="0"/>
                    <w:bottom w:val="single" w:color="auto" w:sz="4" w:space="0"/>
                    <w:right w:val="nil"/>
                  </w:tcBorders>
                  <w:noWrap w:val="0"/>
                  <w:vAlign w:val="center"/>
                </w:tcPr>
                <w:p w14:paraId="21A427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1685.23</w:t>
                  </w:r>
                </w:p>
              </w:tc>
            </w:tr>
            <w:tr w14:paraId="553D7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737" w:type="dxa"/>
                  <w:tcBorders>
                    <w:top w:val="single" w:color="auto" w:sz="4" w:space="0"/>
                    <w:left w:val="nil"/>
                    <w:bottom w:val="single" w:color="auto" w:sz="4" w:space="0"/>
                    <w:right w:val="single" w:color="auto" w:sz="4" w:space="0"/>
                  </w:tcBorders>
                  <w:noWrap w:val="0"/>
                  <w:vAlign w:val="center"/>
                </w:tcPr>
                <w:p w14:paraId="715A36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3</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59DBA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kern w:val="2"/>
                      <w:sz w:val="21"/>
                      <w:szCs w:val="24"/>
                      <w:vertAlign w:val="baseline"/>
                      <w:lang w:val="en-US" w:eastAsia="zh-CN" w:bidi="ar-SA"/>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3幢</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3D072D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val="en-US" w:eastAsia="zh-CN"/>
                      <w14:textFill>
                        <w14:solidFill>
                          <w14:schemeClr w14:val="tx1"/>
                        </w14:solidFill>
                      </w14:textFill>
                    </w:rPr>
                  </w:pPr>
                  <w:r>
                    <w:rPr>
                      <w:rFonts w:hint="eastAsia" w:eastAsia="宋体"/>
                      <w:color w:val="000000" w:themeColor="text1"/>
                      <w:vertAlign w:val="baseline"/>
                      <w:lang w:val="en-US" w:eastAsia="zh-CN"/>
                      <w14:textFill>
                        <w14:solidFill>
                          <w14:schemeClr w14:val="tx1"/>
                        </w14:solidFill>
                      </w14:textFill>
                    </w:rPr>
                    <w:t>丙类</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760EF0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val="en-US" w:eastAsia="zh-CN"/>
                      <w14:textFill>
                        <w14:solidFill>
                          <w14:schemeClr w14:val="tx1"/>
                        </w14:solidFill>
                      </w14:textFill>
                    </w:rPr>
                  </w:pPr>
                  <w:r>
                    <w:rPr>
                      <w:rFonts w:hint="eastAsia" w:eastAsia="宋体"/>
                      <w:color w:val="000000" w:themeColor="text1"/>
                      <w:vertAlign w:val="baseline"/>
                      <w:lang w:val="en-US" w:eastAsia="zh-CN"/>
                      <w14:textFill>
                        <w14:solidFill>
                          <w14:schemeClr w14:val="tx1"/>
                        </w14:solidFill>
                      </w14:textFill>
                    </w:rPr>
                    <w:t>二级</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F2578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4</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66AB2F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7053.29</w:t>
                  </w:r>
                </w:p>
              </w:tc>
              <w:tc>
                <w:tcPr>
                  <w:tcW w:w="1191" w:type="dxa"/>
                  <w:tcBorders>
                    <w:top w:val="single" w:color="auto" w:sz="4" w:space="0"/>
                    <w:left w:val="single" w:color="auto" w:sz="4" w:space="0"/>
                    <w:bottom w:val="single" w:color="auto" w:sz="4" w:space="0"/>
                    <w:right w:val="nil"/>
                  </w:tcBorders>
                  <w:noWrap w:val="0"/>
                  <w:vAlign w:val="center"/>
                </w:tcPr>
                <w:p w14:paraId="600ABB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1939.19</w:t>
                  </w:r>
                </w:p>
              </w:tc>
            </w:tr>
            <w:tr w14:paraId="1CA3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737" w:type="dxa"/>
                  <w:tcBorders>
                    <w:top w:val="single" w:color="auto" w:sz="4" w:space="0"/>
                    <w:left w:val="nil"/>
                    <w:bottom w:val="single" w:color="auto" w:sz="4" w:space="0"/>
                    <w:right w:val="single" w:color="auto" w:sz="4" w:space="0"/>
                  </w:tcBorders>
                  <w:noWrap w:val="0"/>
                  <w:vAlign w:val="center"/>
                </w:tcPr>
                <w:p w14:paraId="78DF98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4</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FF32C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kern w:val="2"/>
                      <w:sz w:val="21"/>
                      <w:szCs w:val="24"/>
                      <w:vertAlign w:val="baseline"/>
                      <w:lang w:val="en-US" w:eastAsia="zh-CN" w:bidi="ar-SA"/>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4幢</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22BE4D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val="en-US" w:eastAsia="zh-CN"/>
                      <w14:textFill>
                        <w14:solidFill>
                          <w14:schemeClr w14:val="tx1"/>
                        </w14:solidFill>
                      </w14:textFill>
                    </w:rPr>
                  </w:pPr>
                  <w:r>
                    <w:rPr>
                      <w:rFonts w:hint="eastAsia" w:eastAsia="宋体"/>
                      <w:color w:val="000000" w:themeColor="text1"/>
                      <w:vertAlign w:val="baseline"/>
                      <w:lang w:val="en-US" w:eastAsia="zh-CN"/>
                      <w14:textFill>
                        <w14:solidFill>
                          <w14:schemeClr w14:val="tx1"/>
                        </w14:solidFill>
                      </w14:textFill>
                    </w:rPr>
                    <w:t>丙类</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4D904E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val="en-US" w:eastAsia="zh-CN"/>
                      <w14:textFill>
                        <w14:solidFill>
                          <w14:schemeClr w14:val="tx1"/>
                        </w14:solidFill>
                      </w14:textFill>
                    </w:rPr>
                  </w:pPr>
                  <w:r>
                    <w:rPr>
                      <w:rFonts w:hint="eastAsia" w:eastAsia="宋体"/>
                      <w:color w:val="000000" w:themeColor="text1"/>
                      <w:vertAlign w:val="baseline"/>
                      <w:lang w:val="en-US" w:eastAsia="zh-CN"/>
                      <w14:textFill>
                        <w14:solidFill>
                          <w14:schemeClr w14:val="tx1"/>
                        </w14:solidFill>
                      </w14:textFill>
                    </w:rPr>
                    <w:t>二级</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283F5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4</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0AACED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7053.29</w:t>
                  </w:r>
                </w:p>
              </w:tc>
              <w:tc>
                <w:tcPr>
                  <w:tcW w:w="1191" w:type="dxa"/>
                  <w:tcBorders>
                    <w:top w:val="single" w:color="auto" w:sz="4" w:space="0"/>
                    <w:left w:val="single" w:color="auto" w:sz="4" w:space="0"/>
                    <w:bottom w:val="single" w:color="auto" w:sz="4" w:space="0"/>
                    <w:right w:val="nil"/>
                  </w:tcBorders>
                  <w:noWrap w:val="0"/>
                  <w:vAlign w:val="center"/>
                </w:tcPr>
                <w:p w14:paraId="5EE5D6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1939.19</w:t>
                  </w:r>
                </w:p>
              </w:tc>
            </w:tr>
            <w:tr w14:paraId="6CD0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737" w:type="dxa"/>
                  <w:tcBorders>
                    <w:top w:val="single" w:color="auto" w:sz="4" w:space="0"/>
                    <w:left w:val="nil"/>
                    <w:bottom w:val="single" w:color="auto" w:sz="4" w:space="0"/>
                    <w:right w:val="single" w:color="auto" w:sz="4" w:space="0"/>
                  </w:tcBorders>
                  <w:noWrap w:val="0"/>
                  <w:vAlign w:val="center"/>
                </w:tcPr>
                <w:p w14:paraId="273FC8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5</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FCB04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kern w:val="2"/>
                      <w:sz w:val="21"/>
                      <w:szCs w:val="24"/>
                      <w:vertAlign w:val="baseline"/>
                      <w:lang w:val="en-US" w:eastAsia="zh-CN" w:bidi="ar-SA"/>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5幢</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28C854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val="en-US" w:eastAsia="zh-CN"/>
                      <w14:textFill>
                        <w14:solidFill>
                          <w14:schemeClr w14:val="tx1"/>
                        </w14:solidFill>
                      </w14:textFill>
                    </w:rPr>
                  </w:pPr>
                  <w:r>
                    <w:rPr>
                      <w:rFonts w:hint="eastAsia" w:eastAsia="宋体"/>
                      <w:color w:val="000000" w:themeColor="text1"/>
                      <w:vertAlign w:val="baseline"/>
                      <w:lang w:val="en-US" w:eastAsia="zh-CN"/>
                      <w14:textFill>
                        <w14:solidFill>
                          <w14:schemeClr w14:val="tx1"/>
                        </w14:solidFill>
                      </w14:textFill>
                    </w:rPr>
                    <w:t>丙类</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367CDB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val="en-US" w:eastAsia="zh-CN"/>
                      <w14:textFill>
                        <w14:solidFill>
                          <w14:schemeClr w14:val="tx1"/>
                        </w14:solidFill>
                      </w14:textFill>
                    </w:rPr>
                  </w:pPr>
                  <w:r>
                    <w:rPr>
                      <w:rFonts w:hint="eastAsia" w:eastAsia="宋体"/>
                      <w:color w:val="000000" w:themeColor="text1"/>
                      <w:vertAlign w:val="baseline"/>
                      <w:lang w:val="en-US" w:eastAsia="zh-CN"/>
                      <w14:textFill>
                        <w14:solidFill>
                          <w14:schemeClr w14:val="tx1"/>
                        </w14:solidFill>
                      </w14:textFill>
                    </w:rPr>
                    <w:t>二级</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727B4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4</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5443D7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7053.29</w:t>
                  </w:r>
                </w:p>
              </w:tc>
              <w:tc>
                <w:tcPr>
                  <w:tcW w:w="1191" w:type="dxa"/>
                  <w:tcBorders>
                    <w:top w:val="single" w:color="auto" w:sz="4" w:space="0"/>
                    <w:left w:val="single" w:color="auto" w:sz="4" w:space="0"/>
                    <w:bottom w:val="single" w:color="auto" w:sz="4" w:space="0"/>
                    <w:right w:val="nil"/>
                  </w:tcBorders>
                  <w:noWrap w:val="0"/>
                  <w:vAlign w:val="center"/>
                </w:tcPr>
                <w:p w14:paraId="7BAFBC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1939.19</w:t>
                  </w:r>
                </w:p>
              </w:tc>
            </w:tr>
            <w:tr w14:paraId="0392A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737" w:type="dxa"/>
                  <w:tcBorders>
                    <w:top w:val="single" w:color="auto" w:sz="4" w:space="0"/>
                    <w:left w:val="nil"/>
                    <w:bottom w:val="single" w:color="auto" w:sz="4" w:space="0"/>
                    <w:right w:val="single" w:color="auto" w:sz="4" w:space="0"/>
                  </w:tcBorders>
                  <w:noWrap w:val="0"/>
                  <w:vAlign w:val="center"/>
                </w:tcPr>
                <w:p w14:paraId="4ADDF8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6</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7C638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kern w:val="2"/>
                      <w:sz w:val="21"/>
                      <w:szCs w:val="24"/>
                      <w:vertAlign w:val="baseline"/>
                      <w:lang w:val="en-US" w:eastAsia="zh-CN" w:bidi="ar-SA"/>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6幢</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461765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val="en-US" w:eastAsia="zh-CN"/>
                      <w14:textFill>
                        <w14:solidFill>
                          <w14:schemeClr w14:val="tx1"/>
                        </w14:solidFill>
                      </w14:textFill>
                    </w:rPr>
                  </w:pPr>
                  <w:r>
                    <w:rPr>
                      <w:rFonts w:hint="eastAsia" w:eastAsia="宋体"/>
                      <w:color w:val="000000" w:themeColor="text1"/>
                      <w:vertAlign w:val="baseline"/>
                      <w:lang w:val="en-US" w:eastAsia="zh-CN"/>
                      <w14:textFill>
                        <w14:solidFill>
                          <w14:schemeClr w14:val="tx1"/>
                        </w14:solidFill>
                      </w14:textFill>
                    </w:rPr>
                    <w:t>丙类</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3D8C4C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val="en-US" w:eastAsia="zh-CN"/>
                      <w14:textFill>
                        <w14:solidFill>
                          <w14:schemeClr w14:val="tx1"/>
                        </w14:solidFill>
                      </w14:textFill>
                    </w:rPr>
                  </w:pPr>
                  <w:r>
                    <w:rPr>
                      <w:rFonts w:hint="eastAsia" w:eastAsia="宋体"/>
                      <w:color w:val="000000" w:themeColor="text1"/>
                      <w:vertAlign w:val="baseline"/>
                      <w:lang w:val="en-US" w:eastAsia="zh-CN"/>
                      <w14:textFill>
                        <w14:solidFill>
                          <w14:schemeClr w14:val="tx1"/>
                        </w14:solidFill>
                      </w14:textFill>
                    </w:rPr>
                    <w:t>二级</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5C626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4</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59E685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7053.29</w:t>
                  </w:r>
                </w:p>
              </w:tc>
              <w:tc>
                <w:tcPr>
                  <w:tcW w:w="1191" w:type="dxa"/>
                  <w:tcBorders>
                    <w:top w:val="single" w:color="auto" w:sz="4" w:space="0"/>
                    <w:left w:val="single" w:color="auto" w:sz="4" w:space="0"/>
                    <w:bottom w:val="single" w:color="auto" w:sz="4" w:space="0"/>
                    <w:right w:val="nil"/>
                  </w:tcBorders>
                  <w:noWrap w:val="0"/>
                  <w:vAlign w:val="center"/>
                </w:tcPr>
                <w:p w14:paraId="4B99F7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1939.19</w:t>
                  </w:r>
                </w:p>
              </w:tc>
            </w:tr>
            <w:tr w14:paraId="4E3D8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737" w:type="dxa"/>
                  <w:tcBorders>
                    <w:top w:val="single" w:color="auto" w:sz="4" w:space="0"/>
                    <w:left w:val="nil"/>
                    <w:bottom w:val="single" w:color="auto" w:sz="4" w:space="0"/>
                    <w:right w:val="single" w:color="auto" w:sz="4" w:space="0"/>
                  </w:tcBorders>
                  <w:noWrap w:val="0"/>
                  <w:vAlign w:val="center"/>
                </w:tcPr>
                <w:p w14:paraId="4A319E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7</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DDB33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kern w:val="2"/>
                      <w:sz w:val="21"/>
                      <w:szCs w:val="24"/>
                      <w:vertAlign w:val="baseline"/>
                      <w:lang w:val="en-US" w:eastAsia="zh-CN" w:bidi="ar-SA"/>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7幢</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0D55DD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val="en-US" w:eastAsia="zh-CN"/>
                      <w14:textFill>
                        <w14:solidFill>
                          <w14:schemeClr w14:val="tx1"/>
                        </w14:solidFill>
                      </w14:textFill>
                    </w:rPr>
                  </w:pPr>
                  <w:r>
                    <w:rPr>
                      <w:rFonts w:hint="eastAsia" w:eastAsia="宋体"/>
                      <w:color w:val="000000" w:themeColor="text1"/>
                      <w:vertAlign w:val="baseline"/>
                      <w:lang w:val="en-US" w:eastAsia="zh-CN"/>
                      <w14:textFill>
                        <w14:solidFill>
                          <w14:schemeClr w14:val="tx1"/>
                        </w14:solidFill>
                      </w14:textFill>
                    </w:rPr>
                    <w:t>丙类</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32E230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val="en-US" w:eastAsia="zh-CN"/>
                      <w14:textFill>
                        <w14:solidFill>
                          <w14:schemeClr w14:val="tx1"/>
                        </w14:solidFill>
                      </w14:textFill>
                    </w:rPr>
                  </w:pPr>
                  <w:r>
                    <w:rPr>
                      <w:rFonts w:hint="eastAsia" w:eastAsia="宋体"/>
                      <w:color w:val="000000" w:themeColor="text1"/>
                      <w:vertAlign w:val="baseline"/>
                      <w:lang w:val="en-US" w:eastAsia="zh-CN"/>
                      <w14:textFill>
                        <w14:solidFill>
                          <w14:schemeClr w14:val="tx1"/>
                        </w14:solidFill>
                      </w14:textFill>
                    </w:rPr>
                    <w:t>二级</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3B135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4</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79036C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6045.82</w:t>
                  </w:r>
                </w:p>
              </w:tc>
              <w:tc>
                <w:tcPr>
                  <w:tcW w:w="1191" w:type="dxa"/>
                  <w:tcBorders>
                    <w:top w:val="single" w:color="auto" w:sz="4" w:space="0"/>
                    <w:left w:val="single" w:color="auto" w:sz="4" w:space="0"/>
                    <w:bottom w:val="single" w:color="auto" w:sz="4" w:space="0"/>
                    <w:right w:val="nil"/>
                  </w:tcBorders>
                  <w:noWrap w:val="0"/>
                  <w:vAlign w:val="center"/>
                </w:tcPr>
                <w:p w14:paraId="490E86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1653.49</w:t>
                  </w:r>
                </w:p>
              </w:tc>
            </w:tr>
            <w:tr w14:paraId="60A9D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737" w:type="dxa"/>
                  <w:tcBorders>
                    <w:top w:val="single" w:color="auto" w:sz="4" w:space="0"/>
                    <w:left w:val="nil"/>
                    <w:bottom w:val="single" w:color="auto" w:sz="4" w:space="0"/>
                    <w:right w:val="single" w:color="auto" w:sz="4" w:space="0"/>
                  </w:tcBorders>
                  <w:noWrap w:val="0"/>
                  <w:vAlign w:val="center"/>
                </w:tcPr>
                <w:p w14:paraId="4C0579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8</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2DFA5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8幢</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4B7CC4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vertAlign w:val="baseline"/>
                      <w:lang w:val="en-US" w:eastAsia="zh-CN"/>
                      <w14:textFill>
                        <w14:solidFill>
                          <w14:schemeClr w14:val="tx1"/>
                        </w14:solidFill>
                      </w14:textFill>
                    </w:rPr>
                  </w:pPr>
                  <w:r>
                    <w:rPr>
                      <w:rFonts w:hint="eastAsia" w:eastAsia="宋体"/>
                      <w:color w:val="000000" w:themeColor="text1"/>
                      <w:vertAlign w:val="baseline"/>
                      <w:lang w:val="en-US" w:eastAsia="zh-CN"/>
                      <w14:textFill>
                        <w14:solidFill>
                          <w14:schemeClr w14:val="tx1"/>
                        </w14:solidFill>
                      </w14:textFill>
                    </w:rPr>
                    <w:t>丙类</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206A42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vertAlign w:val="baseline"/>
                      <w:lang w:val="en-US" w:eastAsia="zh-CN"/>
                      <w14:textFill>
                        <w14:solidFill>
                          <w14:schemeClr w14:val="tx1"/>
                        </w14:solidFill>
                      </w14:textFill>
                    </w:rPr>
                  </w:pPr>
                  <w:r>
                    <w:rPr>
                      <w:rFonts w:hint="eastAsia" w:eastAsia="宋体"/>
                      <w:color w:val="000000" w:themeColor="text1"/>
                      <w:vertAlign w:val="baseline"/>
                      <w:lang w:val="en-US" w:eastAsia="zh-CN"/>
                      <w14:textFill>
                        <w14:solidFill>
                          <w14:schemeClr w14:val="tx1"/>
                        </w14:solidFill>
                      </w14:textFill>
                    </w:rPr>
                    <w:t>二级</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70533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4</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72EA0C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7053.29</w:t>
                  </w:r>
                </w:p>
              </w:tc>
              <w:tc>
                <w:tcPr>
                  <w:tcW w:w="1191" w:type="dxa"/>
                  <w:tcBorders>
                    <w:top w:val="single" w:color="auto" w:sz="4" w:space="0"/>
                    <w:left w:val="single" w:color="auto" w:sz="4" w:space="0"/>
                    <w:bottom w:val="single" w:color="auto" w:sz="4" w:space="0"/>
                    <w:right w:val="nil"/>
                  </w:tcBorders>
                  <w:noWrap w:val="0"/>
                  <w:vAlign w:val="center"/>
                </w:tcPr>
                <w:p w14:paraId="683575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1939.19</w:t>
                  </w:r>
                </w:p>
              </w:tc>
            </w:tr>
            <w:tr w14:paraId="22E6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737" w:type="dxa"/>
                  <w:tcBorders>
                    <w:top w:val="single" w:color="auto" w:sz="4" w:space="0"/>
                    <w:left w:val="nil"/>
                    <w:bottom w:val="single" w:color="auto" w:sz="4" w:space="0"/>
                    <w:right w:val="single" w:color="auto" w:sz="4" w:space="0"/>
                  </w:tcBorders>
                  <w:noWrap w:val="0"/>
                  <w:vAlign w:val="center"/>
                </w:tcPr>
                <w:p w14:paraId="122926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9</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28CAA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9幢</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482A3F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vertAlign w:val="baseline"/>
                      <w:lang w:val="en-US" w:eastAsia="zh-CN"/>
                      <w14:textFill>
                        <w14:solidFill>
                          <w14:schemeClr w14:val="tx1"/>
                        </w14:solidFill>
                      </w14:textFill>
                    </w:rPr>
                  </w:pPr>
                  <w:r>
                    <w:rPr>
                      <w:rFonts w:hint="eastAsia" w:eastAsia="宋体"/>
                      <w:color w:val="000000" w:themeColor="text1"/>
                      <w:vertAlign w:val="baseline"/>
                      <w:lang w:val="en-US" w:eastAsia="zh-CN"/>
                      <w14:textFill>
                        <w14:solidFill>
                          <w14:schemeClr w14:val="tx1"/>
                        </w14:solidFill>
                      </w14:textFill>
                    </w:rPr>
                    <w:t>丙类</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7B2CE3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vertAlign w:val="baseline"/>
                      <w:lang w:val="en-US" w:eastAsia="zh-CN"/>
                      <w14:textFill>
                        <w14:solidFill>
                          <w14:schemeClr w14:val="tx1"/>
                        </w14:solidFill>
                      </w14:textFill>
                    </w:rPr>
                  </w:pPr>
                  <w:r>
                    <w:rPr>
                      <w:rFonts w:hint="eastAsia" w:eastAsia="宋体"/>
                      <w:color w:val="000000" w:themeColor="text1"/>
                      <w:vertAlign w:val="baseline"/>
                      <w:lang w:val="en-US" w:eastAsia="zh-CN"/>
                      <w14:textFill>
                        <w14:solidFill>
                          <w14:schemeClr w14:val="tx1"/>
                        </w14:solidFill>
                      </w14:textFill>
                    </w:rPr>
                    <w:t>二级</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6FEE5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4</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13829C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6045.82</w:t>
                  </w:r>
                </w:p>
              </w:tc>
              <w:tc>
                <w:tcPr>
                  <w:tcW w:w="1191" w:type="dxa"/>
                  <w:tcBorders>
                    <w:top w:val="single" w:color="auto" w:sz="4" w:space="0"/>
                    <w:left w:val="single" w:color="auto" w:sz="4" w:space="0"/>
                    <w:bottom w:val="single" w:color="auto" w:sz="4" w:space="0"/>
                    <w:right w:val="nil"/>
                  </w:tcBorders>
                  <w:noWrap w:val="0"/>
                  <w:vAlign w:val="center"/>
                </w:tcPr>
                <w:p w14:paraId="605071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1653.49</w:t>
                  </w:r>
                </w:p>
              </w:tc>
            </w:tr>
            <w:tr w14:paraId="2356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737" w:type="dxa"/>
                  <w:tcBorders>
                    <w:top w:val="single" w:color="auto" w:sz="4" w:space="0"/>
                    <w:left w:val="nil"/>
                    <w:bottom w:val="single" w:color="auto" w:sz="4" w:space="0"/>
                    <w:right w:val="single" w:color="auto" w:sz="4" w:space="0"/>
                  </w:tcBorders>
                  <w:noWrap w:val="0"/>
                  <w:vAlign w:val="center"/>
                </w:tcPr>
                <w:p w14:paraId="798F5A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10</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C24BE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10幢</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3B2604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vertAlign w:val="baseline"/>
                      <w:lang w:val="en-US" w:eastAsia="zh-CN"/>
                      <w14:textFill>
                        <w14:solidFill>
                          <w14:schemeClr w14:val="tx1"/>
                        </w14:solidFill>
                      </w14:textFill>
                    </w:rPr>
                  </w:pPr>
                  <w:r>
                    <w:rPr>
                      <w:rFonts w:hint="eastAsia" w:eastAsia="宋体"/>
                      <w:color w:val="000000" w:themeColor="text1"/>
                      <w:vertAlign w:val="baseline"/>
                      <w:lang w:val="en-US" w:eastAsia="zh-CN"/>
                      <w14:textFill>
                        <w14:solidFill>
                          <w14:schemeClr w14:val="tx1"/>
                        </w14:solidFill>
                      </w14:textFill>
                    </w:rPr>
                    <w:t>丙类</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6FBD9C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vertAlign w:val="baseline"/>
                      <w:lang w:val="en-US" w:eastAsia="zh-CN"/>
                      <w14:textFill>
                        <w14:solidFill>
                          <w14:schemeClr w14:val="tx1"/>
                        </w14:solidFill>
                      </w14:textFill>
                    </w:rPr>
                  </w:pPr>
                  <w:r>
                    <w:rPr>
                      <w:rFonts w:hint="eastAsia" w:eastAsia="宋体"/>
                      <w:color w:val="000000" w:themeColor="text1"/>
                      <w:vertAlign w:val="baseline"/>
                      <w:lang w:val="en-US" w:eastAsia="zh-CN"/>
                      <w14:textFill>
                        <w14:solidFill>
                          <w14:schemeClr w14:val="tx1"/>
                        </w14:solidFill>
                      </w14:textFill>
                    </w:rPr>
                    <w:t>二级</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FEECD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4</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5A4D3B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7053.29</w:t>
                  </w:r>
                </w:p>
              </w:tc>
              <w:tc>
                <w:tcPr>
                  <w:tcW w:w="1191" w:type="dxa"/>
                  <w:tcBorders>
                    <w:top w:val="single" w:color="auto" w:sz="4" w:space="0"/>
                    <w:left w:val="single" w:color="auto" w:sz="4" w:space="0"/>
                    <w:bottom w:val="single" w:color="auto" w:sz="4" w:space="0"/>
                    <w:right w:val="nil"/>
                  </w:tcBorders>
                  <w:noWrap w:val="0"/>
                  <w:vAlign w:val="center"/>
                </w:tcPr>
                <w:p w14:paraId="64CC03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1939.19</w:t>
                  </w:r>
                </w:p>
              </w:tc>
            </w:tr>
            <w:tr w14:paraId="6FD2B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737" w:type="dxa"/>
                  <w:tcBorders>
                    <w:top w:val="single" w:color="auto" w:sz="4" w:space="0"/>
                    <w:left w:val="nil"/>
                    <w:bottom w:val="single" w:color="auto" w:sz="12" w:space="0"/>
                    <w:right w:val="single" w:color="auto" w:sz="4" w:space="0"/>
                  </w:tcBorders>
                  <w:noWrap w:val="0"/>
                  <w:vAlign w:val="center"/>
                </w:tcPr>
                <w:p w14:paraId="086E7F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11</w:t>
                  </w:r>
                </w:p>
              </w:tc>
              <w:tc>
                <w:tcPr>
                  <w:tcW w:w="1134" w:type="dxa"/>
                  <w:tcBorders>
                    <w:top w:val="single" w:color="auto" w:sz="4" w:space="0"/>
                    <w:left w:val="single" w:color="auto" w:sz="4" w:space="0"/>
                    <w:bottom w:val="single" w:color="auto" w:sz="12" w:space="0"/>
                    <w:right w:val="single" w:color="auto" w:sz="4" w:space="0"/>
                  </w:tcBorders>
                  <w:noWrap w:val="0"/>
                  <w:vAlign w:val="center"/>
                </w:tcPr>
                <w:p w14:paraId="3CC312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11幢</w:t>
                  </w:r>
                </w:p>
              </w:tc>
              <w:tc>
                <w:tcPr>
                  <w:tcW w:w="1304" w:type="dxa"/>
                  <w:tcBorders>
                    <w:top w:val="single" w:color="auto" w:sz="4" w:space="0"/>
                    <w:left w:val="single" w:color="auto" w:sz="4" w:space="0"/>
                    <w:bottom w:val="single" w:color="auto" w:sz="12" w:space="0"/>
                    <w:right w:val="single" w:color="auto" w:sz="4" w:space="0"/>
                  </w:tcBorders>
                  <w:noWrap w:val="0"/>
                  <w:vAlign w:val="center"/>
                </w:tcPr>
                <w:p w14:paraId="7B74A6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vertAlign w:val="baseline"/>
                      <w:lang w:val="en-US" w:eastAsia="zh-CN"/>
                      <w14:textFill>
                        <w14:solidFill>
                          <w14:schemeClr w14:val="tx1"/>
                        </w14:solidFill>
                      </w14:textFill>
                    </w:rPr>
                  </w:pPr>
                  <w:r>
                    <w:rPr>
                      <w:rFonts w:hint="eastAsia" w:eastAsia="宋体"/>
                      <w:color w:val="000000" w:themeColor="text1"/>
                      <w:vertAlign w:val="baseline"/>
                      <w:lang w:val="en-US" w:eastAsia="zh-CN"/>
                      <w14:textFill>
                        <w14:solidFill>
                          <w14:schemeClr w14:val="tx1"/>
                        </w14:solidFill>
                      </w14:textFill>
                    </w:rPr>
                    <w:t>丙类</w:t>
                  </w:r>
                </w:p>
              </w:tc>
              <w:tc>
                <w:tcPr>
                  <w:tcW w:w="1191" w:type="dxa"/>
                  <w:tcBorders>
                    <w:top w:val="single" w:color="auto" w:sz="4" w:space="0"/>
                    <w:left w:val="single" w:color="auto" w:sz="4" w:space="0"/>
                    <w:bottom w:val="single" w:color="auto" w:sz="12" w:space="0"/>
                    <w:right w:val="single" w:color="auto" w:sz="4" w:space="0"/>
                  </w:tcBorders>
                  <w:noWrap w:val="0"/>
                  <w:vAlign w:val="center"/>
                </w:tcPr>
                <w:p w14:paraId="454904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vertAlign w:val="baseline"/>
                      <w:lang w:val="en-US" w:eastAsia="zh-CN"/>
                      <w14:textFill>
                        <w14:solidFill>
                          <w14:schemeClr w14:val="tx1"/>
                        </w14:solidFill>
                      </w14:textFill>
                    </w:rPr>
                  </w:pPr>
                  <w:r>
                    <w:rPr>
                      <w:rFonts w:hint="eastAsia" w:eastAsia="宋体"/>
                      <w:color w:val="000000" w:themeColor="text1"/>
                      <w:vertAlign w:val="baseline"/>
                      <w:lang w:val="en-US" w:eastAsia="zh-CN"/>
                      <w14:textFill>
                        <w14:solidFill>
                          <w14:schemeClr w14:val="tx1"/>
                        </w14:solidFill>
                      </w14:textFill>
                    </w:rPr>
                    <w:t>二级</w:t>
                  </w:r>
                </w:p>
              </w:tc>
              <w:tc>
                <w:tcPr>
                  <w:tcW w:w="1417" w:type="dxa"/>
                  <w:tcBorders>
                    <w:top w:val="single" w:color="auto" w:sz="4" w:space="0"/>
                    <w:left w:val="single" w:color="auto" w:sz="4" w:space="0"/>
                    <w:bottom w:val="single" w:color="auto" w:sz="12" w:space="0"/>
                    <w:right w:val="single" w:color="auto" w:sz="4" w:space="0"/>
                  </w:tcBorders>
                  <w:noWrap w:val="0"/>
                  <w:vAlign w:val="center"/>
                </w:tcPr>
                <w:p w14:paraId="0FE89F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4</w:t>
                  </w:r>
                </w:p>
              </w:tc>
              <w:tc>
                <w:tcPr>
                  <w:tcW w:w="1304" w:type="dxa"/>
                  <w:tcBorders>
                    <w:top w:val="single" w:color="auto" w:sz="4" w:space="0"/>
                    <w:left w:val="single" w:color="auto" w:sz="4" w:space="0"/>
                    <w:bottom w:val="single" w:color="auto" w:sz="12" w:space="0"/>
                    <w:right w:val="single" w:color="auto" w:sz="4" w:space="0"/>
                  </w:tcBorders>
                  <w:noWrap w:val="0"/>
                  <w:vAlign w:val="center"/>
                </w:tcPr>
                <w:p w14:paraId="63EF35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6045.82</w:t>
                  </w:r>
                </w:p>
              </w:tc>
              <w:tc>
                <w:tcPr>
                  <w:tcW w:w="1191" w:type="dxa"/>
                  <w:tcBorders>
                    <w:top w:val="single" w:color="auto" w:sz="4" w:space="0"/>
                    <w:left w:val="single" w:color="auto" w:sz="4" w:space="0"/>
                    <w:bottom w:val="single" w:color="auto" w:sz="12" w:space="0"/>
                    <w:right w:val="nil"/>
                  </w:tcBorders>
                  <w:noWrap w:val="0"/>
                  <w:vAlign w:val="center"/>
                </w:tcPr>
                <w:p w14:paraId="3C54A2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1653.49</w:t>
                  </w:r>
                </w:p>
              </w:tc>
            </w:tr>
          </w:tbl>
          <w:p w14:paraId="63FD49C7">
            <w:pPr>
              <w:spacing w:line="420" w:lineRule="exact"/>
              <w:ind w:firstLine="420" w:firstLineChars="200"/>
              <w:rPr>
                <w:color w:val="000000" w:themeColor="text1"/>
                <w:kern w:val="0"/>
                <w:szCs w:val="16"/>
                <w14:textFill>
                  <w14:solidFill>
                    <w14:schemeClr w14:val="tx1"/>
                  </w14:solidFill>
                </w14:textFill>
              </w:rPr>
            </w:pPr>
            <w:r>
              <w:rPr>
                <w:color w:val="000000" w:themeColor="text1"/>
                <w:kern w:val="0"/>
                <w:szCs w:val="16"/>
                <w14:textFill>
                  <w14:solidFill>
                    <w14:schemeClr w14:val="tx1"/>
                  </w14:solidFill>
                </w14:textFill>
              </w:rPr>
              <w:t>本项目总平面布置是根据厂址现有的地势、地形及加工工艺流程等进行分区设计的，并充分考虑了主导风向、物料运输等因素，厂区</w:t>
            </w:r>
            <w:r>
              <w:rPr>
                <w:color w:val="000000" w:themeColor="text1"/>
                <w:kern w:val="0"/>
                <w:szCs w:val="16"/>
                <w:highlight w:val="none"/>
                <w14:textFill>
                  <w14:solidFill>
                    <w14:schemeClr w14:val="tx1"/>
                  </w14:solidFill>
                </w14:textFill>
              </w:rPr>
              <w:t>平面布置情况详见附图</w:t>
            </w:r>
            <w:r>
              <w:rPr>
                <w:rFonts w:hint="eastAsia"/>
                <w:color w:val="000000" w:themeColor="text1"/>
                <w:kern w:val="0"/>
                <w:szCs w:val="16"/>
                <w:highlight w:val="none"/>
                <w:lang w:val="en-US" w:eastAsia="zh-CN"/>
                <w14:textFill>
                  <w14:solidFill>
                    <w14:schemeClr w14:val="tx1"/>
                  </w14:solidFill>
                </w14:textFill>
              </w:rPr>
              <w:t>7</w:t>
            </w:r>
            <w:r>
              <w:rPr>
                <w:color w:val="000000" w:themeColor="text1"/>
                <w:kern w:val="0"/>
                <w:szCs w:val="16"/>
                <w:highlight w:val="none"/>
                <w14:textFill>
                  <w14:solidFill>
                    <w14:schemeClr w14:val="tx1"/>
                  </w14:solidFill>
                </w14:textFill>
              </w:rPr>
              <w:t>。</w:t>
            </w:r>
          </w:p>
          <w:p w14:paraId="13633184">
            <w:pPr>
              <w:adjustRightInd w:val="0"/>
              <w:snapToGrid w:val="0"/>
              <w:spacing w:line="420" w:lineRule="exact"/>
              <w:ind w:firstLine="420" w:firstLineChars="200"/>
              <w:rPr>
                <w:color w:val="000000" w:themeColor="text1"/>
                <w:kern w:val="0"/>
                <w:szCs w:val="16"/>
                <w14:textFill>
                  <w14:solidFill>
                    <w14:schemeClr w14:val="tx1"/>
                  </w14:solidFill>
                </w14:textFill>
              </w:rPr>
            </w:pPr>
            <w:r>
              <w:rPr>
                <w:color w:val="000000" w:themeColor="text1"/>
                <w:kern w:val="0"/>
                <w:szCs w:val="16"/>
                <w14:textFill>
                  <w14:solidFill>
                    <w14:schemeClr w14:val="tx1"/>
                  </w14:solidFill>
                </w14:textFill>
              </w:rPr>
              <w:t>本项</w:t>
            </w:r>
            <w:r>
              <w:rPr>
                <w:color w:val="000000" w:themeColor="text1"/>
                <w:kern w:val="0"/>
                <w:szCs w:val="16"/>
                <w:highlight w:val="none"/>
                <w14:textFill>
                  <w14:solidFill>
                    <w14:schemeClr w14:val="tx1"/>
                  </w14:solidFill>
                </w14:textFill>
              </w:rPr>
              <w:t>目</w:t>
            </w:r>
            <w:r>
              <w:rPr>
                <w:rFonts w:hint="eastAsia"/>
                <w:color w:val="000000" w:themeColor="text1"/>
                <w:kern w:val="0"/>
                <w:szCs w:val="16"/>
                <w:highlight w:val="none"/>
                <w14:textFill>
                  <w14:solidFill>
                    <w14:schemeClr w14:val="tx1"/>
                  </w14:solidFill>
                </w14:textFill>
              </w:rPr>
              <w:t>购置建筑</w:t>
            </w:r>
            <w:r>
              <w:rPr>
                <w:rFonts w:hint="eastAsia"/>
                <w:color w:val="000000" w:themeColor="text1"/>
                <w:kern w:val="0"/>
                <w:szCs w:val="16"/>
                <w14:textFill>
                  <w14:solidFill>
                    <w14:schemeClr w14:val="tx1"/>
                  </w14:solidFill>
                </w14:textFill>
              </w:rPr>
              <w:t>面积</w:t>
            </w:r>
            <w:r>
              <w:rPr>
                <w:rFonts w:hint="eastAsia"/>
                <w:color w:val="000000" w:themeColor="text1"/>
                <w:kern w:val="0"/>
                <w:szCs w:val="16"/>
                <w:lang w:val="en-US" w:eastAsia="zh-CN"/>
                <w14:textFill>
                  <w14:solidFill>
                    <w14:schemeClr w14:val="tx1"/>
                  </w14:solidFill>
                </w14:textFill>
              </w:rPr>
              <w:t>3526.28</w:t>
            </w:r>
            <w:r>
              <w:rPr>
                <w:rFonts w:hint="eastAsia"/>
                <w:color w:val="000000" w:themeColor="text1"/>
                <w:kern w:val="0"/>
                <w:szCs w:val="16"/>
                <w14:textFill>
                  <w14:solidFill>
                    <w14:schemeClr w14:val="tx1"/>
                  </w14:solidFill>
                </w14:textFill>
              </w:rPr>
              <w:t>平方米</w:t>
            </w:r>
            <w:r>
              <w:rPr>
                <w:color w:val="000000" w:themeColor="text1"/>
                <w:kern w:val="0"/>
                <w:szCs w:val="16"/>
                <w14:textFill>
                  <w14:solidFill>
                    <w14:schemeClr w14:val="tx1"/>
                  </w14:solidFill>
                </w14:textFill>
              </w:rPr>
              <w:t>，</w:t>
            </w:r>
            <w:r>
              <w:rPr>
                <w:rFonts w:hint="eastAsia"/>
                <w:color w:val="000000" w:themeColor="text1"/>
                <w:kern w:val="0"/>
                <w:szCs w:val="16"/>
                <w14:textFill>
                  <w14:solidFill>
                    <w14:schemeClr w14:val="tx1"/>
                  </w14:solidFill>
                </w14:textFill>
              </w:rPr>
              <w:t>本项目入驻</w:t>
            </w:r>
            <w:r>
              <w:rPr>
                <w:rFonts w:hint="eastAsia"/>
                <w:color w:val="000000" w:themeColor="text1"/>
                <w:kern w:val="0"/>
                <w:szCs w:val="16"/>
                <w:lang w:val="en-US" w:eastAsia="zh-CN"/>
                <w14:textFill>
                  <w14:solidFill>
                    <w14:schemeClr w14:val="tx1"/>
                  </w14:solidFill>
                </w14:textFill>
              </w:rPr>
              <w:t>前已对厂房进行检查</w:t>
            </w:r>
            <w:r>
              <w:rPr>
                <w:rFonts w:hint="eastAsia"/>
                <w:color w:val="000000" w:themeColor="text1"/>
                <w:kern w:val="0"/>
                <w:szCs w:val="16"/>
                <w14:textFill>
                  <w14:solidFill>
                    <w14:schemeClr w14:val="tx1"/>
                  </w14:solidFill>
                </w14:textFill>
              </w:rPr>
              <w:t>，厂房无历史遗留问题。</w:t>
            </w:r>
            <w:r>
              <w:rPr>
                <w:rFonts w:hint="eastAsia"/>
                <w:color w:val="000000" w:themeColor="text1"/>
                <w:szCs w:val="21"/>
                <w14:textFill>
                  <w14:solidFill>
                    <w14:schemeClr w14:val="tx1"/>
                  </w14:solidFill>
                </w14:textFill>
              </w:rPr>
              <w:t>厂区内设有办公</w:t>
            </w:r>
            <w:r>
              <w:rPr>
                <w:rFonts w:hint="eastAsia"/>
                <w:color w:val="000000" w:themeColor="text1"/>
                <w:szCs w:val="21"/>
                <w:lang w:val="en-US" w:eastAsia="zh-CN"/>
                <w14:textFill>
                  <w14:solidFill>
                    <w14:schemeClr w14:val="tx1"/>
                  </w14:solidFill>
                </w14:textFill>
              </w:rPr>
              <w:t>区</w:t>
            </w:r>
            <w:r>
              <w:rPr>
                <w:rFonts w:hint="eastAsia"/>
                <w:color w:val="000000" w:themeColor="text1"/>
                <w:szCs w:val="21"/>
                <w14:textFill>
                  <w14:solidFill>
                    <w14:schemeClr w14:val="tx1"/>
                  </w14:solidFill>
                </w14:textFill>
              </w:rPr>
              <w:t>、生产区、原</w:t>
            </w:r>
            <w:r>
              <w:rPr>
                <w:rFonts w:hint="eastAsia"/>
                <w:color w:val="000000" w:themeColor="text1"/>
                <w:szCs w:val="21"/>
                <w:lang w:val="en-US" w:eastAsia="zh-CN"/>
                <w14:textFill>
                  <w14:solidFill>
                    <w14:schemeClr w14:val="tx1"/>
                  </w14:solidFill>
                </w14:textFill>
              </w:rPr>
              <w:t>辅料仓库</w:t>
            </w:r>
            <w:r>
              <w:rPr>
                <w:rFonts w:hint="eastAsia"/>
                <w:color w:val="000000" w:themeColor="text1"/>
                <w:szCs w:val="21"/>
                <w14:textFill>
                  <w14:solidFill>
                    <w14:schemeClr w14:val="tx1"/>
                  </w14:solidFill>
                </w14:textFill>
              </w:rPr>
              <w:t>、成品</w:t>
            </w:r>
            <w:r>
              <w:rPr>
                <w:rFonts w:hint="eastAsia"/>
                <w:color w:val="000000" w:themeColor="text1"/>
                <w:szCs w:val="21"/>
                <w:lang w:val="en-US" w:eastAsia="zh-CN"/>
                <w14:textFill>
                  <w14:solidFill>
                    <w14:schemeClr w14:val="tx1"/>
                  </w14:solidFill>
                </w14:textFill>
              </w:rPr>
              <w:t>仓库</w:t>
            </w:r>
            <w:r>
              <w:rPr>
                <w:rFonts w:hint="eastAsia"/>
                <w:color w:val="000000" w:themeColor="text1"/>
                <w:szCs w:val="21"/>
                <w14:textFill>
                  <w14:solidFill>
                    <w14:schemeClr w14:val="tx1"/>
                  </w14:solidFill>
                </w14:textFill>
              </w:rPr>
              <w:t>、一般工业固废仓库、危废仓库</w:t>
            </w:r>
            <w:r>
              <w:rPr>
                <w:color w:val="000000" w:themeColor="text1"/>
                <w:szCs w:val="21"/>
                <w14:textFill>
                  <w14:solidFill>
                    <w14:schemeClr w14:val="tx1"/>
                  </w14:solidFill>
                </w14:textFill>
              </w:rPr>
              <w:t>等，各功能单元布置紧凑合理。</w:t>
            </w:r>
            <w:r>
              <w:rPr>
                <w:rFonts w:hint="eastAsia"/>
                <w:color w:val="000000" w:themeColor="text1"/>
                <w:szCs w:val="21"/>
                <w14:textFill>
                  <w14:solidFill>
                    <w14:schemeClr w14:val="tx1"/>
                  </w14:solidFill>
                </w14:textFill>
              </w:rPr>
              <w:t>生产区</w:t>
            </w:r>
            <w:r>
              <w:rPr>
                <w:color w:val="000000" w:themeColor="text1"/>
                <w:szCs w:val="21"/>
                <w14:textFill>
                  <w14:solidFill>
                    <w14:schemeClr w14:val="tx1"/>
                  </w14:solidFill>
                </w14:textFill>
              </w:rPr>
              <w:t>内部设备布置根据产品生产工艺流程、物流等需要合理布局，既满足生产又便于管理。</w:t>
            </w:r>
            <w:r>
              <w:rPr>
                <w:rFonts w:hint="eastAsia"/>
                <w:color w:val="000000" w:themeColor="text1"/>
                <w:szCs w:val="21"/>
                <w14:textFill>
                  <w14:solidFill>
                    <w14:schemeClr w14:val="tx1"/>
                  </w14:solidFill>
                </w14:textFill>
              </w:rPr>
              <w:t>生产区</w:t>
            </w:r>
            <w:r>
              <w:rPr>
                <w:color w:val="000000" w:themeColor="text1"/>
                <w:szCs w:val="21"/>
                <w14:textFill>
                  <w14:solidFill>
                    <w14:schemeClr w14:val="tx1"/>
                  </w14:solidFill>
                </w14:textFill>
              </w:rPr>
              <w:t>布置还应考虑安全布局，符合防火、环保、卫生和安全等规范要求，以利于保障生命财产的安全</w:t>
            </w:r>
            <w:r>
              <w:rPr>
                <w:rFonts w:hint="eastAsia"/>
                <w:color w:val="000000" w:themeColor="text1"/>
                <w:szCs w:val="21"/>
                <w14:textFill>
                  <w14:solidFill>
                    <w14:schemeClr w14:val="tx1"/>
                  </w14:solidFill>
                </w14:textFill>
              </w:rPr>
              <w:t>以及</w:t>
            </w:r>
            <w:r>
              <w:rPr>
                <w:color w:val="000000" w:themeColor="text1"/>
                <w:szCs w:val="21"/>
                <w14:textFill>
                  <w14:solidFill>
                    <w14:schemeClr w14:val="tx1"/>
                  </w14:solidFill>
                </w14:textFill>
              </w:rPr>
              <w:t>改善职工劳动条件</w:t>
            </w:r>
            <w:r>
              <w:rPr>
                <w:color w:val="000000" w:themeColor="text1"/>
                <w:kern w:val="0"/>
                <w:szCs w:val="16"/>
                <w14:textFill>
                  <w14:solidFill>
                    <w14:schemeClr w14:val="tx1"/>
                  </w14:solidFill>
                </w14:textFill>
              </w:rPr>
              <w:t>。</w:t>
            </w:r>
          </w:p>
          <w:p w14:paraId="6C784972">
            <w:pPr>
              <w:adjustRightInd w:val="0"/>
              <w:snapToGrid w:val="0"/>
              <w:spacing w:line="420" w:lineRule="exact"/>
              <w:ind w:firstLine="420" w:firstLineChars="200"/>
              <w:rPr>
                <w:bCs/>
                <w:color w:val="000000" w:themeColor="text1"/>
                <w:szCs w:val="21"/>
                <w14:textFill>
                  <w14:solidFill>
                    <w14:schemeClr w14:val="tx1"/>
                  </w14:solidFill>
                </w14:textFill>
              </w:rPr>
            </w:pPr>
            <w:r>
              <w:rPr>
                <w:color w:val="000000" w:themeColor="text1"/>
                <w:szCs w:val="21"/>
                <w14:textFill>
                  <w14:solidFill>
                    <w14:schemeClr w14:val="tx1"/>
                  </w14:solidFill>
                </w14:textFill>
              </w:rPr>
              <w:t>因此，本项目厂区平面布置较合理。</w:t>
            </w:r>
          </w:p>
        </w:tc>
      </w:tr>
      <w:tr w14:paraId="2244FC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06" w:hRule="atLeast"/>
          <w:jc w:val="center"/>
        </w:trPr>
        <w:tc>
          <w:tcPr>
            <w:tcW w:w="235" w:type="pct"/>
            <w:noWrap/>
            <w:vAlign w:val="center"/>
          </w:tcPr>
          <w:p w14:paraId="0710C496">
            <w:pPr>
              <w:pStyle w:val="18"/>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工艺流程和产排污环节</w:t>
            </w:r>
          </w:p>
        </w:tc>
        <w:tc>
          <w:tcPr>
            <w:tcW w:w="4764" w:type="pct"/>
            <w:noWrap/>
          </w:tcPr>
          <w:p w14:paraId="75E2A83B">
            <w:pPr>
              <w:pStyle w:val="18"/>
              <w:adjustRightInd w:val="0"/>
              <w:snapToGrid w:val="0"/>
              <w:spacing w:before="0" w:beforeAutospacing="0" w:after="0" w:afterAutospacing="0" w:line="420" w:lineRule="exact"/>
              <w:ind w:firstLine="422" w:firstLineChars="200"/>
              <w:jc w:val="both"/>
              <w:rPr>
                <w:rFonts w:ascii="Times New Roman" w:hAnsi="Times New Roman"/>
                <w:b/>
                <w:bCs/>
                <w:color w:val="000000" w:themeColor="text1"/>
                <w:sz w:val="21"/>
                <w:szCs w:val="21"/>
                <w14:textFill>
                  <w14:solidFill>
                    <w14:schemeClr w14:val="tx1"/>
                  </w14:solidFill>
                </w14:textFill>
              </w:rPr>
            </w:pPr>
            <w:r>
              <w:rPr>
                <w:rFonts w:hint="eastAsia" w:ascii="Times New Roman" w:hAnsi="Times New Roman"/>
                <w:b/>
                <w:bCs/>
                <w:color w:val="000000" w:themeColor="text1"/>
                <w:sz w:val="21"/>
                <w:szCs w:val="21"/>
                <w14:textFill>
                  <w14:solidFill>
                    <w14:schemeClr w14:val="tx1"/>
                  </w14:solidFill>
                </w14:textFill>
              </w:rPr>
              <w:t>2.1</w:t>
            </w:r>
            <w:r>
              <w:rPr>
                <w:rFonts w:hint="eastAsia" w:ascii="Times New Roman" w:hAnsi="Times New Roman"/>
                <w:b/>
                <w:bCs/>
                <w:color w:val="000000" w:themeColor="text1"/>
                <w:sz w:val="21"/>
                <w:szCs w:val="21"/>
                <w:lang w:val="en-US" w:eastAsia="zh-CN"/>
                <w14:textFill>
                  <w14:solidFill>
                    <w14:schemeClr w14:val="tx1"/>
                  </w14:solidFill>
                </w14:textFill>
              </w:rPr>
              <w:t>2</w:t>
            </w:r>
            <w:r>
              <w:rPr>
                <w:rFonts w:hint="eastAsia" w:ascii="Times New Roman" w:hAnsi="Times New Roman"/>
                <w:b/>
                <w:bCs/>
                <w:color w:val="000000" w:themeColor="text1"/>
                <w:sz w:val="21"/>
                <w:szCs w:val="21"/>
                <w14:textFill>
                  <w14:solidFill>
                    <w14:schemeClr w14:val="tx1"/>
                  </w14:solidFill>
                </w14:textFill>
              </w:rPr>
              <w:t>产品介绍</w:t>
            </w:r>
          </w:p>
          <w:p w14:paraId="418F3FD0">
            <w:pPr>
              <w:adjustRightInd w:val="0"/>
              <w:snapToGrid w:val="0"/>
              <w:spacing w:line="420" w:lineRule="exact"/>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w:t>
            </w:r>
            <w:r>
              <w:rPr>
                <w:rFonts w:hint="eastAsia"/>
                <w:color w:val="000000" w:themeColor="text1"/>
                <w:kern w:val="0"/>
                <w:szCs w:val="21"/>
                <w14:textFill>
                  <w14:solidFill>
                    <w14:schemeClr w14:val="tx1"/>
                  </w14:solidFill>
                </w14:textFill>
              </w:rPr>
              <w:t>目产品为年产医药冷链盒、医用水箱、汽车风管、工具箱</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具体见下图</w:t>
            </w:r>
            <w:r>
              <w:rPr>
                <w:rFonts w:hint="eastAsia"/>
                <w:color w:val="000000" w:themeColor="text1"/>
                <w:kern w:val="0"/>
                <w:szCs w:val="21"/>
                <w14:textFill>
                  <w14:solidFill>
                    <w14:schemeClr w14:val="tx1"/>
                  </w14:solidFill>
                </w14:textFill>
              </w:rPr>
              <w: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9"/>
              <w:gridCol w:w="4039"/>
            </w:tblGrid>
            <w:tr w14:paraId="2483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09" w:type="dxa"/>
                </w:tcPr>
                <w:p w14:paraId="3186F234">
                  <w:pPr>
                    <w:adjustRightInd w:val="0"/>
                    <w:snapToGrid w:val="0"/>
                    <w:spacing w:beforeLines="30"/>
                    <w:jc w:val="center"/>
                    <w:rPr>
                      <w:rFonts w:hint="eastAsia" w:eastAsia="宋体"/>
                      <w:b/>
                      <w:bCs/>
                      <w:color w:val="000000" w:themeColor="text1"/>
                      <w:kern w:val="0"/>
                      <w:szCs w:val="21"/>
                      <w:highlight w:val="none"/>
                      <w:lang w:eastAsia="zh-CN"/>
                      <w14:textFill>
                        <w14:solidFill>
                          <w14:schemeClr w14:val="tx1"/>
                        </w14:solidFill>
                      </w14:textFill>
                    </w:rPr>
                  </w:pPr>
                  <w:r>
                    <w:rPr>
                      <w:rFonts w:hint="eastAsia" w:eastAsia="宋体"/>
                      <w:b/>
                      <w:bCs/>
                      <w:color w:val="000000" w:themeColor="text1"/>
                      <w:kern w:val="0"/>
                      <w:szCs w:val="21"/>
                      <w:highlight w:val="none"/>
                      <w:lang w:eastAsia="zh-CN"/>
                      <w14:textFill>
                        <w14:solidFill>
                          <w14:schemeClr w14:val="tx1"/>
                        </w14:solidFill>
                      </w14:textFill>
                    </w:rPr>
                    <w:drawing>
                      <wp:inline distT="0" distB="0" distL="114300" distR="114300">
                        <wp:extent cx="2533650" cy="3148330"/>
                        <wp:effectExtent l="0" t="0" r="0" b="13970"/>
                        <wp:docPr id="14" name="图片 14" descr="d40c720e5c8621db8fe81910c53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40c720e5c8621db8fe81910c536315"/>
                                <pic:cNvPicPr>
                                  <a:picLocks noChangeAspect="1"/>
                                </pic:cNvPicPr>
                              </pic:nvPicPr>
                              <pic:blipFill>
                                <a:blip r:embed="rId14"/>
                                <a:stretch>
                                  <a:fillRect/>
                                </a:stretch>
                              </pic:blipFill>
                              <pic:spPr>
                                <a:xfrm>
                                  <a:off x="0" y="0"/>
                                  <a:ext cx="2533650" cy="3148330"/>
                                </a:xfrm>
                                <a:prstGeom prst="rect">
                                  <a:avLst/>
                                </a:prstGeom>
                              </pic:spPr>
                            </pic:pic>
                          </a:graphicData>
                        </a:graphic>
                      </wp:inline>
                    </w:drawing>
                  </w:r>
                </w:p>
              </w:tc>
              <w:tc>
                <w:tcPr>
                  <w:tcW w:w="4209" w:type="dxa"/>
                </w:tcPr>
                <w:p w14:paraId="66CB09EC">
                  <w:pPr>
                    <w:adjustRightInd w:val="0"/>
                    <w:snapToGrid w:val="0"/>
                    <w:spacing w:beforeLines="30"/>
                    <w:jc w:val="center"/>
                    <w:rPr>
                      <w:rFonts w:hint="eastAsia" w:eastAsia="宋体"/>
                      <w:b/>
                      <w:bCs/>
                      <w:color w:val="000000" w:themeColor="text1"/>
                      <w:kern w:val="0"/>
                      <w:szCs w:val="21"/>
                      <w:highlight w:val="none"/>
                      <w:lang w:eastAsia="zh-CN"/>
                      <w14:textFill>
                        <w14:solidFill>
                          <w14:schemeClr w14:val="tx1"/>
                        </w14:solidFill>
                      </w14:textFill>
                    </w:rPr>
                  </w:pPr>
                  <w:r>
                    <w:rPr>
                      <w:rFonts w:hint="eastAsia" w:eastAsia="宋体"/>
                      <w:b/>
                      <w:bCs/>
                      <w:color w:val="000000" w:themeColor="text1"/>
                      <w:kern w:val="0"/>
                      <w:szCs w:val="21"/>
                      <w:highlight w:val="none"/>
                      <w:lang w:eastAsia="zh-CN"/>
                      <w14:textFill>
                        <w14:solidFill>
                          <w14:schemeClr w14:val="tx1"/>
                        </w14:solidFill>
                      </w14:textFill>
                    </w:rPr>
                    <w:drawing>
                      <wp:inline distT="0" distB="0" distL="114300" distR="114300">
                        <wp:extent cx="2426335" cy="2539365"/>
                        <wp:effectExtent l="0" t="0" r="12065" b="13335"/>
                        <wp:docPr id="2" name="图片 2" descr="c89f12643aa65f3ae8518c0e1b371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89f12643aa65f3ae8518c0e1b371fe"/>
                                <pic:cNvPicPr>
                                  <a:picLocks noChangeAspect="1"/>
                                </pic:cNvPicPr>
                              </pic:nvPicPr>
                              <pic:blipFill>
                                <a:blip r:embed="rId15"/>
                                <a:stretch>
                                  <a:fillRect/>
                                </a:stretch>
                              </pic:blipFill>
                              <pic:spPr>
                                <a:xfrm>
                                  <a:off x="0" y="0"/>
                                  <a:ext cx="2426335" cy="2539365"/>
                                </a:xfrm>
                                <a:prstGeom prst="rect">
                                  <a:avLst/>
                                </a:prstGeom>
                              </pic:spPr>
                            </pic:pic>
                          </a:graphicData>
                        </a:graphic>
                      </wp:inline>
                    </w:drawing>
                  </w:r>
                </w:p>
              </w:tc>
            </w:tr>
            <w:tr w14:paraId="767A7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9" w:type="dxa"/>
                </w:tcPr>
                <w:p w14:paraId="0E89578A">
                  <w:pPr>
                    <w:adjustRightInd w:val="0"/>
                    <w:snapToGrid w:val="0"/>
                    <w:spacing w:beforeLines="30"/>
                    <w:jc w:val="center"/>
                    <w:rPr>
                      <w:color w:val="000000" w:themeColor="text1"/>
                      <w:kern w:val="0"/>
                      <w:szCs w:val="21"/>
                      <w:highlight w:val="none"/>
                      <w14:textFill>
                        <w14:solidFill>
                          <w14:schemeClr w14:val="tx1"/>
                        </w14:solidFill>
                      </w14:textFill>
                    </w:rPr>
                  </w:pPr>
                  <w:r>
                    <w:rPr>
                      <w:rFonts w:hint="eastAsia"/>
                      <w:color w:val="000000" w:themeColor="text1"/>
                      <w:kern w:val="0"/>
                      <w:szCs w:val="21"/>
                      <w14:textFill>
                        <w14:solidFill>
                          <w14:schemeClr w14:val="tx1"/>
                        </w14:solidFill>
                      </w14:textFill>
                    </w:rPr>
                    <w:t>医药冷链盒</w:t>
                  </w:r>
                </w:p>
              </w:tc>
              <w:tc>
                <w:tcPr>
                  <w:tcW w:w="4209" w:type="dxa"/>
                </w:tcPr>
                <w:p w14:paraId="76C4A309">
                  <w:pPr>
                    <w:adjustRightInd w:val="0"/>
                    <w:snapToGrid w:val="0"/>
                    <w:spacing w:beforeLines="30"/>
                    <w:jc w:val="center"/>
                    <w:rPr>
                      <w:color w:val="000000" w:themeColor="text1"/>
                      <w:kern w:val="0"/>
                      <w:szCs w:val="21"/>
                      <w:highlight w:val="none"/>
                      <w14:textFill>
                        <w14:solidFill>
                          <w14:schemeClr w14:val="tx1"/>
                        </w14:solidFill>
                      </w14:textFill>
                    </w:rPr>
                  </w:pPr>
                  <w:r>
                    <w:rPr>
                      <w:rFonts w:hint="eastAsia"/>
                      <w:color w:val="000000" w:themeColor="text1"/>
                      <w:kern w:val="0"/>
                      <w:szCs w:val="21"/>
                      <w14:textFill>
                        <w14:solidFill>
                          <w14:schemeClr w14:val="tx1"/>
                        </w14:solidFill>
                      </w14:textFill>
                    </w:rPr>
                    <w:t>医用水箱</w:t>
                  </w:r>
                </w:p>
              </w:tc>
            </w:tr>
            <w:tr w14:paraId="7BAE3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9" w:type="dxa"/>
                </w:tcPr>
                <w:p w14:paraId="1CB69E4B">
                  <w:pPr>
                    <w:adjustRightInd w:val="0"/>
                    <w:snapToGrid w:val="0"/>
                    <w:spacing w:beforeLines="30"/>
                    <w:jc w:val="center"/>
                    <w:rPr>
                      <w:rFonts w:hint="eastAsia" w:eastAsia="宋体"/>
                      <w:color w:val="000000" w:themeColor="text1"/>
                      <w:kern w:val="0"/>
                      <w:szCs w:val="21"/>
                      <w:highlight w:val="none"/>
                      <w:lang w:eastAsia="zh-CN"/>
                      <w14:textFill>
                        <w14:solidFill>
                          <w14:schemeClr w14:val="tx1"/>
                        </w14:solidFill>
                      </w14:textFill>
                    </w:rPr>
                  </w:pPr>
                  <w:r>
                    <w:rPr>
                      <w:rFonts w:hint="eastAsia" w:eastAsia="宋体"/>
                      <w:color w:val="000000" w:themeColor="text1"/>
                      <w:kern w:val="0"/>
                      <w:szCs w:val="21"/>
                      <w:highlight w:val="none"/>
                      <w:lang w:eastAsia="zh-CN"/>
                      <w14:textFill>
                        <w14:solidFill>
                          <w14:schemeClr w14:val="tx1"/>
                        </w14:solidFill>
                      </w14:textFill>
                    </w:rPr>
                    <w:drawing>
                      <wp:inline distT="0" distB="0" distL="114300" distR="114300">
                        <wp:extent cx="2534285" cy="1729740"/>
                        <wp:effectExtent l="0" t="0" r="18415" b="3810"/>
                        <wp:docPr id="17" name="图片 17" descr="fbdf7ef8e58009a1320d2a776e152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bdf7ef8e58009a1320d2a776e1529f"/>
                                <pic:cNvPicPr>
                                  <a:picLocks noChangeAspect="1"/>
                                </pic:cNvPicPr>
                              </pic:nvPicPr>
                              <pic:blipFill>
                                <a:blip r:embed="rId16"/>
                                <a:stretch>
                                  <a:fillRect/>
                                </a:stretch>
                              </pic:blipFill>
                              <pic:spPr>
                                <a:xfrm>
                                  <a:off x="0" y="0"/>
                                  <a:ext cx="2534285" cy="1729740"/>
                                </a:xfrm>
                                <a:prstGeom prst="rect">
                                  <a:avLst/>
                                </a:prstGeom>
                              </pic:spPr>
                            </pic:pic>
                          </a:graphicData>
                        </a:graphic>
                      </wp:inline>
                    </w:drawing>
                  </w:r>
                </w:p>
              </w:tc>
              <w:tc>
                <w:tcPr>
                  <w:tcW w:w="4209" w:type="dxa"/>
                </w:tcPr>
                <w:p w14:paraId="333FC655">
                  <w:pPr>
                    <w:adjustRightInd w:val="0"/>
                    <w:snapToGrid w:val="0"/>
                    <w:spacing w:beforeLines="30"/>
                    <w:jc w:val="center"/>
                    <w:rPr>
                      <w:rFonts w:hint="eastAsia" w:eastAsia="宋体"/>
                      <w:color w:val="000000" w:themeColor="text1"/>
                      <w:kern w:val="0"/>
                      <w:szCs w:val="21"/>
                      <w:highlight w:val="none"/>
                      <w:lang w:eastAsia="zh-CN"/>
                      <w14:textFill>
                        <w14:solidFill>
                          <w14:schemeClr w14:val="tx1"/>
                        </w14:solidFill>
                      </w14:textFill>
                    </w:rPr>
                  </w:pPr>
                  <w:r>
                    <w:rPr>
                      <w:rFonts w:hint="eastAsia" w:eastAsia="宋体"/>
                      <w:color w:val="000000" w:themeColor="text1"/>
                      <w:kern w:val="0"/>
                      <w:szCs w:val="21"/>
                      <w:highlight w:val="none"/>
                      <w:lang w:eastAsia="zh-CN"/>
                      <w14:textFill>
                        <w14:solidFill>
                          <w14:schemeClr w14:val="tx1"/>
                        </w14:solidFill>
                      </w14:textFill>
                    </w:rPr>
                    <w:drawing>
                      <wp:inline distT="0" distB="0" distL="114300" distR="114300">
                        <wp:extent cx="2534920" cy="1915795"/>
                        <wp:effectExtent l="0" t="0" r="17780" b="8255"/>
                        <wp:docPr id="18" name="图片 18" descr="8e310407406c4b85ce00b67d15625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e310407406c4b85ce00b67d15625d5"/>
                                <pic:cNvPicPr>
                                  <a:picLocks noChangeAspect="1"/>
                                </pic:cNvPicPr>
                              </pic:nvPicPr>
                              <pic:blipFill>
                                <a:blip r:embed="rId17"/>
                                <a:stretch>
                                  <a:fillRect/>
                                </a:stretch>
                              </pic:blipFill>
                              <pic:spPr>
                                <a:xfrm>
                                  <a:off x="0" y="0"/>
                                  <a:ext cx="2534920" cy="1915795"/>
                                </a:xfrm>
                                <a:prstGeom prst="rect">
                                  <a:avLst/>
                                </a:prstGeom>
                              </pic:spPr>
                            </pic:pic>
                          </a:graphicData>
                        </a:graphic>
                      </wp:inline>
                    </w:drawing>
                  </w:r>
                </w:p>
              </w:tc>
            </w:tr>
            <w:tr w14:paraId="02BC7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9" w:type="dxa"/>
                </w:tcPr>
                <w:p w14:paraId="20D7D8EB">
                  <w:pPr>
                    <w:adjustRightInd w:val="0"/>
                    <w:snapToGrid w:val="0"/>
                    <w:spacing w:beforeLines="30"/>
                    <w:jc w:val="center"/>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14:textFill>
                        <w14:solidFill>
                          <w14:schemeClr w14:val="tx1"/>
                        </w14:solidFill>
                      </w14:textFill>
                    </w:rPr>
                    <w:t>汽车风管</w:t>
                  </w:r>
                </w:p>
              </w:tc>
              <w:tc>
                <w:tcPr>
                  <w:tcW w:w="4209" w:type="dxa"/>
                </w:tcPr>
                <w:p w14:paraId="089ED6EB">
                  <w:pPr>
                    <w:adjustRightInd w:val="0"/>
                    <w:snapToGrid w:val="0"/>
                    <w:spacing w:beforeLines="30"/>
                    <w:jc w:val="center"/>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14:textFill>
                        <w14:solidFill>
                          <w14:schemeClr w14:val="tx1"/>
                        </w14:solidFill>
                      </w14:textFill>
                    </w:rPr>
                    <w:t>工具箱</w:t>
                  </w:r>
                </w:p>
              </w:tc>
            </w:tr>
          </w:tbl>
          <w:p w14:paraId="6F920E43">
            <w:pPr>
              <w:adjustRightInd w:val="0"/>
              <w:snapToGrid w:val="0"/>
              <w:spacing w:beforeLines="30"/>
              <w:jc w:val="center"/>
              <w:rPr>
                <w:b/>
                <w:bCs/>
                <w:color w:val="000000" w:themeColor="text1"/>
                <w:kern w:val="0"/>
                <w:szCs w:val="21"/>
                <w14:textFill>
                  <w14:solidFill>
                    <w14:schemeClr w14:val="tx1"/>
                  </w14:solidFill>
                </w14:textFill>
              </w:rPr>
            </w:pPr>
          </w:p>
          <w:p w14:paraId="082144A3">
            <w:pPr>
              <w:adjustRightInd w:val="0"/>
              <w:snapToGrid w:val="0"/>
              <w:spacing w:beforeLines="30"/>
              <w:jc w:val="center"/>
              <w:rPr>
                <w:b/>
                <w:bCs/>
                <w:color w:val="000000" w:themeColor="text1"/>
                <w:kern w:val="0"/>
                <w:szCs w:val="21"/>
                <w14:textFill>
                  <w14:solidFill>
                    <w14:schemeClr w14:val="tx1"/>
                  </w14:solidFill>
                </w14:textFill>
              </w:rPr>
            </w:pPr>
          </w:p>
          <w:p w14:paraId="60A838C3">
            <w:pPr>
              <w:adjustRightInd w:val="0"/>
              <w:snapToGrid w:val="0"/>
              <w:jc w:val="center"/>
              <w:rPr>
                <w:color w:val="000000" w:themeColor="text1"/>
                <w:szCs w:val="21"/>
                <w14:textFill>
                  <w14:solidFill>
                    <w14:schemeClr w14:val="tx1"/>
                  </w14:solidFill>
                </w14:textFill>
              </w:rPr>
            </w:pPr>
          </w:p>
        </w:tc>
      </w:tr>
    </w:tbl>
    <w:p w14:paraId="168A0FCD">
      <w:pPr>
        <w:pStyle w:val="18"/>
        <w:jc w:val="center"/>
        <w:outlineLvl w:val="0"/>
        <w:rPr>
          <w:rFonts w:ascii="Times New Roman" w:hAnsi="Times New Roman" w:eastAsia="黑体"/>
          <w:snapToGrid w:val="0"/>
          <w:color w:val="000000" w:themeColor="text1"/>
          <w:sz w:val="30"/>
          <w:szCs w:val="30"/>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7"/>
        <w:gridCol w:w="631"/>
        <w:gridCol w:w="8002"/>
      </w:tblGrid>
      <w:tr w14:paraId="6626CB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12" w:hRule="atLeast"/>
          <w:jc w:val="center"/>
        </w:trPr>
        <w:tc>
          <w:tcPr>
            <w:tcW w:w="235" w:type="pct"/>
            <w:noWrap/>
            <w:vAlign w:val="center"/>
          </w:tcPr>
          <w:p w14:paraId="77C536B5">
            <w:pPr>
              <w:pStyle w:val="18"/>
              <w:adjustRightInd w:val="0"/>
              <w:snapToGrid w:val="0"/>
              <w:spacing w:before="0" w:beforeAutospacing="0" w:after="0" w:afterAutospacing="0" w:line="360" w:lineRule="auto"/>
              <w:jc w:val="center"/>
              <w:rPr>
                <w:rFonts w:ascii="Times New Roman" w:hAnsi="Times New Roman"/>
                <w:color w:val="000000" w:themeColor="text1"/>
                <w:sz w:val="21"/>
                <w:szCs w:val="21"/>
                <w14:textFill>
                  <w14:solidFill>
                    <w14:schemeClr w14:val="tx1"/>
                  </w14:solidFill>
                </w14:textFill>
              </w:rPr>
            </w:pPr>
          </w:p>
        </w:tc>
        <w:tc>
          <w:tcPr>
            <w:tcW w:w="4764" w:type="pct"/>
            <w:gridSpan w:val="2"/>
            <w:noWrap/>
          </w:tcPr>
          <w:p w14:paraId="42503CC3">
            <w:pPr>
              <w:pStyle w:val="18"/>
              <w:adjustRightInd w:val="0"/>
              <w:snapToGrid w:val="0"/>
              <w:spacing w:before="0" w:beforeAutospacing="0" w:after="0" w:afterAutospacing="0" w:line="360" w:lineRule="auto"/>
              <w:ind w:firstLine="422" w:firstLineChars="200"/>
              <w:jc w:val="both"/>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2.</w:t>
            </w:r>
            <w:r>
              <w:rPr>
                <w:rFonts w:hint="eastAsia" w:ascii="Times New Roman" w:hAnsi="Times New Roman"/>
                <w:b/>
                <w:bCs/>
                <w:color w:val="000000" w:themeColor="text1"/>
                <w:sz w:val="21"/>
                <w:szCs w:val="21"/>
                <w14:textFill>
                  <w14:solidFill>
                    <w14:schemeClr w14:val="tx1"/>
                  </w14:solidFill>
                </w14:textFill>
              </w:rPr>
              <w:t>1</w:t>
            </w:r>
            <w:r>
              <w:rPr>
                <w:rFonts w:hint="eastAsia" w:ascii="Times New Roman" w:hAnsi="Times New Roman"/>
                <w:b/>
                <w:bCs/>
                <w:color w:val="000000" w:themeColor="text1"/>
                <w:sz w:val="21"/>
                <w:szCs w:val="21"/>
                <w:lang w:val="en-US" w:eastAsia="zh-CN"/>
                <w14:textFill>
                  <w14:solidFill>
                    <w14:schemeClr w14:val="tx1"/>
                  </w14:solidFill>
                </w14:textFill>
              </w:rPr>
              <w:t>3</w:t>
            </w:r>
            <w:r>
              <w:rPr>
                <w:rFonts w:ascii="Times New Roman" w:hAnsi="Times New Roman"/>
                <w:b/>
                <w:bCs/>
                <w:color w:val="000000" w:themeColor="text1"/>
                <w:sz w:val="21"/>
                <w:szCs w:val="21"/>
                <w14:textFill>
                  <w14:solidFill>
                    <w14:schemeClr w14:val="tx1"/>
                  </w14:solidFill>
                </w14:textFill>
              </w:rPr>
              <w:t>生产工艺</w:t>
            </w:r>
          </w:p>
          <w:p w14:paraId="043CB478">
            <w:pPr>
              <w:spacing w:line="360" w:lineRule="auto"/>
              <w:ind w:firstLine="422" w:firstLineChars="200"/>
              <w:rPr>
                <w:b/>
                <w:bCs/>
                <w:color w:val="000000" w:themeColor="text1"/>
                <w:szCs w:val="21"/>
                <w14:textFill>
                  <w14:solidFill>
                    <w14:schemeClr w14:val="tx1"/>
                  </w14:solidFill>
                </w14:textFill>
              </w:rPr>
            </w:pPr>
            <w:r>
              <w:rPr>
                <w:b/>
                <w:bCs/>
                <w:color w:val="000000" w:themeColor="text1"/>
                <w14:textFill>
                  <w14:solidFill>
                    <w14:schemeClr w14:val="tx1"/>
                  </w14:solidFill>
                </w14:textFill>
              </w:rPr>
              <w:t>①</w:t>
            </w:r>
            <w:r>
              <w:rPr>
                <w:rFonts w:hint="eastAsia"/>
                <w:b/>
                <w:bCs/>
                <w:color w:val="000000" w:themeColor="text1"/>
                <w:lang w:val="en-US" w:eastAsia="zh-CN"/>
                <w14:textFill>
                  <w14:solidFill>
                    <w14:schemeClr w14:val="tx1"/>
                  </w14:solidFill>
                </w14:textFill>
              </w:rPr>
              <w:t>医药冷链盒、医用水箱、汽车风管、工具箱</w:t>
            </w:r>
            <w:r>
              <w:rPr>
                <w:rFonts w:hint="eastAsia"/>
                <w:b/>
                <w:bCs/>
                <w:color w:val="000000" w:themeColor="text1"/>
                <w14:textFill>
                  <w14:solidFill>
                    <w14:schemeClr w14:val="tx1"/>
                  </w14:solidFill>
                </w14:textFill>
              </w:rPr>
              <w:t>生产工艺：</w:t>
            </w:r>
          </w:p>
          <w:p w14:paraId="5B107B9A">
            <w:pPr>
              <w:widowControl/>
              <w:spacing w:line="360" w:lineRule="auto"/>
              <w:jc w:val="center"/>
              <w:rPr>
                <w:rFonts w:hint="eastAsia" w:eastAsia="宋体"/>
                <w:b/>
                <w:color w:val="000000" w:themeColor="text1"/>
                <w:szCs w:val="21"/>
                <w:lang w:eastAsia="zh-CN"/>
                <w14:textFill>
                  <w14:solidFill>
                    <w14:schemeClr w14:val="tx1"/>
                  </w14:solidFill>
                </w14:textFill>
              </w:rPr>
            </w:pPr>
            <w:r>
              <w:rPr>
                <w:rFonts w:hint="eastAsia" w:eastAsia="宋体"/>
                <w:b/>
                <w:color w:val="000000" w:themeColor="text1"/>
                <w:szCs w:val="21"/>
                <w:lang w:eastAsia="zh-CN"/>
                <w14:textFill>
                  <w14:solidFill>
                    <w14:schemeClr w14:val="tx1"/>
                  </w14:solidFill>
                </w14:textFill>
              </w:rPr>
              <w:drawing>
                <wp:inline distT="0" distB="0" distL="114300" distR="114300">
                  <wp:extent cx="4272280" cy="6398895"/>
                  <wp:effectExtent l="0" t="0" r="13970" b="1905"/>
                  <wp:docPr id="7" name="图片 7" descr="流程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流程图1"/>
                          <pic:cNvPicPr>
                            <a:picLocks noChangeAspect="1"/>
                          </pic:cNvPicPr>
                        </pic:nvPicPr>
                        <pic:blipFill>
                          <a:blip r:embed="rId18"/>
                          <a:stretch>
                            <a:fillRect/>
                          </a:stretch>
                        </pic:blipFill>
                        <pic:spPr>
                          <a:xfrm>
                            <a:off x="0" y="0"/>
                            <a:ext cx="4272280" cy="6398895"/>
                          </a:xfrm>
                          <a:prstGeom prst="rect">
                            <a:avLst/>
                          </a:prstGeom>
                        </pic:spPr>
                      </pic:pic>
                    </a:graphicData>
                  </a:graphic>
                </wp:inline>
              </w:drawing>
            </w:r>
          </w:p>
          <w:p w14:paraId="1B3602E0">
            <w:pPr>
              <w:widowControl/>
              <w:spacing w:line="360" w:lineRule="auto"/>
              <w:jc w:val="center"/>
              <w:rPr>
                <w:rFonts w:hint="eastAsia" w:eastAsia="宋体"/>
                <w:color w:val="000000" w:themeColor="text1"/>
                <w:sz w:val="24"/>
                <w:highlight w:val="none"/>
                <w:lang w:eastAsia="zh-CN"/>
                <w14:textFill>
                  <w14:solidFill>
                    <w14:schemeClr w14:val="tx1"/>
                  </w14:solidFill>
                </w14:textFill>
              </w:rPr>
            </w:pPr>
            <w:r>
              <w:rPr>
                <w:b/>
                <w:color w:val="000000" w:themeColor="text1"/>
                <w:szCs w:val="21"/>
                <w:highlight w:val="none"/>
                <w14:textFill>
                  <w14:solidFill>
                    <w14:schemeClr w14:val="tx1"/>
                  </w14:solidFill>
                </w14:textFill>
              </w:rPr>
              <w:t>图2.</w:t>
            </w:r>
            <w:r>
              <w:rPr>
                <w:rFonts w:hint="eastAsia"/>
                <w:b/>
                <w:color w:val="000000" w:themeColor="text1"/>
                <w:szCs w:val="21"/>
                <w:highlight w:val="none"/>
                <w14:textFill>
                  <w14:solidFill>
                    <w14:schemeClr w14:val="tx1"/>
                  </w14:solidFill>
                </w14:textFill>
              </w:rPr>
              <w:t>1</w:t>
            </w:r>
            <w:r>
              <w:rPr>
                <w:rFonts w:hint="eastAsia"/>
                <w:b/>
                <w:color w:val="000000" w:themeColor="text1"/>
                <w:szCs w:val="21"/>
                <w:highlight w:val="none"/>
                <w:lang w:val="en-US" w:eastAsia="zh-CN"/>
                <w14:textFill>
                  <w14:solidFill>
                    <w14:schemeClr w14:val="tx1"/>
                  </w14:solidFill>
                </w14:textFill>
              </w:rPr>
              <w:t>3</w:t>
            </w:r>
            <w:r>
              <w:rPr>
                <w:b/>
                <w:color w:val="000000" w:themeColor="text1"/>
                <w:szCs w:val="21"/>
                <w:highlight w:val="none"/>
                <w14:textFill>
                  <w14:solidFill>
                    <w14:schemeClr w14:val="tx1"/>
                  </w14:solidFill>
                </w14:textFill>
              </w:rPr>
              <w:t>-</w:t>
            </w:r>
            <w:r>
              <w:rPr>
                <w:rFonts w:hint="eastAsia"/>
                <w:b/>
                <w:color w:val="000000" w:themeColor="text1"/>
                <w:szCs w:val="21"/>
                <w:highlight w:val="none"/>
                <w14:textFill>
                  <w14:solidFill>
                    <w14:schemeClr w14:val="tx1"/>
                  </w14:solidFill>
                </w14:textFill>
              </w:rPr>
              <w:t>1</w:t>
            </w:r>
            <w:r>
              <w:rPr>
                <w:rFonts w:hint="eastAsia"/>
                <w:b/>
                <w:color w:val="000000" w:themeColor="text1"/>
                <w:szCs w:val="21"/>
                <w:highlight w:val="none"/>
                <w:lang w:val="en-US" w:eastAsia="zh-CN"/>
                <w14:textFill>
                  <w14:solidFill>
                    <w14:schemeClr w14:val="tx1"/>
                  </w14:solidFill>
                </w14:textFill>
              </w:rPr>
              <w:t>医药冷链盒、医用水箱、汽车风管、工具箱</w:t>
            </w:r>
            <w:r>
              <w:rPr>
                <w:rFonts w:hint="eastAsia"/>
                <w:b/>
                <w:bCs/>
                <w:color w:val="000000" w:themeColor="text1"/>
                <w:highlight w:val="none"/>
                <w14:textFill>
                  <w14:solidFill>
                    <w14:schemeClr w14:val="tx1"/>
                  </w14:solidFill>
                </w14:textFill>
              </w:rPr>
              <w:t>生产</w:t>
            </w:r>
            <w:r>
              <w:rPr>
                <w:b/>
                <w:color w:val="000000" w:themeColor="text1"/>
                <w:szCs w:val="21"/>
                <w:highlight w:val="none"/>
                <w14:textFill>
                  <w14:solidFill>
                    <w14:schemeClr w14:val="tx1"/>
                  </w14:solidFill>
                </w14:textFill>
              </w:rPr>
              <w:t>工艺及产污节点图</w:t>
            </w:r>
            <w:r>
              <w:rPr>
                <w:rFonts w:hint="eastAsia"/>
                <w:b/>
                <w:color w:val="000000" w:themeColor="text1"/>
                <w:szCs w:val="21"/>
                <w:highlight w:val="none"/>
                <w:lang w:eastAsia="zh-CN"/>
                <w14:textFill>
                  <w14:solidFill>
                    <w14:schemeClr w14:val="tx1"/>
                  </w14:solidFill>
                </w14:textFill>
              </w:rPr>
              <w:t>（</w:t>
            </w:r>
            <w:r>
              <w:rPr>
                <w:rFonts w:hint="eastAsia"/>
                <w:b/>
                <w:color w:val="000000" w:themeColor="text1"/>
                <w:szCs w:val="21"/>
                <w:highlight w:val="none"/>
                <w:lang w:val="en-US" w:eastAsia="zh-CN"/>
                <w14:textFill>
                  <w14:solidFill>
                    <w14:schemeClr w14:val="tx1"/>
                  </w14:solidFill>
                </w14:textFill>
              </w:rPr>
              <w:t>仅工具箱需要注塑件组装，</w:t>
            </w:r>
            <w:r>
              <w:rPr>
                <w:rFonts w:hint="eastAsia"/>
                <w:b/>
                <w:color w:val="000000" w:themeColor="text1"/>
                <w:szCs w:val="21"/>
                <w:lang w:val="en-US" w:eastAsia="zh-CN"/>
                <w14:textFill>
                  <w14:solidFill>
                    <w14:schemeClr w14:val="tx1"/>
                  </w14:solidFill>
                </w14:textFill>
              </w:rPr>
              <w:t>仅汽车风管、工具箱需要印刷、烘干</w:t>
            </w:r>
            <w:r>
              <w:rPr>
                <w:rFonts w:hint="eastAsia"/>
                <w:b/>
                <w:color w:val="000000" w:themeColor="text1"/>
                <w:szCs w:val="21"/>
                <w:highlight w:val="none"/>
                <w:lang w:eastAsia="zh-CN"/>
                <w14:textFill>
                  <w14:solidFill>
                    <w14:schemeClr w14:val="tx1"/>
                  </w14:solidFill>
                </w14:textFill>
              </w:rPr>
              <w:t>）</w:t>
            </w:r>
          </w:p>
          <w:p w14:paraId="582D87CA">
            <w:pPr>
              <w:spacing w:line="360" w:lineRule="auto"/>
              <w:ind w:firstLine="420" w:firstLineChars="200"/>
              <w:rPr>
                <w:color w:val="000000" w:themeColor="text1"/>
                <w14:textFill>
                  <w14:solidFill>
                    <w14:schemeClr w14:val="tx1"/>
                  </w14:solidFill>
                </w14:textFill>
              </w:rPr>
            </w:pPr>
            <w:r>
              <w:rPr>
                <w:color w:val="000000" w:themeColor="text1"/>
                <w:szCs w:val="21"/>
                <w14:textFill>
                  <w14:solidFill>
                    <w14:schemeClr w14:val="tx1"/>
                  </w14:solidFill>
                </w14:textFill>
              </w:rPr>
              <w:t>本项</w:t>
            </w:r>
            <w:r>
              <w:rPr>
                <w:rFonts w:hint="eastAsia"/>
                <w:color w:val="000000" w:themeColor="text1"/>
                <w:szCs w:val="21"/>
                <w14:textFill>
                  <w14:solidFill>
                    <w14:schemeClr w14:val="tx1"/>
                  </w14:solidFill>
                </w14:textFill>
              </w:rPr>
              <w:t>目</w:t>
            </w:r>
            <w:r>
              <w:rPr>
                <w:rFonts w:hint="eastAsia"/>
                <w:color w:val="000000" w:themeColor="text1"/>
                <w:szCs w:val="21"/>
                <w:lang w:val="en-US" w:eastAsia="zh-CN"/>
                <w14:textFill>
                  <w14:solidFill>
                    <w14:schemeClr w14:val="tx1"/>
                  </w14:solidFill>
                </w14:textFill>
              </w:rPr>
              <w:t>医药冷链盒、医用水箱、汽车风管、工具箱</w:t>
            </w:r>
            <w:r>
              <w:rPr>
                <w:rFonts w:hint="eastAsia"/>
                <w:color w:val="000000" w:themeColor="text1"/>
                <w:szCs w:val="21"/>
                <w14:textFill>
                  <w14:solidFill>
                    <w14:schemeClr w14:val="tx1"/>
                  </w14:solidFill>
                </w14:textFill>
              </w:rPr>
              <w:t>生产</w:t>
            </w:r>
            <w:r>
              <w:rPr>
                <w:color w:val="000000" w:themeColor="text1"/>
                <w:szCs w:val="21"/>
                <w14:textFill>
                  <w14:solidFill>
                    <w14:schemeClr w14:val="tx1"/>
                  </w14:solidFill>
                </w14:textFill>
              </w:rPr>
              <w:t>工艺流程说明：</w:t>
            </w:r>
          </w:p>
          <w:p w14:paraId="296DDA21">
            <w:pPr>
              <w:pStyle w:val="18"/>
              <w:adjustRightInd w:val="0"/>
              <w:snapToGrid w:val="0"/>
              <w:spacing w:before="0" w:beforeAutospacing="0" w:after="0" w:afterAutospacing="0" w:line="360" w:lineRule="auto"/>
              <w:ind w:firstLine="422" w:firstLineChars="200"/>
              <w:jc w:val="both"/>
              <w:rPr>
                <w:rFonts w:ascii="Times New Roman" w:hAnsi="Times New Roman"/>
                <w:color w:val="000000" w:themeColor="text1"/>
                <w:sz w:val="21"/>
                <w:szCs w:val="16"/>
                <w14:textFill>
                  <w14:solidFill>
                    <w14:schemeClr w14:val="tx1"/>
                  </w14:solidFill>
                </w14:textFill>
              </w:rPr>
            </w:pPr>
            <w:r>
              <w:rPr>
                <w:rFonts w:ascii="Times New Roman" w:hAnsi="Times New Roman"/>
                <w:b/>
                <w:bCs/>
                <w:color w:val="000000" w:themeColor="text1"/>
                <w:sz w:val="21"/>
                <w:szCs w:val="16"/>
                <w14:textFill>
                  <w14:solidFill>
                    <w14:schemeClr w14:val="tx1"/>
                  </w14:solidFill>
                </w14:textFill>
              </w:rPr>
              <w:t>（1）</w:t>
            </w:r>
            <w:r>
              <w:rPr>
                <w:rFonts w:hint="eastAsia" w:ascii="Times New Roman" w:hAnsi="Times New Roman"/>
                <w:b/>
                <w:bCs/>
                <w:color w:val="000000" w:themeColor="text1"/>
                <w:sz w:val="21"/>
                <w:szCs w:val="16"/>
                <w:lang w:val="en-US" w:eastAsia="zh-CN"/>
                <w14:textFill>
                  <w14:solidFill>
                    <w14:schemeClr w14:val="tx1"/>
                  </w14:solidFill>
                </w14:textFill>
              </w:rPr>
              <w:t>搅拌</w:t>
            </w:r>
            <w:r>
              <w:rPr>
                <w:rFonts w:hint="eastAsia" w:ascii="Times New Roman" w:hAnsi="Times New Roman"/>
                <w:b/>
                <w:bCs/>
                <w:color w:val="000000" w:themeColor="text1"/>
                <w:sz w:val="21"/>
                <w:szCs w:val="16"/>
                <w14:textFill>
                  <w14:solidFill>
                    <w14:schemeClr w14:val="tx1"/>
                  </w14:solidFill>
                </w14:textFill>
              </w:rPr>
              <w:t>：</w:t>
            </w:r>
            <w:r>
              <w:rPr>
                <w:rFonts w:hint="eastAsia" w:ascii="Times New Roman" w:hAnsi="Times New Roman"/>
                <w:b w:val="0"/>
                <w:bCs w:val="0"/>
                <w:color w:val="000000" w:themeColor="text1"/>
                <w:sz w:val="21"/>
                <w:szCs w:val="16"/>
                <w14:textFill>
                  <w14:solidFill>
                    <w14:schemeClr w14:val="tx1"/>
                  </w14:solidFill>
                </w14:textFill>
              </w:rPr>
              <w:t>外购原料</w:t>
            </w:r>
            <w:r>
              <w:rPr>
                <w:rFonts w:hint="eastAsia" w:ascii="Times New Roman" w:hAnsi="Times New Roman"/>
                <w:b w:val="0"/>
                <w:bCs w:val="0"/>
                <w:color w:val="000000" w:themeColor="text1"/>
                <w:sz w:val="21"/>
                <w:szCs w:val="16"/>
                <w:lang w:val="en-US" w:eastAsia="zh-CN"/>
                <w14:textFill>
                  <w14:solidFill>
                    <w14:schemeClr w14:val="tx1"/>
                  </w14:solidFill>
                </w14:textFill>
              </w:rPr>
              <w:t>HDPE粒子</w:t>
            </w:r>
            <w:r>
              <w:rPr>
                <w:rFonts w:hint="eastAsia" w:ascii="Times New Roman" w:hAnsi="Times New Roman"/>
                <w:b w:val="0"/>
                <w:bCs w:val="0"/>
                <w:color w:val="000000" w:themeColor="text1"/>
                <w:sz w:val="21"/>
                <w:szCs w:val="16"/>
                <w14:textFill>
                  <w14:solidFill>
                    <w14:schemeClr w14:val="tx1"/>
                  </w14:solidFill>
                </w14:textFill>
              </w:rPr>
              <w:t>及破碎后回用的物料按一定比例泵吸入搅拌机内，搅拌过程密闭进行，</w:t>
            </w:r>
            <w:r>
              <w:rPr>
                <w:rFonts w:hint="eastAsia" w:ascii="Times New Roman" w:hAnsi="Times New Roman"/>
                <w:b w:val="0"/>
                <w:bCs w:val="0"/>
                <w:color w:val="000000" w:themeColor="text1"/>
                <w:sz w:val="21"/>
                <w:szCs w:val="16"/>
                <w:lang w:val="en-US" w:eastAsia="zh-CN"/>
                <w14:textFill>
                  <w14:solidFill>
                    <w14:schemeClr w14:val="tx1"/>
                  </w14:solidFill>
                </w14:textFill>
              </w:rPr>
              <w:t>且粒子粒径较大，</w:t>
            </w:r>
            <w:r>
              <w:rPr>
                <w:rFonts w:hint="eastAsia" w:ascii="Times New Roman" w:hAnsi="Times New Roman"/>
                <w:b w:val="0"/>
                <w:bCs w:val="0"/>
                <w:color w:val="000000" w:themeColor="text1"/>
                <w:sz w:val="21"/>
                <w:szCs w:val="16"/>
                <w14:textFill>
                  <w14:solidFill>
                    <w14:schemeClr w14:val="tx1"/>
                  </w14:solidFill>
                </w14:textFill>
              </w:rPr>
              <w:t>不会产生拌料粉尘</w:t>
            </w:r>
            <w:r>
              <w:rPr>
                <w:rFonts w:hint="eastAsia" w:ascii="Times New Roman" w:hAnsi="Times New Roman"/>
                <w:color w:val="000000" w:themeColor="text1"/>
                <w:sz w:val="21"/>
                <w:szCs w:val="16"/>
                <w14:textFill>
                  <w14:solidFill>
                    <w14:schemeClr w14:val="tx1"/>
                  </w14:solidFill>
                </w14:textFill>
              </w:rPr>
              <w:t>。</w:t>
            </w:r>
          </w:p>
          <w:p w14:paraId="4232C4B8">
            <w:pPr>
              <w:pStyle w:val="18"/>
              <w:adjustRightInd w:val="0"/>
              <w:snapToGrid w:val="0"/>
              <w:spacing w:before="0" w:beforeAutospacing="0" w:after="0" w:afterAutospacing="0" w:line="360" w:lineRule="auto"/>
              <w:ind w:left="420" w:leftChars="200"/>
              <w:jc w:val="both"/>
              <w:rPr>
                <w:b/>
                <w:bCs/>
                <w:color w:val="000000" w:themeColor="text1"/>
                <w14:textFill>
                  <w14:solidFill>
                    <w14:schemeClr w14:val="tx1"/>
                  </w14:solidFill>
                </w14:textFill>
              </w:rPr>
            </w:pPr>
            <w:r>
              <w:rPr>
                <w:rFonts w:hint="eastAsia" w:ascii="Times New Roman" w:hAnsi="Times New Roman"/>
                <w:color w:val="000000" w:themeColor="text1"/>
                <w:sz w:val="21"/>
                <w:szCs w:val="16"/>
                <w14:textFill>
                  <w14:solidFill>
                    <w14:schemeClr w14:val="tx1"/>
                  </w14:solidFill>
                </w14:textFill>
              </w:rPr>
              <w:t>产污工序：此过程产生噪声N。</w:t>
            </w:r>
          </w:p>
          <w:p w14:paraId="2BFE0B23">
            <w:pPr>
              <w:spacing w:line="360" w:lineRule="auto"/>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rFonts w:hint="eastAsia"/>
                <w:b/>
                <w:bCs/>
                <w:color w:val="000000" w:themeColor="text1"/>
                <w:lang w:val="en-US" w:eastAsia="zh-CN"/>
                <w14:textFill>
                  <w14:solidFill>
                    <w14:schemeClr w14:val="tx1"/>
                  </w14:solidFill>
                </w14:textFill>
              </w:rPr>
              <w:t>吹塑</w:t>
            </w:r>
            <w:r>
              <w:rPr>
                <w:rFonts w:hint="eastAsia"/>
                <w:color w:val="000000" w:themeColor="text1"/>
                <w14:textFill>
                  <w14:solidFill>
                    <w14:schemeClr w14:val="tx1"/>
                  </w14:solidFill>
                </w14:textFill>
              </w:rPr>
              <w:t>：将搅拌好的</w:t>
            </w:r>
            <w:r>
              <w:rPr>
                <w:rFonts w:hint="eastAsia" w:ascii="Times New Roman" w:hAnsi="Times New Roman"/>
                <w:b w:val="0"/>
                <w:bCs w:val="0"/>
                <w:color w:val="000000" w:themeColor="text1"/>
                <w:sz w:val="21"/>
                <w:szCs w:val="16"/>
                <w:lang w:val="en-US" w:eastAsia="zh-CN"/>
                <w14:textFill>
                  <w14:solidFill>
                    <w14:schemeClr w14:val="tx1"/>
                  </w14:solidFill>
                </w14:textFill>
              </w:rPr>
              <w:t>HDPE</w:t>
            </w:r>
            <w:r>
              <w:rPr>
                <w:rFonts w:hint="eastAsia"/>
                <w:color w:val="000000" w:themeColor="text1"/>
                <w14:textFill>
                  <w14:solidFill>
                    <w14:schemeClr w14:val="tx1"/>
                  </w14:solidFill>
                </w14:textFill>
              </w:rPr>
              <w:t>粒子抽料至</w:t>
            </w:r>
            <w:r>
              <w:rPr>
                <w:rFonts w:hint="eastAsia"/>
                <w:color w:val="000000" w:themeColor="text1"/>
                <w:lang w:val="en-US" w:eastAsia="zh-CN"/>
                <w14:textFill>
                  <w14:solidFill>
                    <w14:schemeClr w14:val="tx1"/>
                  </w14:solidFill>
                </w14:textFill>
              </w:rPr>
              <w:t>吹塑机中</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塑料粒子在吹塑机中电加热熔化</w:t>
            </w:r>
            <w:r>
              <w:rPr>
                <w:rFonts w:hint="eastAsia"/>
                <w:color w:val="000000" w:themeColor="text1"/>
                <w14:textFill>
                  <w14:solidFill>
                    <w14:schemeClr w14:val="tx1"/>
                  </w14:solidFill>
                </w14:textFill>
              </w:rPr>
              <w:t>，加热温度约为1</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然后通过气压吹入模具中，</w:t>
            </w:r>
            <w:r>
              <w:rPr>
                <w:rFonts w:hint="default" w:ascii="Times New Roman" w:hAnsi="Times New Roman" w:cs="Times New Roman"/>
                <w:color w:val="000000" w:themeColor="text1"/>
                <w:sz w:val="21"/>
                <w:szCs w:val="21"/>
                <w14:textFill>
                  <w14:solidFill>
                    <w14:schemeClr w14:val="tx1"/>
                  </w14:solidFill>
                </w14:textFill>
              </w:rPr>
              <w:t>模具腔经过</w:t>
            </w:r>
            <w:r>
              <w:rPr>
                <w:rFonts w:hint="eastAsia" w:ascii="Times New Roman" w:hAnsi="Times New Roman" w:cs="Times New Roman"/>
                <w:color w:val="000000" w:themeColor="text1"/>
                <w:sz w:val="21"/>
                <w:szCs w:val="21"/>
                <w:lang w:val="en-US" w:eastAsia="zh-CN"/>
                <w14:textFill>
                  <w14:solidFill>
                    <w14:schemeClr w14:val="tx1"/>
                  </w14:solidFill>
                </w14:textFill>
              </w:rPr>
              <w:t>冷却</w:t>
            </w:r>
            <w:r>
              <w:rPr>
                <w:rFonts w:hint="eastAsia" w:cs="Times New Roman"/>
                <w:color w:val="000000" w:themeColor="text1"/>
                <w:sz w:val="21"/>
                <w:szCs w:val="21"/>
                <w:lang w:val="en-US" w:eastAsia="zh-CN"/>
                <w14:textFill>
                  <w14:solidFill>
                    <w14:schemeClr w14:val="tx1"/>
                  </w14:solidFill>
                </w14:textFill>
              </w:rPr>
              <w:t>水</w:t>
            </w:r>
            <w:r>
              <w:rPr>
                <w:rFonts w:hint="default" w:ascii="Times New Roman" w:hAnsi="Times New Roman" w:cs="Times New Roman"/>
                <w:color w:val="000000" w:themeColor="text1"/>
                <w:sz w:val="21"/>
                <w:szCs w:val="21"/>
                <w14:textFill>
                  <w14:solidFill>
                    <w14:schemeClr w14:val="tx1"/>
                  </w14:solidFill>
                </w14:textFill>
              </w:rPr>
              <w:t>间接冷却</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冷却成型后取下。单个吹塑件成型约130s</w:t>
            </w:r>
            <w:r>
              <w:rPr>
                <w:rFonts w:hint="eastAsia"/>
                <w:color w:val="000000" w:themeColor="text1"/>
                <w14:textFill>
                  <w14:solidFill>
                    <w14:schemeClr w14:val="tx1"/>
                  </w14:solidFill>
                </w14:textFill>
              </w:rPr>
              <w:t>。</w:t>
            </w:r>
          </w:p>
          <w:p w14:paraId="43DD0FFF">
            <w:p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产污工序：</w:t>
            </w:r>
            <w:r>
              <w:rPr>
                <w:rFonts w:hint="eastAsia"/>
                <w:color w:val="000000" w:themeColor="text1"/>
                <w:lang w:val="en-US" w:eastAsia="zh-CN"/>
                <w14:textFill>
                  <w14:solidFill>
                    <w14:schemeClr w14:val="tx1"/>
                  </w14:solidFill>
                </w14:textFill>
              </w:rPr>
              <w:t>此过程</w:t>
            </w:r>
            <w:r>
              <w:rPr>
                <w:rFonts w:hint="eastAsia"/>
                <w:color w:val="000000" w:themeColor="text1"/>
                <w14:textFill>
                  <w14:solidFill>
                    <w14:schemeClr w14:val="tx1"/>
                  </w14:solidFill>
                </w14:textFill>
              </w:rPr>
              <w:t>产生</w:t>
            </w:r>
            <w:r>
              <w:rPr>
                <w:rFonts w:hint="eastAsia"/>
                <w:color w:val="000000" w:themeColor="text1"/>
                <w:lang w:val="en-US" w:eastAsia="zh-CN"/>
                <w14:textFill>
                  <w14:solidFill>
                    <w14:schemeClr w14:val="tx1"/>
                  </w14:solidFill>
                </w14:textFill>
              </w:rPr>
              <w:t>吹塑</w:t>
            </w:r>
            <w:r>
              <w:rPr>
                <w:rFonts w:hint="eastAsia"/>
                <w:color w:val="000000" w:themeColor="text1"/>
                <w14:textFill>
                  <w14:solidFill>
                    <w14:schemeClr w14:val="tx1"/>
                  </w14:solidFill>
                </w14:textFill>
              </w:rPr>
              <w:t>废气G1、噪声N。</w:t>
            </w:r>
          </w:p>
          <w:p w14:paraId="586EC3AB">
            <w:pPr>
              <w:spacing w:line="360" w:lineRule="auto"/>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w:t>
            </w:r>
            <w:r>
              <w:rPr>
                <w:rFonts w:hint="eastAsia"/>
                <w:b/>
                <w:bCs/>
                <w:color w:val="000000" w:themeColor="text1"/>
                <w:lang w:val="en-US" w:eastAsia="zh-CN"/>
                <w14:textFill>
                  <w14:solidFill>
                    <w14:schemeClr w14:val="tx1"/>
                  </w14:solidFill>
                </w14:textFill>
              </w:rPr>
              <w:t>修边检验</w:t>
            </w:r>
            <w:r>
              <w:rPr>
                <w:rFonts w:hint="eastAsia"/>
                <w:b/>
                <w:bCs/>
                <w:color w:val="000000" w:themeColor="text1"/>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将自动机器人对吹塑后的工件进行修剪，去除多余的塑料并将其切割成所需的形状和尺寸，修剪过程无粉尘产生，</w:t>
            </w:r>
            <w:r>
              <w:rPr>
                <w:rFonts w:hint="eastAsia"/>
                <w:color w:val="000000" w:themeColor="text1"/>
                <w14:textFill>
                  <w14:solidFill>
                    <w14:schemeClr w14:val="tx1"/>
                  </w14:solidFill>
                </w14:textFill>
              </w:rPr>
              <w:t>产生</w:t>
            </w:r>
            <w:r>
              <w:rPr>
                <w:rFonts w:hint="eastAsia"/>
                <w:color w:val="000000" w:themeColor="text1"/>
                <w:lang w:val="en-US" w:eastAsia="zh-CN"/>
                <w14:textFill>
                  <w14:solidFill>
                    <w14:schemeClr w14:val="tx1"/>
                  </w14:solidFill>
                </w14:textFill>
              </w:rPr>
              <w:t>的边角料、不合格品破碎后回用</w:t>
            </w:r>
            <w:r>
              <w:rPr>
                <w:rFonts w:hint="eastAsia"/>
                <w:color w:val="000000" w:themeColor="text1"/>
                <w14:textFill>
                  <w14:solidFill>
                    <w14:schemeClr w14:val="tx1"/>
                  </w14:solidFill>
                </w14:textFill>
              </w:rPr>
              <w:t>。</w:t>
            </w:r>
          </w:p>
          <w:p w14:paraId="567131B0">
            <w:pPr>
              <w:spacing w:line="360" w:lineRule="auto"/>
              <w:ind w:firstLine="422" w:firstLineChars="200"/>
              <w:rPr>
                <w:rFonts w:hint="default" w:eastAsia="宋体"/>
                <w:b/>
                <w:bCs/>
                <w:color w:val="000000" w:themeColor="text1"/>
                <w:lang w:val="en-US" w:eastAsia="zh-CN"/>
                <w14:textFill>
                  <w14:solidFill>
                    <w14:schemeClr w14:val="tx1"/>
                  </w14:solidFill>
                </w14:textFill>
              </w:rPr>
            </w:pPr>
            <w:r>
              <w:rPr>
                <w:rFonts w:hint="eastAsia"/>
                <w:b/>
                <w:bCs/>
                <w:color w:val="000000" w:themeColor="text1"/>
                <w14:textFill>
                  <w14:solidFill>
                    <w14:schemeClr w14:val="tx1"/>
                  </w14:solidFill>
                </w14:textFill>
              </w:rPr>
              <w:t>（4）</w:t>
            </w:r>
            <w:r>
              <w:rPr>
                <w:rFonts w:hint="eastAsia"/>
                <w:b/>
                <w:bCs/>
                <w:color w:val="000000" w:themeColor="text1"/>
                <w:lang w:val="en-US" w:eastAsia="zh-CN"/>
                <w14:textFill>
                  <w14:solidFill>
                    <w14:schemeClr w14:val="tx1"/>
                  </w14:solidFill>
                </w14:textFill>
              </w:rPr>
              <w:t>印刷、烘干</w:t>
            </w:r>
            <w:r>
              <w:rPr>
                <w:rFonts w:hint="eastAsia"/>
                <w:b/>
                <w:bCs/>
                <w:color w:val="000000" w:themeColor="text1"/>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将修剪后的工件转移到印刷机上进行印</w:t>
            </w:r>
            <w:r>
              <w:rPr>
                <w:rFonts w:hint="eastAsia"/>
                <w:b w:val="0"/>
                <w:bCs w:val="0"/>
                <w:color w:val="000000" w:themeColor="text1"/>
                <w:highlight w:val="none"/>
                <w:lang w:val="en-US" w:eastAsia="zh-CN"/>
                <w14:textFill>
                  <w14:solidFill>
                    <w14:schemeClr w14:val="tx1"/>
                  </w14:solidFill>
                </w14:textFill>
              </w:rPr>
              <w:t>刷，印刷后进入烘道烘干，</w:t>
            </w:r>
            <w:r>
              <w:rPr>
                <w:rFonts w:hint="eastAsia"/>
                <w:color w:val="000000" w:themeColor="text1"/>
                <w:szCs w:val="16"/>
                <w14:textFill>
                  <w14:solidFill>
                    <w14:schemeClr w14:val="tx1"/>
                  </w14:solidFill>
                </w14:textFill>
              </w:rPr>
              <w:t>烘干温度为60</w:t>
            </w:r>
            <w:r>
              <w:rPr>
                <w:color w:val="000000" w:themeColor="text1"/>
                <w:szCs w:val="16"/>
                <w14:textFill>
                  <w14:solidFill>
                    <w14:schemeClr w14:val="tx1"/>
                  </w14:solidFill>
                </w14:textFill>
              </w:rPr>
              <w:t>℃</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电加热</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单个产品印刷、烘干好约4分钟</w:t>
            </w:r>
            <w:r>
              <w:rPr>
                <w:rFonts w:hint="eastAsia"/>
                <w:color w:val="000000" w:themeColor="text1"/>
                <w:lang w:eastAsia="zh-CN"/>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印刷机</w:t>
            </w:r>
            <w:r>
              <w:rPr>
                <w:rFonts w:hint="eastAsia"/>
                <w:color w:val="000000" w:themeColor="text1"/>
                <w:lang w:val="en-US" w:eastAsia="zh-CN"/>
                <w14:textFill>
                  <w14:solidFill>
                    <w14:schemeClr w14:val="tx1"/>
                  </w14:solidFill>
                </w14:textFill>
              </w:rPr>
              <w:t>网板定期委外维修。</w:t>
            </w:r>
          </w:p>
          <w:p w14:paraId="1B8DE8DD">
            <w:p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产污工序：此过程产生</w:t>
            </w:r>
            <w:r>
              <w:rPr>
                <w:rFonts w:hint="eastAsia"/>
                <w:color w:val="000000" w:themeColor="text1"/>
                <w:lang w:val="en-US" w:eastAsia="zh-CN"/>
                <w14:textFill>
                  <w14:solidFill>
                    <w14:schemeClr w14:val="tx1"/>
                  </w14:solidFill>
                </w14:textFill>
              </w:rPr>
              <w:t>印刷</w:t>
            </w:r>
            <w:r>
              <w:rPr>
                <w:rFonts w:hint="eastAsia"/>
                <w:color w:val="000000" w:themeColor="text1"/>
                <w14:textFill>
                  <w14:solidFill>
                    <w14:schemeClr w14:val="tx1"/>
                  </w14:solidFill>
                </w14:textFill>
              </w:rPr>
              <w:t>废气G2</w:t>
            </w:r>
            <w:r>
              <w:rPr>
                <w:rFonts w:hint="eastAsia"/>
                <w:color w:val="000000" w:themeColor="text1"/>
                <w:lang w:val="en-US" w:eastAsia="zh-CN"/>
                <w14:textFill>
                  <w14:solidFill>
                    <w14:schemeClr w14:val="tx1"/>
                  </w14:solidFill>
                </w14:textFill>
              </w:rPr>
              <w:t>、烘干废气G3</w:t>
            </w:r>
            <w:r>
              <w:rPr>
                <w:rFonts w:hint="eastAsia"/>
                <w:color w:val="000000" w:themeColor="text1"/>
                <w14:textFill>
                  <w14:solidFill>
                    <w14:schemeClr w14:val="tx1"/>
                  </w14:solidFill>
                </w14:textFill>
              </w:rPr>
              <w:t>、噪声N。</w:t>
            </w:r>
          </w:p>
          <w:p w14:paraId="0709A7D5">
            <w:pPr>
              <w:spacing w:line="360" w:lineRule="auto"/>
              <w:ind w:firstLine="422" w:firstLineChars="200"/>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（5）</w:t>
            </w:r>
            <w:r>
              <w:rPr>
                <w:rFonts w:hint="eastAsia"/>
                <w:b/>
                <w:bCs/>
                <w:color w:val="000000" w:themeColor="text1"/>
                <w:highlight w:val="none"/>
                <w:lang w:val="en-US" w:eastAsia="zh-CN"/>
                <w14:textFill>
                  <w14:solidFill>
                    <w14:schemeClr w14:val="tx1"/>
                  </w14:solidFill>
                </w14:textFill>
              </w:rPr>
              <w:t>机加工</w:t>
            </w:r>
            <w:r>
              <w:rPr>
                <w:rFonts w:hint="eastAsia"/>
                <w:color w:val="000000" w:themeColor="text1"/>
                <w:highlight w:val="none"/>
                <w14:textFill>
                  <w14:solidFill>
                    <w14:schemeClr w14:val="tx1"/>
                  </w14:solidFill>
                </w14:textFill>
              </w:rPr>
              <w:t>：</w:t>
            </w:r>
            <w:r>
              <w:rPr>
                <w:rFonts w:hint="eastAsia"/>
                <w:color w:val="000000" w:themeColor="text1"/>
                <w:kern w:val="0"/>
                <w:szCs w:val="16"/>
                <w:highlight w:val="none"/>
                <w14:textFill>
                  <w14:solidFill>
                    <w14:schemeClr w14:val="tx1"/>
                  </w14:solidFill>
                </w14:textFill>
              </w:rPr>
              <w:t>利用</w:t>
            </w:r>
            <w:r>
              <w:rPr>
                <w:rFonts w:hint="eastAsia"/>
                <w:color w:val="000000" w:themeColor="text1"/>
                <w:kern w:val="0"/>
                <w:szCs w:val="16"/>
                <w:highlight w:val="none"/>
                <w:lang w:val="en-US" w:eastAsia="zh-CN"/>
                <w14:textFill>
                  <w14:solidFill>
                    <w14:schemeClr w14:val="tx1"/>
                  </w14:solidFill>
                </w14:textFill>
              </w:rPr>
              <w:t>切口机、钻床、自动机器人等设备对工件进行切口、打孔加工，加工过程仅产生块状、大颗粒塑料，无粉尘产生，</w:t>
            </w:r>
            <w:r>
              <w:rPr>
                <w:rFonts w:hint="eastAsia"/>
                <w:color w:val="000000" w:themeColor="text1"/>
                <w:highlight w:val="none"/>
                <w14:textFill>
                  <w14:solidFill>
                    <w14:schemeClr w14:val="tx1"/>
                  </w14:solidFill>
                </w14:textFill>
              </w:rPr>
              <w:t>产生</w:t>
            </w:r>
            <w:r>
              <w:rPr>
                <w:rFonts w:hint="eastAsia"/>
                <w:color w:val="000000" w:themeColor="text1"/>
                <w:highlight w:val="none"/>
                <w:lang w:val="en-US" w:eastAsia="zh-CN"/>
                <w14:textFill>
                  <w14:solidFill>
                    <w14:schemeClr w14:val="tx1"/>
                  </w14:solidFill>
                </w14:textFill>
              </w:rPr>
              <w:t>的边角料破碎后回用</w:t>
            </w:r>
            <w:r>
              <w:rPr>
                <w:rFonts w:hint="eastAsia"/>
                <w:color w:val="000000" w:themeColor="text1"/>
                <w:kern w:val="0"/>
                <w:szCs w:val="16"/>
                <w:highlight w:val="none"/>
                <w14:textFill>
                  <w14:solidFill>
                    <w14:schemeClr w14:val="tx1"/>
                  </w14:solidFill>
                </w14:textFill>
              </w:rPr>
              <w:t>。</w:t>
            </w:r>
          </w:p>
          <w:p w14:paraId="5C051C02">
            <w:pPr>
              <w:spacing w:line="360" w:lineRule="auto"/>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（6）</w:t>
            </w:r>
            <w:r>
              <w:rPr>
                <w:rFonts w:hint="eastAsia"/>
                <w:b/>
                <w:bCs/>
                <w:color w:val="000000" w:themeColor="text1"/>
                <w:lang w:val="en-US" w:eastAsia="zh-CN"/>
                <w14:textFill>
                  <w14:solidFill>
                    <w14:schemeClr w14:val="tx1"/>
                  </w14:solidFill>
                </w14:textFill>
              </w:rPr>
              <w:t>检验</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将机加工好的医药冷链盒、医用水箱、工具箱工件通过测漏机检测其密封性能，厂内共有4台气测型测漏机、1台水测型测漏机，其中气测型测漏机可以将空气打入产品中来检测其密封性能，水测型测漏机通过将产品放入测漏机配套的水箱中来检测其密封性能，</w:t>
            </w:r>
            <w:r>
              <w:rPr>
                <w:rFonts w:hint="eastAsia"/>
                <w:color w:val="000000" w:themeColor="text1"/>
                <w14:textFill>
                  <w14:solidFill>
                    <w14:schemeClr w14:val="tx1"/>
                  </w14:solidFill>
                </w14:textFill>
              </w:rPr>
              <w:t>产生</w:t>
            </w:r>
            <w:r>
              <w:rPr>
                <w:rFonts w:hint="eastAsia"/>
                <w:color w:val="000000" w:themeColor="text1"/>
                <w:lang w:val="en-US" w:eastAsia="zh-CN"/>
                <w14:textFill>
                  <w14:solidFill>
                    <w14:schemeClr w14:val="tx1"/>
                  </w14:solidFill>
                </w14:textFill>
              </w:rPr>
              <w:t>的不合格品破碎后回用</w:t>
            </w:r>
            <w:r>
              <w:rPr>
                <w:rFonts w:hint="eastAsia"/>
                <w:color w:val="000000" w:themeColor="text1"/>
                <w14:textFill>
                  <w14:solidFill>
                    <w14:schemeClr w14:val="tx1"/>
                  </w14:solidFill>
                </w14:textFill>
              </w:rPr>
              <w:t>。</w:t>
            </w:r>
          </w:p>
          <w:p w14:paraId="2C219A4F">
            <w:pPr>
              <w:spacing w:line="360" w:lineRule="auto"/>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7</w:t>
            </w:r>
            <w:r>
              <w:rPr>
                <w:rFonts w:hint="eastAsia"/>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组装</w:t>
            </w:r>
            <w:r>
              <w:rPr>
                <w:rFonts w:hint="eastAsia"/>
                <w:color w:val="000000" w:themeColor="text1"/>
                <w14:textFill>
                  <w14:solidFill>
                    <w14:schemeClr w14:val="tx1"/>
                  </w14:solidFill>
                </w14:textFill>
              </w:rPr>
              <w:t>：</w:t>
            </w:r>
            <w:r>
              <w:rPr>
                <w:rFonts w:hint="eastAsia"/>
                <w:color w:val="000000" w:themeColor="text1"/>
                <w:szCs w:val="21"/>
                <w:lang w:val="en-US" w:eastAsia="zh-CN"/>
                <w14:textFill>
                  <w14:solidFill>
                    <w14:schemeClr w14:val="tx1"/>
                  </w14:solidFill>
                </w14:textFill>
              </w:rPr>
              <w:t>检验合格的工具箱半成品</w:t>
            </w:r>
            <w:r>
              <w:rPr>
                <w:rFonts w:hint="eastAsia"/>
                <w:color w:val="000000" w:themeColor="text1"/>
                <w:szCs w:val="21"/>
                <w14:textFill>
                  <w14:solidFill>
                    <w14:schemeClr w14:val="tx1"/>
                  </w14:solidFill>
                </w14:textFill>
              </w:rPr>
              <w:t>与</w:t>
            </w:r>
            <w:r>
              <w:rPr>
                <w:rFonts w:hint="eastAsia"/>
                <w:color w:val="000000" w:themeColor="text1"/>
                <w:szCs w:val="21"/>
                <w:lang w:eastAsia="zh-CN"/>
                <w14:textFill>
                  <w14:solidFill>
                    <w14:schemeClr w14:val="tx1"/>
                  </w14:solidFill>
                </w14:textFill>
              </w:rPr>
              <w:t>注塑件</w:t>
            </w:r>
            <w:r>
              <w:rPr>
                <w:rFonts w:hint="eastAsia"/>
                <w:color w:val="000000" w:themeColor="text1"/>
                <w:szCs w:val="21"/>
                <w14:textFill>
                  <w14:solidFill>
                    <w14:schemeClr w14:val="tx1"/>
                  </w14:solidFill>
                </w14:textFill>
              </w:rPr>
              <w:t>进行人工组装</w:t>
            </w:r>
            <w:r>
              <w:rPr>
                <w:rFonts w:hint="eastAsia"/>
                <w:color w:val="000000" w:themeColor="text1"/>
                <w14:textFill>
                  <w14:solidFill>
                    <w14:schemeClr w14:val="tx1"/>
                  </w14:solidFill>
                </w14:textFill>
              </w:rPr>
              <w:t>。</w:t>
            </w:r>
          </w:p>
          <w:p w14:paraId="5C483FE0">
            <w:pPr>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w:t>
            </w:r>
            <w:r>
              <w:rPr>
                <w:rFonts w:hint="eastAsia"/>
                <w:b/>
                <w:bCs/>
                <w:color w:val="000000" w:themeColor="text1"/>
                <w:szCs w:val="21"/>
                <w:lang w:val="en-US" w:eastAsia="zh-CN"/>
                <w14:textFill>
                  <w14:solidFill>
                    <w14:schemeClr w14:val="tx1"/>
                  </w14:solidFill>
                </w14:textFill>
              </w:rPr>
              <w:t>8</w:t>
            </w:r>
            <w:r>
              <w:rPr>
                <w:b/>
                <w:bCs/>
                <w:color w:val="000000" w:themeColor="text1"/>
                <w:szCs w:val="21"/>
                <w14:textFill>
                  <w14:solidFill>
                    <w14:schemeClr w14:val="tx1"/>
                  </w14:solidFill>
                </w14:textFill>
              </w:rPr>
              <w:t>）</w:t>
            </w:r>
            <w:r>
              <w:rPr>
                <w:rFonts w:hint="eastAsia"/>
                <w:b/>
                <w:bCs/>
                <w:color w:val="000000" w:themeColor="text1"/>
                <w:szCs w:val="21"/>
                <w:lang w:val="en-US" w:eastAsia="zh-CN"/>
                <w14:textFill>
                  <w14:solidFill>
                    <w14:schemeClr w14:val="tx1"/>
                  </w14:solidFill>
                </w14:textFill>
              </w:rPr>
              <w:t>包装</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将合格品进行打包入库</w:t>
            </w:r>
            <w:r>
              <w:rPr>
                <w:rFonts w:hint="eastAsia"/>
                <w:color w:val="000000" w:themeColor="text1"/>
                <w14:textFill>
                  <w14:solidFill>
                    <w14:schemeClr w14:val="tx1"/>
                  </w14:solidFill>
                </w14:textFill>
              </w:rPr>
              <w:t>。</w:t>
            </w:r>
          </w:p>
          <w:p w14:paraId="1286025A">
            <w:pPr>
              <w:spacing w:line="360" w:lineRule="auto"/>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9</w:t>
            </w:r>
            <w:r>
              <w:rPr>
                <w:rFonts w:hint="eastAsia"/>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破碎</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修边检验</w:t>
            </w:r>
            <w:r>
              <w:rPr>
                <w:rFonts w:hint="eastAsia"/>
                <w:color w:val="000000" w:themeColor="text1"/>
                <w:szCs w:val="21"/>
                <w:lang w:val="en-US" w:eastAsia="zh-CN"/>
                <w14:textFill>
                  <w14:solidFill>
                    <w14:schemeClr w14:val="tx1"/>
                  </w14:solidFill>
                </w14:textFill>
              </w:rPr>
              <w:t>过程产生的不合格品、边角料、机加工过程产生的边角料以及检验过程</w:t>
            </w:r>
            <w:r>
              <w:rPr>
                <w:rFonts w:hint="eastAsia"/>
                <w:color w:val="000000" w:themeColor="text1"/>
                <w:szCs w:val="21"/>
                <w14:textFill>
                  <w14:solidFill>
                    <w14:schemeClr w14:val="tx1"/>
                  </w14:solidFill>
                </w14:textFill>
              </w:rPr>
              <w:t>产生的不合格品经</w:t>
            </w:r>
            <w:r>
              <w:rPr>
                <w:rFonts w:hint="eastAsia"/>
                <w:color w:val="000000" w:themeColor="text1"/>
                <w:szCs w:val="21"/>
                <w:lang w:eastAsia="zh-CN"/>
                <w14:textFill>
                  <w14:solidFill>
                    <w14:schemeClr w14:val="tx1"/>
                  </w14:solidFill>
                </w14:textFill>
              </w:rPr>
              <w:t>破碎</w:t>
            </w:r>
            <w:r>
              <w:rPr>
                <w:rFonts w:hint="eastAsia"/>
                <w:color w:val="000000" w:themeColor="text1"/>
                <w:szCs w:val="21"/>
                <w14:textFill>
                  <w14:solidFill>
                    <w14:schemeClr w14:val="tx1"/>
                  </w14:solidFill>
                </w14:textFill>
              </w:rPr>
              <w:t>机</w:t>
            </w:r>
            <w:r>
              <w:rPr>
                <w:rFonts w:hint="eastAsia"/>
                <w:color w:val="000000" w:themeColor="text1"/>
                <w:szCs w:val="21"/>
                <w:lang w:val="en-US" w:eastAsia="zh-CN"/>
                <w14:textFill>
                  <w14:solidFill>
                    <w14:schemeClr w14:val="tx1"/>
                  </w14:solidFill>
                </w14:textFill>
              </w:rPr>
              <w:t>破碎</w:t>
            </w:r>
            <w:r>
              <w:rPr>
                <w:rFonts w:hint="eastAsia"/>
                <w:color w:val="000000" w:themeColor="text1"/>
                <w:szCs w:val="21"/>
                <w14:textFill>
                  <w14:solidFill>
                    <w14:schemeClr w14:val="tx1"/>
                  </w14:solidFill>
                </w14:textFill>
              </w:rPr>
              <w:t>后回用至</w:t>
            </w:r>
            <w:r>
              <w:rPr>
                <w:rFonts w:hint="eastAsia"/>
                <w:color w:val="000000" w:themeColor="text1"/>
                <w:szCs w:val="21"/>
                <w:lang w:val="en-US" w:eastAsia="zh-CN"/>
                <w14:textFill>
                  <w14:solidFill>
                    <w14:schemeClr w14:val="tx1"/>
                  </w14:solidFill>
                </w14:textFill>
              </w:rPr>
              <w:t>搅拌</w:t>
            </w:r>
            <w:r>
              <w:rPr>
                <w:rFonts w:hint="eastAsia"/>
                <w:color w:val="000000" w:themeColor="text1"/>
                <w:szCs w:val="21"/>
                <w14:textFill>
                  <w14:solidFill>
                    <w14:schemeClr w14:val="tx1"/>
                  </w14:solidFill>
                </w14:textFill>
              </w:rPr>
              <w:t>工序，</w:t>
            </w:r>
            <w:r>
              <w:rPr>
                <w:rFonts w:hint="eastAsia"/>
                <w:color w:val="000000" w:themeColor="text1"/>
                <w:szCs w:val="21"/>
                <w:lang w:val="en-US" w:eastAsia="zh-CN"/>
                <w14:textFill>
                  <w14:solidFill>
                    <w14:schemeClr w14:val="tx1"/>
                  </w14:solidFill>
                </w14:textFill>
              </w:rPr>
              <w:t>破碎</w:t>
            </w:r>
            <w:r>
              <w:rPr>
                <w:rFonts w:hint="eastAsia"/>
                <w:color w:val="000000" w:themeColor="text1"/>
                <w:szCs w:val="21"/>
                <w14:textFill>
                  <w14:solidFill>
                    <w14:schemeClr w14:val="tx1"/>
                  </w14:solidFill>
                </w14:textFill>
              </w:rPr>
              <w:t>过程设备密闭，仅在打开过程有少量粉尘产生</w:t>
            </w:r>
            <w:r>
              <w:rPr>
                <w:rFonts w:hint="eastAsia"/>
                <w:color w:val="000000" w:themeColor="text1"/>
                <w14:textFill>
                  <w14:solidFill>
                    <w14:schemeClr w14:val="tx1"/>
                  </w14:solidFill>
                </w14:textFill>
              </w:rPr>
              <w:t>。</w:t>
            </w:r>
          </w:p>
          <w:p w14:paraId="06582CD4">
            <w:p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产污工序：此过程产生</w:t>
            </w:r>
            <w:r>
              <w:rPr>
                <w:rFonts w:hint="eastAsia"/>
                <w:color w:val="000000" w:themeColor="text1"/>
                <w:szCs w:val="21"/>
                <w:lang w:eastAsia="zh-CN"/>
                <w14:textFill>
                  <w14:solidFill>
                    <w14:schemeClr w14:val="tx1"/>
                  </w14:solidFill>
                </w14:textFill>
              </w:rPr>
              <w:t>破碎</w:t>
            </w:r>
            <w:r>
              <w:rPr>
                <w:rFonts w:hint="eastAsia"/>
                <w:color w:val="000000" w:themeColor="text1"/>
                <w:szCs w:val="21"/>
                <w14:textFill>
                  <w14:solidFill>
                    <w14:schemeClr w14:val="tx1"/>
                  </w14:solidFill>
                </w14:textFill>
              </w:rPr>
              <w:t>粉尘</w:t>
            </w:r>
            <w:r>
              <w:rPr>
                <w:color w:val="000000" w:themeColor="text1"/>
                <w:szCs w:val="21"/>
                <w14:textFill>
                  <w14:solidFill>
                    <w14:schemeClr w14:val="tx1"/>
                  </w14:solidFill>
                </w14:textFill>
              </w:rPr>
              <w:t>G</w:t>
            </w:r>
            <w:r>
              <w:rPr>
                <w:rFonts w:hint="eastAsia"/>
                <w:color w:val="000000" w:themeColor="text1"/>
                <w:szCs w:val="21"/>
                <w:lang w:val="en-US" w:eastAsia="zh-CN"/>
                <w14:textFill>
                  <w14:solidFill>
                    <w14:schemeClr w14:val="tx1"/>
                  </w14:solidFill>
                </w14:textFill>
              </w:rPr>
              <w:t>4</w:t>
            </w:r>
            <w:r>
              <w:rPr>
                <w:rFonts w:hint="eastAsia"/>
                <w:color w:val="000000" w:themeColor="text1"/>
                <w14:textFill>
                  <w14:solidFill>
                    <w14:schemeClr w14:val="tx1"/>
                  </w14:solidFill>
                </w14:textFill>
              </w:rPr>
              <w:t>、噪声N。</w:t>
            </w:r>
          </w:p>
          <w:p w14:paraId="6199E5F5">
            <w:pPr>
              <w:pStyle w:val="18"/>
              <w:adjustRightInd w:val="0"/>
              <w:snapToGrid w:val="0"/>
              <w:spacing w:before="0" w:beforeAutospacing="0" w:after="0" w:afterAutospacing="0" w:line="360" w:lineRule="auto"/>
              <w:ind w:firstLine="422" w:firstLineChars="200"/>
              <w:jc w:val="both"/>
              <w:rPr>
                <w:rFonts w:ascii="Times New Roman" w:hAnsi="Times New Roman"/>
                <w:color w:val="000000" w:themeColor="text1"/>
                <w:sz w:val="21"/>
                <w:szCs w:val="16"/>
                <w14:textFill>
                  <w14:solidFill>
                    <w14:schemeClr w14:val="tx1"/>
                  </w14:solidFill>
                </w14:textFill>
              </w:rPr>
            </w:pPr>
            <w:r>
              <w:rPr>
                <w:rFonts w:hint="eastAsia" w:ascii="Times New Roman" w:hAnsi="Times New Roman"/>
                <w:b/>
                <w:bCs/>
                <w:color w:val="000000" w:themeColor="text1"/>
                <w:sz w:val="21"/>
                <w:szCs w:val="16"/>
                <w14:textFill>
                  <w14:solidFill>
                    <w14:schemeClr w14:val="tx1"/>
                  </w14:solidFill>
                </w14:textFill>
              </w:rPr>
              <w:t>其它产污工序：</w:t>
            </w:r>
          </w:p>
          <w:p w14:paraId="291ACF3C">
            <w:pPr>
              <w:pStyle w:val="18"/>
              <w:adjustRightInd w:val="0"/>
              <w:snapToGrid w:val="0"/>
              <w:spacing w:before="0" w:beforeAutospacing="0" w:after="0" w:afterAutospacing="0" w:line="360" w:lineRule="auto"/>
              <w:ind w:firstLine="422" w:firstLineChars="200"/>
              <w:jc w:val="both"/>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设备维护</w:t>
            </w:r>
            <w:r>
              <w:rPr>
                <w:rFonts w:hint="eastAsia" w:ascii="Times New Roman" w:hAnsi="Times New Roman"/>
                <w:color w:val="000000" w:themeColor="text1"/>
                <w:sz w:val="21"/>
                <w:szCs w:val="21"/>
                <w:highlight w:val="none"/>
                <w14:textFill>
                  <w14:solidFill>
                    <w14:schemeClr w14:val="tx1"/>
                  </w14:solidFill>
                </w14:textFill>
              </w:rPr>
              <w:t>：项目</w:t>
            </w:r>
            <w:r>
              <w:rPr>
                <w:rFonts w:hint="eastAsia" w:ascii="Times New Roman" w:hAnsi="Times New Roman" w:eastAsia="新宋体" w:cs="Times New Roman"/>
                <w:color w:val="000000" w:themeColor="text1"/>
                <w:sz w:val="21"/>
                <w:szCs w:val="21"/>
                <w:highlight w:val="none"/>
                <w:lang w:val="en-US" w:eastAsia="zh-CN"/>
                <w14:textFill>
                  <w14:solidFill>
                    <w14:schemeClr w14:val="tx1"/>
                  </w14:solidFill>
                </w14:textFill>
              </w:rPr>
              <w:t>吹塑机内更换下来的模具委外维修，维修到一定程度后需要更换；</w:t>
            </w:r>
            <w:r>
              <w:rPr>
                <w:rFonts w:hint="eastAsia" w:ascii="Times New Roman" w:hAnsi="Times New Roman"/>
                <w:color w:val="000000" w:themeColor="text1"/>
                <w:sz w:val="21"/>
                <w:szCs w:val="21"/>
                <w:highlight w:val="none"/>
                <w14:textFill>
                  <w14:solidFill>
                    <w14:schemeClr w14:val="tx1"/>
                  </w14:solidFill>
                </w14:textFill>
              </w:rPr>
              <w:t>项目</w:t>
            </w:r>
            <w:r>
              <w:rPr>
                <w:rFonts w:hint="eastAsia" w:ascii="Times New Roman" w:hAnsi="Times New Roman" w:eastAsia="新宋体" w:cs="Times New Roman"/>
                <w:color w:val="000000" w:themeColor="text1"/>
                <w:sz w:val="21"/>
                <w:szCs w:val="21"/>
                <w:highlight w:val="none"/>
                <w:lang w:val="en-US" w:eastAsia="zh-CN"/>
                <w14:textFill>
                  <w14:solidFill>
                    <w14:schemeClr w14:val="tx1"/>
                  </w14:solidFill>
                </w14:textFill>
              </w:rPr>
              <w:t>吹塑机内液压油需要定期更换，设备维护过程</w:t>
            </w:r>
            <w:r>
              <w:rPr>
                <w:rFonts w:hint="eastAsia" w:ascii="Times New Roman" w:hAnsi="Times New Roman"/>
                <w:color w:val="000000" w:themeColor="text1"/>
                <w:sz w:val="21"/>
                <w:szCs w:val="21"/>
                <w:highlight w:val="none"/>
                <w14:textFill>
                  <w14:solidFill>
                    <w14:schemeClr w14:val="tx1"/>
                  </w14:solidFill>
                </w14:textFill>
              </w:rPr>
              <w:t>产生</w:t>
            </w:r>
            <w:r>
              <w:rPr>
                <w:rFonts w:hint="eastAsia" w:ascii="Times New Roman" w:hAnsi="Times New Roman"/>
                <w:color w:val="000000" w:themeColor="text1"/>
                <w:sz w:val="21"/>
                <w:szCs w:val="21"/>
                <w:highlight w:val="none"/>
                <w:lang w:val="en-US" w:eastAsia="zh-CN"/>
                <w14:textFill>
                  <w14:solidFill>
                    <w14:schemeClr w14:val="tx1"/>
                  </w14:solidFill>
                </w14:textFill>
              </w:rPr>
              <w:t>废模具S1，废液压油S2</w:t>
            </w:r>
            <w:r>
              <w:rPr>
                <w:rFonts w:hint="eastAsia" w:ascii="Times New Roman" w:hAnsi="Times New Roman"/>
                <w:color w:val="000000" w:themeColor="text1"/>
                <w:sz w:val="21"/>
                <w:szCs w:val="21"/>
                <w:highlight w:val="none"/>
                <w14:textFill>
                  <w14:solidFill>
                    <w14:schemeClr w14:val="tx1"/>
                  </w14:solidFill>
                </w14:textFill>
              </w:rPr>
              <w:t>。</w:t>
            </w:r>
          </w:p>
          <w:p w14:paraId="0B8EDB97">
            <w:pPr>
              <w:pStyle w:val="18"/>
              <w:adjustRightInd w:val="0"/>
              <w:snapToGrid w:val="0"/>
              <w:spacing w:before="0" w:beforeAutospacing="0" w:after="0" w:afterAutospacing="0" w:line="360" w:lineRule="auto"/>
              <w:ind w:firstLine="422" w:firstLineChars="200"/>
              <w:jc w:val="both"/>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16"/>
                <w:highlight w:val="none"/>
                <w:lang w:val="en-US" w:eastAsia="zh-CN"/>
                <w14:textFill>
                  <w14:solidFill>
                    <w14:schemeClr w14:val="tx1"/>
                  </w14:solidFill>
                </w14:textFill>
              </w:rPr>
              <w:t>印刷机清理</w:t>
            </w:r>
            <w:r>
              <w:rPr>
                <w:rFonts w:hint="eastAsia" w:ascii="Times New Roman" w:hAnsi="Times New Roman"/>
                <w:color w:val="000000" w:themeColor="text1"/>
                <w:sz w:val="21"/>
                <w:szCs w:val="21"/>
                <w:highlight w:val="none"/>
                <w14:textFill>
                  <w14:solidFill>
                    <w14:schemeClr w14:val="tx1"/>
                  </w14:solidFill>
                </w14:textFill>
              </w:rPr>
              <w:t>：项目</w:t>
            </w:r>
            <w:r>
              <w:rPr>
                <w:rFonts w:hint="eastAsia" w:ascii="Times New Roman" w:hAnsi="Times New Roman"/>
                <w:color w:val="000000" w:themeColor="text1"/>
                <w:sz w:val="21"/>
                <w:szCs w:val="21"/>
                <w:highlight w:val="none"/>
                <w:lang w:val="en-US" w:eastAsia="zh-CN"/>
                <w14:textFill>
                  <w14:solidFill>
                    <w14:schemeClr w14:val="tx1"/>
                  </w14:solidFill>
                </w14:textFill>
              </w:rPr>
              <w:t>丝网</w:t>
            </w:r>
            <w:r>
              <w:rPr>
                <w:rFonts w:hint="eastAsia" w:ascii="Times New Roman" w:hAnsi="Times New Roman"/>
                <w:b w:val="0"/>
                <w:bCs w:val="0"/>
                <w:color w:val="000000" w:themeColor="text1"/>
                <w:sz w:val="21"/>
                <w:szCs w:val="16"/>
                <w:highlight w:val="none"/>
                <w:lang w:val="en-US" w:eastAsia="zh-CN"/>
                <w14:textFill>
                  <w14:solidFill>
                    <w14:schemeClr w14:val="tx1"/>
                  </w14:solidFill>
                </w14:textFill>
              </w:rPr>
              <w:t>印刷机1-2天清理一次（一年清理约250次），使用抹布蘸取清洗剂进行擦拭，每次清洗剂用量约0.12kg，产生印刷机清理有机废气G5，废抹布S3</w:t>
            </w:r>
            <w:r>
              <w:rPr>
                <w:rFonts w:hint="eastAsia" w:ascii="Times New Roman" w:hAnsi="Times New Roman"/>
                <w:color w:val="000000" w:themeColor="text1"/>
                <w:sz w:val="21"/>
                <w:szCs w:val="21"/>
                <w:highlight w:val="none"/>
                <w14:textFill>
                  <w14:solidFill>
                    <w14:schemeClr w14:val="tx1"/>
                  </w14:solidFill>
                </w14:textFill>
              </w:rPr>
              <w:t>。</w:t>
            </w:r>
          </w:p>
          <w:p w14:paraId="76C1190B">
            <w:pPr>
              <w:pStyle w:val="18"/>
              <w:adjustRightInd w:val="0"/>
              <w:snapToGrid w:val="0"/>
              <w:spacing w:before="0" w:beforeAutospacing="0" w:after="0" w:afterAutospacing="0" w:line="360" w:lineRule="auto"/>
              <w:ind w:firstLine="422" w:firstLineChars="200"/>
              <w:jc w:val="both"/>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16"/>
                <w:highlight w:val="none"/>
                <w:lang w:val="en-US" w:eastAsia="zh-CN"/>
                <w14:textFill>
                  <w14:solidFill>
                    <w14:schemeClr w14:val="tx1"/>
                  </w14:solidFill>
                </w14:textFill>
              </w:rPr>
              <w:t>地面清扫</w:t>
            </w:r>
            <w:r>
              <w:rPr>
                <w:rFonts w:hint="eastAsia" w:ascii="Times New Roman" w:hAnsi="Times New Roman"/>
                <w:color w:val="000000" w:themeColor="text1"/>
                <w:sz w:val="21"/>
                <w:szCs w:val="21"/>
                <w:highlight w:val="none"/>
                <w14:textFill>
                  <w14:solidFill>
                    <w14:schemeClr w14:val="tx1"/>
                  </w14:solidFill>
                </w14:textFill>
              </w:rPr>
              <w:t>：</w:t>
            </w:r>
            <w:r>
              <w:rPr>
                <w:rFonts w:hint="eastAsia" w:ascii="Times New Roman" w:hAnsi="Times New Roman"/>
                <w:color w:val="000000" w:themeColor="text1"/>
                <w:sz w:val="21"/>
                <w:szCs w:val="21"/>
                <w:highlight w:val="none"/>
                <w:lang w:val="en-US" w:eastAsia="zh-CN"/>
                <w14:textFill>
                  <w14:solidFill>
                    <w14:schemeClr w14:val="tx1"/>
                  </w14:solidFill>
                </w14:textFill>
              </w:rPr>
              <w:t>车间地面定期使用扫把清扫，不涉及地面清洗</w:t>
            </w:r>
            <w:r>
              <w:rPr>
                <w:rFonts w:hint="eastAsia" w:ascii="Times New Roman" w:hAnsi="Times New Roman"/>
                <w:color w:val="000000" w:themeColor="text1"/>
                <w:sz w:val="21"/>
                <w:szCs w:val="21"/>
                <w:highlight w:val="none"/>
                <w14:textFill>
                  <w14:solidFill>
                    <w14:schemeClr w14:val="tx1"/>
                  </w14:solidFill>
                </w14:textFill>
              </w:rPr>
              <w:t>。</w:t>
            </w:r>
          </w:p>
          <w:p w14:paraId="6CD000A3">
            <w:pPr>
              <w:pStyle w:val="18"/>
              <w:adjustRightInd w:val="0"/>
              <w:snapToGrid w:val="0"/>
              <w:spacing w:before="0" w:beforeAutospacing="0" w:after="0" w:afterAutospacing="0" w:line="360" w:lineRule="auto"/>
              <w:ind w:firstLine="422" w:firstLineChars="200"/>
              <w:jc w:val="both"/>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原料使用</w:t>
            </w:r>
            <w:r>
              <w:rPr>
                <w:rFonts w:hint="eastAsia" w:ascii="Times New Roman" w:hAnsi="Times New Roman"/>
                <w:color w:val="000000" w:themeColor="text1"/>
                <w:sz w:val="21"/>
                <w:szCs w:val="21"/>
                <w:highlight w:val="none"/>
                <w14:textFill>
                  <w14:solidFill>
                    <w14:schemeClr w14:val="tx1"/>
                  </w14:solidFill>
                </w14:textFill>
              </w:rPr>
              <w:t>：项目</w:t>
            </w:r>
            <w:r>
              <w:rPr>
                <w:rFonts w:hint="default" w:ascii="Times New Roman" w:hAnsi="Times New Roman" w:cs="Times New Roman"/>
                <w:color w:val="000000" w:themeColor="text1"/>
                <w:sz w:val="21"/>
                <w:szCs w:val="21"/>
                <w14:textFill>
                  <w14:solidFill>
                    <w14:schemeClr w14:val="tx1"/>
                  </w14:solidFill>
                </w14:textFill>
              </w:rPr>
              <w:t>HDPE</w:t>
            </w:r>
            <w:r>
              <w:rPr>
                <w:rFonts w:hint="eastAsia" w:ascii="Times New Roman" w:hAnsi="Times New Roman"/>
                <w:color w:val="000000" w:themeColor="text1"/>
                <w:sz w:val="21"/>
                <w:szCs w:val="16"/>
                <w:highlight w:val="none"/>
                <w:lang w:val="en-US" w:eastAsia="zh-CN"/>
                <w14:textFill>
                  <w14:solidFill>
                    <w14:schemeClr w14:val="tx1"/>
                  </w14:solidFill>
                </w14:textFill>
              </w:rPr>
              <w:t>粒子</w:t>
            </w:r>
            <w:r>
              <w:rPr>
                <w:rFonts w:hint="eastAsia" w:ascii="Times New Roman" w:hAnsi="Times New Roman"/>
                <w:color w:val="000000" w:themeColor="text1"/>
                <w:sz w:val="21"/>
                <w:szCs w:val="16"/>
                <w:highlight w:val="none"/>
                <w14:textFill>
                  <w14:solidFill>
                    <w14:schemeClr w14:val="tx1"/>
                  </w14:solidFill>
                </w14:textFill>
              </w:rPr>
              <w:t>等原料拆解会产生废包装</w:t>
            </w:r>
            <w:r>
              <w:rPr>
                <w:rFonts w:hint="eastAsia" w:ascii="Times New Roman" w:hAnsi="Times New Roman"/>
                <w:color w:val="000000" w:themeColor="text1"/>
                <w:sz w:val="21"/>
                <w:szCs w:val="16"/>
                <w:highlight w:val="none"/>
                <w:lang w:val="en-US" w:eastAsia="zh-CN"/>
                <w14:textFill>
                  <w14:solidFill>
                    <w14:schemeClr w14:val="tx1"/>
                  </w14:solidFill>
                </w14:textFill>
              </w:rPr>
              <w:t>袋</w:t>
            </w:r>
            <w:r>
              <w:rPr>
                <w:rFonts w:hint="eastAsia" w:ascii="Times New Roman" w:hAnsi="Times New Roman"/>
                <w:color w:val="000000" w:themeColor="text1"/>
                <w:sz w:val="21"/>
                <w:szCs w:val="21"/>
                <w:highlight w:val="none"/>
                <w14:textFill>
                  <w14:solidFill>
                    <w14:schemeClr w14:val="tx1"/>
                  </w14:solidFill>
                </w14:textFill>
              </w:rPr>
              <w:t>S</w:t>
            </w:r>
            <w:r>
              <w:rPr>
                <w:rFonts w:hint="eastAsia" w:ascii="Times New Roman" w:hAnsi="Times New Roman"/>
                <w:color w:val="000000" w:themeColor="text1"/>
                <w:sz w:val="21"/>
                <w:szCs w:val="21"/>
                <w:highlight w:val="none"/>
                <w:lang w:val="en-US" w:eastAsia="zh-CN"/>
                <w14:textFill>
                  <w14:solidFill>
                    <w14:schemeClr w14:val="tx1"/>
                  </w14:solidFill>
                </w14:textFill>
              </w:rPr>
              <w:t>4</w:t>
            </w:r>
            <w:r>
              <w:rPr>
                <w:rFonts w:hint="eastAsia" w:ascii="Times New Roman" w:hAnsi="Times New Roman"/>
                <w:color w:val="000000" w:themeColor="text1"/>
                <w:sz w:val="21"/>
                <w:szCs w:val="21"/>
                <w:highlight w:val="none"/>
                <w14:textFill>
                  <w14:solidFill>
                    <w14:schemeClr w14:val="tx1"/>
                  </w14:solidFill>
                </w14:textFill>
              </w:rPr>
              <w:t>，</w:t>
            </w:r>
            <w:r>
              <w:rPr>
                <w:rFonts w:hint="eastAsia" w:ascii="Times New Roman" w:hAnsi="Times New Roman"/>
                <w:color w:val="000000" w:themeColor="text1"/>
                <w:sz w:val="21"/>
                <w:szCs w:val="16"/>
                <w:highlight w:val="none"/>
                <w:lang w:val="en-US" w:eastAsia="zh-CN"/>
                <w14:textFill>
                  <w14:solidFill>
                    <w14:schemeClr w14:val="tx1"/>
                  </w14:solidFill>
                </w14:textFill>
              </w:rPr>
              <w:t>油墨、清洗剂</w:t>
            </w:r>
            <w:r>
              <w:rPr>
                <w:rFonts w:hint="eastAsia" w:ascii="Times New Roman" w:hAnsi="Times New Roman"/>
                <w:color w:val="000000" w:themeColor="text1"/>
                <w:sz w:val="21"/>
                <w:szCs w:val="16"/>
                <w:highlight w:val="none"/>
                <w14:textFill>
                  <w14:solidFill>
                    <w14:schemeClr w14:val="tx1"/>
                  </w14:solidFill>
                </w14:textFill>
              </w:rPr>
              <w:t>使用会产生废包装桶</w:t>
            </w:r>
            <w:r>
              <w:rPr>
                <w:rFonts w:hint="eastAsia" w:ascii="Times New Roman" w:hAnsi="Times New Roman"/>
                <w:color w:val="000000" w:themeColor="text1"/>
                <w:sz w:val="21"/>
                <w:szCs w:val="16"/>
                <w:highlight w:val="none"/>
                <w:lang w:val="en-US" w:eastAsia="zh-CN"/>
                <w14:textFill>
                  <w14:solidFill>
                    <w14:schemeClr w14:val="tx1"/>
                  </w14:solidFill>
                </w14:textFill>
              </w:rPr>
              <w:t>S5，液压油</w:t>
            </w:r>
            <w:r>
              <w:rPr>
                <w:rFonts w:hint="eastAsia" w:ascii="Times New Roman" w:hAnsi="Times New Roman"/>
                <w:color w:val="000000" w:themeColor="text1"/>
                <w:sz w:val="21"/>
                <w:szCs w:val="16"/>
                <w:highlight w:val="none"/>
                <w14:textFill>
                  <w14:solidFill>
                    <w14:schemeClr w14:val="tx1"/>
                  </w14:solidFill>
                </w14:textFill>
              </w:rPr>
              <w:t>使用会产生废</w:t>
            </w:r>
            <w:r>
              <w:rPr>
                <w:rFonts w:hint="eastAsia" w:ascii="Times New Roman" w:hAnsi="Times New Roman"/>
                <w:color w:val="000000" w:themeColor="text1"/>
                <w:sz w:val="21"/>
                <w:szCs w:val="16"/>
                <w:highlight w:val="none"/>
                <w:lang w:val="en-US" w:eastAsia="zh-CN"/>
                <w14:textFill>
                  <w14:solidFill>
                    <w14:schemeClr w14:val="tx1"/>
                  </w14:solidFill>
                </w14:textFill>
              </w:rPr>
              <w:t>油</w:t>
            </w:r>
            <w:r>
              <w:rPr>
                <w:rFonts w:hint="eastAsia" w:ascii="Times New Roman" w:hAnsi="Times New Roman"/>
                <w:color w:val="000000" w:themeColor="text1"/>
                <w:sz w:val="21"/>
                <w:szCs w:val="16"/>
                <w:highlight w:val="none"/>
                <w14:textFill>
                  <w14:solidFill>
                    <w14:schemeClr w14:val="tx1"/>
                  </w14:solidFill>
                </w14:textFill>
              </w:rPr>
              <w:t>桶</w:t>
            </w:r>
            <w:r>
              <w:rPr>
                <w:rFonts w:hint="eastAsia" w:ascii="Times New Roman" w:hAnsi="Times New Roman"/>
                <w:color w:val="000000" w:themeColor="text1"/>
                <w:sz w:val="21"/>
                <w:szCs w:val="16"/>
                <w:highlight w:val="none"/>
                <w:lang w:val="en-US" w:eastAsia="zh-CN"/>
                <w14:textFill>
                  <w14:solidFill>
                    <w14:schemeClr w14:val="tx1"/>
                  </w14:solidFill>
                </w14:textFill>
              </w:rPr>
              <w:t>S6</w:t>
            </w:r>
            <w:r>
              <w:rPr>
                <w:rFonts w:hint="eastAsia" w:ascii="Times New Roman" w:hAnsi="Times New Roman"/>
                <w:color w:val="000000" w:themeColor="text1"/>
                <w:sz w:val="21"/>
                <w:szCs w:val="21"/>
                <w:highlight w:val="none"/>
                <w14:textFill>
                  <w14:solidFill>
                    <w14:schemeClr w14:val="tx1"/>
                  </w14:solidFill>
                </w14:textFill>
              </w:rPr>
              <w:t>。</w:t>
            </w:r>
          </w:p>
          <w:p w14:paraId="7E9DE559">
            <w:pPr>
              <w:pStyle w:val="18"/>
              <w:adjustRightInd w:val="0"/>
              <w:snapToGrid w:val="0"/>
              <w:spacing w:before="0" w:beforeAutospacing="0" w:after="0" w:afterAutospacing="0" w:line="360" w:lineRule="auto"/>
              <w:ind w:firstLine="422" w:firstLineChars="200"/>
              <w:jc w:val="both"/>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废气治理</w:t>
            </w:r>
            <w:r>
              <w:rPr>
                <w:rFonts w:hint="eastAsia" w:ascii="Times New Roman" w:hAnsi="Times New Roman"/>
                <w:color w:val="000000" w:themeColor="text1"/>
                <w:sz w:val="21"/>
                <w:szCs w:val="21"/>
                <w:highlight w:val="none"/>
                <w14:textFill>
                  <w14:solidFill>
                    <w14:schemeClr w14:val="tx1"/>
                  </w14:solidFill>
                </w14:textFill>
              </w:rPr>
              <w:t>：</w:t>
            </w:r>
            <w:r>
              <w:rPr>
                <w:rFonts w:hint="eastAsia"/>
                <w:bCs/>
                <w:color w:val="000000" w:themeColor="text1"/>
                <w:sz w:val="21"/>
                <w:szCs w:val="21"/>
                <w:highlight w:val="none"/>
                <w:lang w:val="en-US" w:eastAsia="zh-CN"/>
                <w14:textFill>
                  <w14:solidFill>
                    <w14:schemeClr w14:val="tx1"/>
                  </w14:solidFill>
                </w14:textFill>
              </w:rPr>
              <w:t>吹塑、印刷、烘干、</w:t>
            </w:r>
            <w:r>
              <w:rPr>
                <w:rFonts w:hint="eastAsia"/>
                <w:color w:val="000000" w:themeColor="text1"/>
                <w:sz w:val="21"/>
                <w:szCs w:val="21"/>
                <w:highlight w:val="none"/>
                <w:lang w:val="en-US" w:eastAsia="zh-CN"/>
                <w14:textFill>
                  <w14:solidFill>
                    <w14:schemeClr w14:val="tx1"/>
                  </w14:solidFill>
                </w14:textFill>
              </w:rPr>
              <w:t>印刷机清理</w:t>
            </w:r>
            <w:r>
              <w:rPr>
                <w:rFonts w:hint="eastAsia" w:ascii="Times New Roman" w:hAnsi="Times New Roman"/>
                <w:color w:val="000000" w:themeColor="text1"/>
                <w:sz w:val="21"/>
                <w:szCs w:val="21"/>
                <w:highlight w:val="none"/>
                <w14:textFill>
                  <w14:solidFill>
                    <w14:schemeClr w14:val="tx1"/>
                  </w14:solidFill>
                </w14:textFill>
              </w:rPr>
              <w:t>有机废气经</w:t>
            </w:r>
            <w:r>
              <w:rPr>
                <w:rFonts w:hint="eastAsia"/>
                <w:color w:val="000000" w:themeColor="text1"/>
                <w:sz w:val="21"/>
                <w:szCs w:val="21"/>
                <w:highlight w:val="none"/>
                <w14:textFill>
                  <w14:solidFill>
                    <w14:schemeClr w14:val="tx1"/>
                  </w14:solidFill>
                </w14:textFill>
              </w:rPr>
              <w:t>包围式集气罩收集+</w:t>
            </w:r>
            <w:r>
              <w:rPr>
                <w:rFonts w:hint="eastAsia" w:ascii="TimesNewRomanPSMT" w:hAnsi="TimesNewRomanPSMT" w:cs="TimesNewRomanPSMT"/>
                <w:color w:val="000000" w:themeColor="text1"/>
                <w:sz w:val="21"/>
                <w:szCs w:val="21"/>
                <w:highlight w:val="none"/>
                <w:lang w:bidi="ar"/>
                <w14:textFill>
                  <w14:solidFill>
                    <w14:schemeClr w14:val="tx1"/>
                  </w14:solidFill>
                </w14:textFill>
              </w:rPr>
              <w:t>1套</w:t>
            </w:r>
            <w:r>
              <w:rPr>
                <w:rFonts w:hint="eastAsia" w:ascii="Times New Roman" w:hAnsi="Times New Roman"/>
                <w:color w:val="000000" w:themeColor="text1"/>
                <w:kern w:val="2"/>
                <w:sz w:val="21"/>
                <w:szCs w:val="21"/>
                <w:highlight w:val="none"/>
                <w14:textFill>
                  <w14:solidFill>
                    <w14:schemeClr w14:val="tx1"/>
                  </w14:solidFill>
                </w14:textFill>
              </w:rPr>
              <w:t>二级活性炭吸附装置</w:t>
            </w:r>
            <w:r>
              <w:rPr>
                <w:rFonts w:hint="eastAsia" w:ascii="TimesNewRomanPSMT" w:hAnsi="TimesNewRomanPSMT" w:cs="TimesNewRomanPSMT"/>
                <w:color w:val="000000" w:themeColor="text1"/>
                <w:sz w:val="21"/>
                <w:szCs w:val="21"/>
                <w:highlight w:val="none"/>
                <w:lang w:bidi="ar"/>
                <w14:textFill>
                  <w14:solidFill>
                    <w14:schemeClr w14:val="tx1"/>
                  </w14:solidFill>
                </w14:textFill>
              </w:rPr>
              <w:t>处理，</w:t>
            </w:r>
            <w:r>
              <w:rPr>
                <w:rFonts w:hint="eastAsia" w:ascii="Times New Roman" w:hAnsi="Times New Roman"/>
                <w:color w:val="000000" w:themeColor="text1"/>
                <w:sz w:val="21"/>
                <w:szCs w:val="21"/>
                <w:highlight w:val="none"/>
                <w14:textFill>
                  <w14:solidFill>
                    <w14:schemeClr w14:val="tx1"/>
                  </w14:solidFill>
                </w14:textFill>
              </w:rPr>
              <w:t>废气处理过程产生废活性炭S</w:t>
            </w:r>
            <w:r>
              <w:rPr>
                <w:rFonts w:hint="eastAsia" w:ascii="Times New Roman" w:hAnsi="Times New Roman"/>
                <w:color w:val="000000" w:themeColor="text1"/>
                <w:sz w:val="21"/>
                <w:szCs w:val="21"/>
                <w:highlight w:val="none"/>
                <w:lang w:val="en-US" w:eastAsia="zh-CN"/>
                <w14:textFill>
                  <w14:solidFill>
                    <w14:schemeClr w14:val="tx1"/>
                  </w14:solidFill>
                </w14:textFill>
              </w:rPr>
              <w:t>7</w:t>
            </w:r>
            <w:r>
              <w:rPr>
                <w:rFonts w:hint="eastAsia" w:ascii="Times New Roman" w:hAnsi="Times New Roman"/>
                <w:color w:val="000000" w:themeColor="text1"/>
                <w:sz w:val="21"/>
                <w:szCs w:val="21"/>
                <w:highlight w:val="none"/>
                <w14:textFill>
                  <w14:solidFill>
                    <w14:schemeClr w14:val="tx1"/>
                  </w14:solidFill>
                </w14:textFill>
              </w:rPr>
              <w:t>。</w:t>
            </w:r>
          </w:p>
          <w:p w14:paraId="00C6681A">
            <w:pPr>
              <w:pStyle w:val="18"/>
              <w:adjustRightInd w:val="0"/>
              <w:snapToGrid w:val="0"/>
              <w:spacing w:before="0" w:beforeAutospacing="0" w:after="0" w:afterAutospacing="0" w:line="360" w:lineRule="auto"/>
              <w:ind w:firstLine="422" w:firstLineChars="200"/>
              <w:jc w:val="both"/>
              <w:rPr>
                <w:rFonts w:ascii="Times New Roman" w:hAnsi="Times New Roman"/>
                <w:b/>
                <w:bCs/>
                <w:color w:val="000000" w:themeColor="text1"/>
                <w:sz w:val="21"/>
                <w:szCs w:val="16"/>
                <w:highlight w:val="none"/>
                <w14:textFill>
                  <w14:solidFill>
                    <w14:schemeClr w14:val="tx1"/>
                  </w14:solidFill>
                </w14:textFill>
              </w:rPr>
            </w:pPr>
            <w:r>
              <w:rPr>
                <w:rFonts w:ascii="Times New Roman" w:hAnsi="Times New Roman"/>
                <w:b/>
                <w:bCs/>
                <w:color w:val="000000" w:themeColor="text1"/>
                <w:sz w:val="21"/>
                <w:szCs w:val="16"/>
                <w:highlight w:val="none"/>
                <w14:textFill>
                  <w14:solidFill>
                    <w14:schemeClr w14:val="tx1"/>
                  </w14:solidFill>
                </w14:textFill>
              </w:rPr>
              <w:t>2.1</w:t>
            </w:r>
            <w:r>
              <w:rPr>
                <w:rFonts w:hint="eastAsia" w:ascii="Times New Roman" w:hAnsi="Times New Roman"/>
                <w:b/>
                <w:bCs/>
                <w:color w:val="000000" w:themeColor="text1"/>
                <w:sz w:val="21"/>
                <w:szCs w:val="16"/>
                <w:highlight w:val="none"/>
                <w:lang w:val="en-US" w:eastAsia="zh-CN"/>
                <w14:textFill>
                  <w14:solidFill>
                    <w14:schemeClr w14:val="tx1"/>
                  </w14:solidFill>
                </w14:textFill>
              </w:rPr>
              <w:t>4</w:t>
            </w:r>
            <w:r>
              <w:rPr>
                <w:rFonts w:ascii="Times New Roman" w:hAnsi="Times New Roman"/>
                <w:b/>
                <w:bCs/>
                <w:color w:val="000000" w:themeColor="text1"/>
                <w:sz w:val="21"/>
                <w:szCs w:val="16"/>
                <w:highlight w:val="none"/>
                <w14:textFill>
                  <w14:solidFill>
                    <w14:schemeClr w14:val="tx1"/>
                  </w14:solidFill>
                </w14:textFill>
              </w:rPr>
              <w:t>产污环节汇总</w:t>
            </w:r>
          </w:p>
          <w:p w14:paraId="1EE21C9A">
            <w:pPr>
              <w:pStyle w:val="18"/>
              <w:adjustRightInd w:val="0"/>
              <w:snapToGrid w:val="0"/>
              <w:spacing w:before="0" w:beforeAutospacing="0" w:after="0" w:afterAutospacing="0" w:line="360" w:lineRule="auto"/>
              <w:ind w:firstLine="420" w:firstLineChars="200"/>
              <w:jc w:val="both"/>
              <w:rPr>
                <w:rFonts w:ascii="Times New Roman" w:hAnsi="Times New Roman"/>
                <w:color w:val="000000" w:themeColor="text1"/>
                <w:sz w:val="21"/>
                <w:szCs w:val="16"/>
                <w:highlight w:val="none"/>
                <w14:textFill>
                  <w14:solidFill>
                    <w14:schemeClr w14:val="tx1"/>
                  </w14:solidFill>
                </w14:textFill>
              </w:rPr>
            </w:pPr>
            <w:r>
              <w:rPr>
                <w:rFonts w:ascii="Times New Roman" w:hAnsi="Times New Roman"/>
                <w:color w:val="000000" w:themeColor="text1"/>
                <w:sz w:val="21"/>
                <w:szCs w:val="16"/>
                <w:highlight w:val="none"/>
                <w14:textFill>
                  <w14:solidFill>
                    <w14:schemeClr w14:val="tx1"/>
                  </w14:solidFill>
                </w14:textFill>
              </w:rPr>
              <w:t>本项目产污环节汇总见表2.1</w:t>
            </w:r>
            <w:r>
              <w:rPr>
                <w:rFonts w:hint="eastAsia" w:ascii="Times New Roman" w:hAnsi="Times New Roman"/>
                <w:color w:val="000000" w:themeColor="text1"/>
                <w:sz w:val="21"/>
                <w:szCs w:val="16"/>
                <w:highlight w:val="none"/>
                <w:lang w:val="en-US" w:eastAsia="zh-CN"/>
                <w14:textFill>
                  <w14:solidFill>
                    <w14:schemeClr w14:val="tx1"/>
                  </w14:solidFill>
                </w14:textFill>
              </w:rPr>
              <w:t>4</w:t>
            </w:r>
            <w:r>
              <w:rPr>
                <w:rFonts w:ascii="Times New Roman" w:hAnsi="Times New Roman"/>
                <w:color w:val="000000" w:themeColor="text1"/>
                <w:sz w:val="21"/>
                <w:szCs w:val="16"/>
                <w:highlight w:val="none"/>
                <w14:textFill>
                  <w14:solidFill>
                    <w14:schemeClr w14:val="tx1"/>
                  </w14:solidFill>
                </w14:textFill>
              </w:rPr>
              <w:t>-1。</w:t>
            </w:r>
          </w:p>
          <w:p w14:paraId="7C7B0151">
            <w:pPr>
              <w:pStyle w:val="74"/>
              <w:spacing w:line="240" w:lineRule="auto"/>
              <w:ind w:firstLine="0" w:firstLineChars="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表2.</w:t>
            </w:r>
            <w:r>
              <w:rPr>
                <w:rFonts w:hint="eastAsia"/>
                <w:b/>
                <w:color w:val="000000" w:themeColor="text1"/>
                <w:szCs w:val="21"/>
                <w:highlight w:val="none"/>
                <w14:textFill>
                  <w14:solidFill>
                    <w14:schemeClr w14:val="tx1"/>
                  </w14:solidFill>
                </w14:textFill>
              </w:rPr>
              <w:t>1</w:t>
            </w:r>
            <w:r>
              <w:rPr>
                <w:rFonts w:hint="eastAsia"/>
                <w:b/>
                <w:color w:val="000000" w:themeColor="text1"/>
                <w:szCs w:val="21"/>
                <w:highlight w:val="none"/>
                <w:lang w:val="en-US" w:eastAsia="zh-CN"/>
                <w14:textFill>
                  <w14:solidFill>
                    <w14:schemeClr w14:val="tx1"/>
                  </w14:solidFill>
                </w14:textFill>
              </w:rPr>
              <w:t>4</w:t>
            </w:r>
            <w:r>
              <w:rPr>
                <w:b/>
                <w:color w:val="000000" w:themeColor="text1"/>
                <w:szCs w:val="21"/>
                <w:highlight w:val="none"/>
                <w14:textFill>
                  <w14:solidFill>
                    <w14:schemeClr w14:val="tx1"/>
                  </w14:solidFill>
                </w14:textFill>
              </w:rPr>
              <w:t>-1  本项目产污环节汇总表</w:t>
            </w:r>
          </w:p>
          <w:tbl>
            <w:tblPr>
              <w:tblStyle w:val="2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065"/>
              <w:gridCol w:w="1499"/>
              <w:gridCol w:w="1413"/>
              <w:gridCol w:w="3600"/>
            </w:tblGrid>
            <w:tr w14:paraId="192F8D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noWrap/>
                  <w:vAlign w:val="center"/>
                </w:tcPr>
                <w:p w14:paraId="44F8954E">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类别</w:t>
                  </w:r>
                </w:p>
              </w:tc>
              <w:tc>
                <w:tcPr>
                  <w:tcW w:w="633" w:type="pct"/>
                  <w:noWrap/>
                  <w:vAlign w:val="center"/>
                </w:tcPr>
                <w:p w14:paraId="1F4AD4A8">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编号</w:t>
                  </w:r>
                </w:p>
              </w:tc>
              <w:tc>
                <w:tcPr>
                  <w:tcW w:w="890" w:type="pct"/>
                  <w:noWrap/>
                  <w:vAlign w:val="center"/>
                </w:tcPr>
                <w:p w14:paraId="5CF2012E">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产污环节</w:t>
                  </w:r>
                </w:p>
              </w:tc>
              <w:tc>
                <w:tcPr>
                  <w:tcW w:w="839" w:type="pct"/>
                  <w:noWrap/>
                  <w:vAlign w:val="center"/>
                </w:tcPr>
                <w:p w14:paraId="7BC63ECC">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污染物</w:t>
                  </w:r>
                </w:p>
              </w:tc>
              <w:tc>
                <w:tcPr>
                  <w:tcW w:w="2139" w:type="pct"/>
                  <w:noWrap/>
                  <w:vAlign w:val="center"/>
                </w:tcPr>
                <w:p w14:paraId="2342DA9E">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污染治理措施</w:t>
                  </w:r>
                </w:p>
              </w:tc>
            </w:tr>
            <w:tr w14:paraId="7DB080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Merge w:val="restart"/>
                  <w:noWrap/>
                  <w:vAlign w:val="center"/>
                </w:tcPr>
                <w:p w14:paraId="47E42F8A">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废气</w:t>
                  </w:r>
                </w:p>
              </w:tc>
              <w:tc>
                <w:tcPr>
                  <w:tcW w:w="633" w:type="pct"/>
                  <w:noWrap/>
                  <w:vAlign w:val="center"/>
                </w:tcPr>
                <w:p w14:paraId="0A06ED21">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G1</w:t>
                  </w:r>
                </w:p>
              </w:tc>
              <w:tc>
                <w:tcPr>
                  <w:tcW w:w="890" w:type="pct"/>
                  <w:noWrap/>
                  <w:vAlign w:val="center"/>
                </w:tcPr>
                <w:p w14:paraId="6D90E6E1">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吹塑</w:t>
                  </w:r>
                </w:p>
              </w:tc>
              <w:tc>
                <w:tcPr>
                  <w:tcW w:w="839" w:type="pct"/>
                  <w:vMerge w:val="restart"/>
                  <w:noWrap/>
                  <w:vAlign w:val="center"/>
                </w:tcPr>
                <w:p w14:paraId="4DC6EECB">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有机废气</w:t>
                  </w:r>
                </w:p>
              </w:tc>
              <w:tc>
                <w:tcPr>
                  <w:tcW w:w="2139" w:type="pct"/>
                  <w:vMerge w:val="restart"/>
                  <w:noWrap/>
                  <w:vAlign w:val="center"/>
                </w:tcPr>
                <w:p w14:paraId="6FE7D63B">
                  <w:pPr>
                    <w:ind w:right="-105" w:rightChars="-50"/>
                    <w:jc w:val="center"/>
                    <w:rPr>
                      <w:color w:val="000000" w:themeColor="text1"/>
                      <w:szCs w:val="2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包围式集气罩</w:t>
                  </w:r>
                  <w:r>
                    <w:rPr>
                      <w:rFonts w:hint="eastAsia"/>
                      <w:color w:val="000000" w:themeColor="text1"/>
                      <w:highlight w:val="none"/>
                      <w14:textFill>
                        <w14:solidFill>
                          <w14:schemeClr w14:val="tx1"/>
                        </w14:solidFill>
                      </w14:textFill>
                    </w:rPr>
                    <w:t>收集+</w:t>
                  </w:r>
                  <w:r>
                    <w:rPr>
                      <w:rFonts w:hint="eastAsia"/>
                      <w:color w:val="000000" w:themeColor="text1"/>
                      <w:highlight w:val="none"/>
                      <w:lang w:val="en-US" w:eastAsia="zh-CN"/>
                      <w14:textFill>
                        <w14:solidFill>
                          <w14:schemeClr w14:val="tx1"/>
                        </w14:solidFill>
                      </w14:textFill>
                    </w:rPr>
                    <w:t>二级</w:t>
                  </w:r>
                  <w:r>
                    <w:rPr>
                      <w:rFonts w:hint="eastAsia"/>
                      <w:color w:val="000000" w:themeColor="text1"/>
                      <w:highlight w:val="none"/>
                      <w14:textFill>
                        <w14:solidFill>
                          <w14:schemeClr w14:val="tx1"/>
                        </w14:solidFill>
                      </w14:textFill>
                    </w:rPr>
                    <w:t>活性炭吸附装置</w:t>
                  </w:r>
                  <w:r>
                    <w:rPr>
                      <w:rFonts w:hint="eastAsia"/>
                      <w:color w:val="000000" w:themeColor="text1"/>
                      <w:highlight w:val="none"/>
                      <w:lang w:val="en-US" w:eastAsia="zh-CN"/>
                      <w14:textFill>
                        <w14:solidFill>
                          <w14:schemeClr w14:val="tx1"/>
                        </w14:solidFill>
                      </w14:textFill>
                    </w:rPr>
                    <w:t>T</w:t>
                  </w:r>
                  <w:r>
                    <w:rPr>
                      <w:rFonts w:hint="eastAsia"/>
                      <w:color w:val="000000" w:themeColor="text1"/>
                      <w:highlight w:val="none"/>
                      <w14:textFill>
                        <w14:solidFill>
                          <w14:schemeClr w14:val="tx1"/>
                        </w14:solidFill>
                      </w14:textFill>
                    </w:rPr>
                    <w:t>A00</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处理</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m高</w:t>
                  </w:r>
                  <w:r>
                    <w:rPr>
                      <w:rFonts w:hint="eastAsia"/>
                      <w:color w:val="000000" w:themeColor="text1"/>
                      <w:highlight w:val="none"/>
                      <w:lang w:val="en-US" w:eastAsia="zh-CN"/>
                      <w14:textFill>
                        <w14:solidFill>
                          <w14:schemeClr w14:val="tx1"/>
                        </w14:solidFill>
                      </w14:textFill>
                    </w:rPr>
                    <w:t>DA001</w:t>
                  </w:r>
                  <w:r>
                    <w:rPr>
                      <w:rFonts w:hint="eastAsia"/>
                      <w:color w:val="000000" w:themeColor="text1"/>
                      <w:highlight w:val="none"/>
                      <w14:textFill>
                        <w14:solidFill>
                          <w14:schemeClr w14:val="tx1"/>
                        </w14:solidFill>
                      </w14:textFill>
                    </w:rPr>
                    <w:t>排气筒排放</w:t>
                  </w:r>
                </w:p>
              </w:tc>
            </w:tr>
            <w:tr w14:paraId="0B2B09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Merge w:val="continue"/>
                  <w:noWrap/>
                  <w:vAlign w:val="center"/>
                </w:tcPr>
                <w:p w14:paraId="36D2CE24">
                  <w:pPr>
                    <w:jc w:val="center"/>
                    <w:rPr>
                      <w:rFonts w:hint="eastAsia"/>
                      <w:color w:val="000000" w:themeColor="text1"/>
                      <w:szCs w:val="21"/>
                      <w:highlight w:val="none"/>
                      <w14:textFill>
                        <w14:solidFill>
                          <w14:schemeClr w14:val="tx1"/>
                        </w14:solidFill>
                      </w14:textFill>
                    </w:rPr>
                  </w:pPr>
                </w:p>
              </w:tc>
              <w:tc>
                <w:tcPr>
                  <w:tcW w:w="633" w:type="pct"/>
                  <w:noWrap/>
                  <w:vAlign w:val="center"/>
                </w:tcPr>
                <w:p w14:paraId="2B4F728A">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G2</w:t>
                  </w:r>
                </w:p>
              </w:tc>
              <w:tc>
                <w:tcPr>
                  <w:tcW w:w="890" w:type="pct"/>
                  <w:noWrap/>
                  <w:vAlign w:val="center"/>
                </w:tcPr>
                <w:p w14:paraId="0DB3DFC3">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印刷</w:t>
                  </w:r>
                </w:p>
              </w:tc>
              <w:tc>
                <w:tcPr>
                  <w:tcW w:w="839" w:type="pct"/>
                  <w:vMerge w:val="continue"/>
                  <w:noWrap/>
                  <w:vAlign w:val="center"/>
                </w:tcPr>
                <w:p w14:paraId="18C9F31B">
                  <w:pPr>
                    <w:jc w:val="center"/>
                    <w:rPr>
                      <w:rFonts w:hint="eastAsia"/>
                      <w:color w:val="000000" w:themeColor="text1"/>
                      <w:szCs w:val="21"/>
                      <w:highlight w:val="none"/>
                      <w14:textFill>
                        <w14:solidFill>
                          <w14:schemeClr w14:val="tx1"/>
                        </w14:solidFill>
                      </w14:textFill>
                    </w:rPr>
                  </w:pPr>
                </w:p>
              </w:tc>
              <w:tc>
                <w:tcPr>
                  <w:tcW w:w="2139" w:type="pct"/>
                  <w:vMerge w:val="continue"/>
                  <w:noWrap/>
                  <w:vAlign w:val="center"/>
                </w:tcPr>
                <w:p w14:paraId="41C59D8B">
                  <w:pPr>
                    <w:ind w:right="-105" w:rightChars="-50"/>
                    <w:jc w:val="center"/>
                    <w:rPr>
                      <w:rFonts w:hint="eastAsia"/>
                      <w:color w:val="000000" w:themeColor="text1"/>
                      <w:highlight w:val="none"/>
                      <w14:textFill>
                        <w14:solidFill>
                          <w14:schemeClr w14:val="tx1"/>
                        </w14:solidFill>
                      </w14:textFill>
                    </w:rPr>
                  </w:pPr>
                </w:p>
              </w:tc>
            </w:tr>
            <w:tr w14:paraId="74BF2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Merge w:val="continue"/>
                  <w:noWrap/>
                  <w:vAlign w:val="center"/>
                </w:tcPr>
                <w:p w14:paraId="4FB6906B">
                  <w:pPr>
                    <w:jc w:val="center"/>
                    <w:rPr>
                      <w:rFonts w:hint="eastAsia"/>
                      <w:color w:val="000000" w:themeColor="text1"/>
                      <w:szCs w:val="21"/>
                      <w:highlight w:val="none"/>
                      <w14:textFill>
                        <w14:solidFill>
                          <w14:schemeClr w14:val="tx1"/>
                        </w14:solidFill>
                      </w14:textFill>
                    </w:rPr>
                  </w:pPr>
                </w:p>
              </w:tc>
              <w:tc>
                <w:tcPr>
                  <w:tcW w:w="633" w:type="pct"/>
                  <w:noWrap/>
                  <w:vAlign w:val="center"/>
                </w:tcPr>
                <w:p w14:paraId="3B2023D0">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G3</w:t>
                  </w:r>
                </w:p>
              </w:tc>
              <w:tc>
                <w:tcPr>
                  <w:tcW w:w="890" w:type="pct"/>
                  <w:noWrap/>
                  <w:vAlign w:val="center"/>
                </w:tcPr>
                <w:p w14:paraId="60B4411B">
                  <w:pPr>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烘干</w:t>
                  </w:r>
                </w:p>
              </w:tc>
              <w:tc>
                <w:tcPr>
                  <w:tcW w:w="839" w:type="pct"/>
                  <w:vMerge w:val="continue"/>
                  <w:noWrap/>
                  <w:vAlign w:val="center"/>
                </w:tcPr>
                <w:p w14:paraId="7E926B12">
                  <w:pPr>
                    <w:jc w:val="center"/>
                    <w:rPr>
                      <w:rFonts w:hint="eastAsia"/>
                      <w:color w:val="000000" w:themeColor="text1"/>
                      <w:szCs w:val="21"/>
                      <w:highlight w:val="none"/>
                      <w14:textFill>
                        <w14:solidFill>
                          <w14:schemeClr w14:val="tx1"/>
                        </w14:solidFill>
                      </w14:textFill>
                    </w:rPr>
                  </w:pPr>
                </w:p>
              </w:tc>
              <w:tc>
                <w:tcPr>
                  <w:tcW w:w="2139" w:type="pct"/>
                  <w:vMerge w:val="continue"/>
                  <w:noWrap/>
                  <w:vAlign w:val="center"/>
                </w:tcPr>
                <w:p w14:paraId="438476A6">
                  <w:pPr>
                    <w:ind w:right="-105" w:rightChars="-50"/>
                    <w:jc w:val="center"/>
                    <w:rPr>
                      <w:rFonts w:hint="eastAsia"/>
                      <w:color w:val="000000" w:themeColor="text1"/>
                      <w:highlight w:val="none"/>
                      <w14:textFill>
                        <w14:solidFill>
                          <w14:schemeClr w14:val="tx1"/>
                        </w14:solidFill>
                      </w14:textFill>
                    </w:rPr>
                  </w:pPr>
                </w:p>
              </w:tc>
            </w:tr>
            <w:tr w14:paraId="0CCE5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Merge w:val="continue"/>
                  <w:noWrap/>
                  <w:vAlign w:val="center"/>
                </w:tcPr>
                <w:p w14:paraId="5A995883">
                  <w:pPr>
                    <w:jc w:val="center"/>
                    <w:rPr>
                      <w:color w:val="000000" w:themeColor="text1"/>
                      <w:szCs w:val="21"/>
                      <w:highlight w:val="none"/>
                      <w14:textFill>
                        <w14:solidFill>
                          <w14:schemeClr w14:val="tx1"/>
                        </w14:solidFill>
                      </w14:textFill>
                    </w:rPr>
                  </w:pPr>
                </w:p>
              </w:tc>
              <w:tc>
                <w:tcPr>
                  <w:tcW w:w="633" w:type="pct"/>
                  <w:noWrap/>
                  <w:vAlign w:val="center"/>
                </w:tcPr>
                <w:p w14:paraId="7F80FC54">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14:textFill>
                        <w14:solidFill>
                          <w14:schemeClr w14:val="tx1"/>
                        </w14:solidFill>
                      </w14:textFill>
                    </w:rPr>
                    <w:t>G</w:t>
                  </w:r>
                  <w:r>
                    <w:rPr>
                      <w:rFonts w:hint="eastAsia"/>
                      <w:color w:val="000000" w:themeColor="text1"/>
                      <w:szCs w:val="21"/>
                      <w:highlight w:val="none"/>
                      <w:lang w:val="en-US" w:eastAsia="zh-CN"/>
                      <w14:textFill>
                        <w14:solidFill>
                          <w14:schemeClr w14:val="tx1"/>
                        </w14:solidFill>
                      </w14:textFill>
                    </w:rPr>
                    <w:t>5</w:t>
                  </w:r>
                </w:p>
              </w:tc>
              <w:tc>
                <w:tcPr>
                  <w:tcW w:w="890" w:type="pct"/>
                  <w:noWrap/>
                  <w:vAlign w:val="center"/>
                </w:tcPr>
                <w:p w14:paraId="5194FCE0">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印刷加清理</w:t>
                  </w:r>
                </w:p>
              </w:tc>
              <w:tc>
                <w:tcPr>
                  <w:tcW w:w="839" w:type="pct"/>
                  <w:vMerge w:val="continue"/>
                  <w:noWrap/>
                  <w:vAlign w:val="center"/>
                </w:tcPr>
                <w:p w14:paraId="5FBD5830">
                  <w:pPr>
                    <w:jc w:val="center"/>
                    <w:rPr>
                      <w:color w:val="000000" w:themeColor="text1"/>
                      <w:szCs w:val="21"/>
                      <w:highlight w:val="none"/>
                      <w14:textFill>
                        <w14:solidFill>
                          <w14:schemeClr w14:val="tx1"/>
                        </w14:solidFill>
                      </w14:textFill>
                    </w:rPr>
                  </w:pPr>
                </w:p>
              </w:tc>
              <w:tc>
                <w:tcPr>
                  <w:tcW w:w="2139" w:type="pct"/>
                  <w:vMerge w:val="continue"/>
                  <w:noWrap/>
                  <w:vAlign w:val="center"/>
                </w:tcPr>
                <w:p w14:paraId="30A63881">
                  <w:pPr>
                    <w:ind w:right="-105" w:rightChars="-50"/>
                    <w:jc w:val="center"/>
                    <w:rPr>
                      <w:color w:val="000000" w:themeColor="text1"/>
                      <w:szCs w:val="21"/>
                      <w:highlight w:val="none"/>
                      <w14:textFill>
                        <w14:solidFill>
                          <w14:schemeClr w14:val="tx1"/>
                        </w14:solidFill>
                      </w14:textFill>
                    </w:rPr>
                  </w:pPr>
                </w:p>
              </w:tc>
            </w:tr>
            <w:tr w14:paraId="7FE5B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Merge w:val="continue"/>
                  <w:noWrap/>
                  <w:vAlign w:val="center"/>
                </w:tcPr>
                <w:p w14:paraId="751378E9">
                  <w:pPr>
                    <w:jc w:val="center"/>
                    <w:rPr>
                      <w:color w:val="000000" w:themeColor="text1"/>
                      <w:szCs w:val="21"/>
                      <w:highlight w:val="none"/>
                      <w14:textFill>
                        <w14:solidFill>
                          <w14:schemeClr w14:val="tx1"/>
                        </w14:solidFill>
                      </w14:textFill>
                    </w:rPr>
                  </w:pPr>
                </w:p>
              </w:tc>
              <w:tc>
                <w:tcPr>
                  <w:tcW w:w="633" w:type="pct"/>
                  <w:noWrap/>
                  <w:vAlign w:val="center"/>
                </w:tcPr>
                <w:p w14:paraId="2F2F3CB0">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14:textFill>
                        <w14:solidFill>
                          <w14:schemeClr w14:val="tx1"/>
                        </w14:solidFill>
                      </w14:textFill>
                    </w:rPr>
                    <w:t>G</w:t>
                  </w:r>
                  <w:r>
                    <w:rPr>
                      <w:rFonts w:hint="eastAsia"/>
                      <w:color w:val="000000" w:themeColor="text1"/>
                      <w:szCs w:val="21"/>
                      <w:highlight w:val="none"/>
                      <w:lang w:val="en-US" w:eastAsia="zh-CN"/>
                      <w14:textFill>
                        <w14:solidFill>
                          <w14:schemeClr w14:val="tx1"/>
                        </w14:solidFill>
                      </w14:textFill>
                    </w:rPr>
                    <w:t>4</w:t>
                  </w:r>
                </w:p>
              </w:tc>
              <w:tc>
                <w:tcPr>
                  <w:tcW w:w="890" w:type="pct"/>
                  <w:noWrap/>
                  <w:vAlign w:val="center"/>
                </w:tcPr>
                <w:p w14:paraId="2A35FC58">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破碎</w:t>
                  </w:r>
                </w:p>
              </w:tc>
              <w:tc>
                <w:tcPr>
                  <w:tcW w:w="839" w:type="pct"/>
                  <w:noWrap/>
                  <w:vAlign w:val="center"/>
                </w:tcPr>
                <w:p w14:paraId="34DB8602">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粉尘</w:t>
                  </w:r>
                </w:p>
              </w:tc>
              <w:tc>
                <w:tcPr>
                  <w:tcW w:w="2139" w:type="pct"/>
                  <w:noWrap/>
                  <w:vAlign w:val="center"/>
                </w:tcPr>
                <w:p w14:paraId="57F7ECDC">
                  <w:pPr>
                    <w:ind w:right="-105" w:rightChars="-5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无组织排放</w:t>
                  </w:r>
                </w:p>
              </w:tc>
            </w:tr>
            <w:tr w14:paraId="1ACB1B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noWrap/>
                  <w:vAlign w:val="center"/>
                </w:tcPr>
                <w:p w14:paraId="3D719D68">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废水</w:t>
                  </w:r>
                </w:p>
              </w:tc>
              <w:tc>
                <w:tcPr>
                  <w:tcW w:w="633" w:type="pct"/>
                  <w:noWrap/>
                  <w:vAlign w:val="center"/>
                </w:tcPr>
                <w:p w14:paraId="12DB0D60">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890" w:type="pct"/>
                  <w:noWrap/>
                  <w:vAlign w:val="center"/>
                </w:tcPr>
                <w:p w14:paraId="5E4CF6CC">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职工生活</w:t>
                  </w:r>
                </w:p>
              </w:tc>
              <w:tc>
                <w:tcPr>
                  <w:tcW w:w="839" w:type="pct"/>
                  <w:noWrap/>
                  <w:vAlign w:val="center"/>
                </w:tcPr>
                <w:p w14:paraId="7100D2D1">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生活污水</w:t>
                  </w:r>
                </w:p>
              </w:tc>
              <w:tc>
                <w:tcPr>
                  <w:tcW w:w="2139" w:type="pct"/>
                  <w:noWrap/>
                  <w:vAlign w:val="center"/>
                </w:tcPr>
                <w:p w14:paraId="12C8BED9">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接管至</w:t>
                  </w:r>
                  <w:r>
                    <w:rPr>
                      <w:rFonts w:hint="eastAsia"/>
                      <w:color w:val="000000" w:themeColor="text1"/>
                      <w:szCs w:val="21"/>
                      <w:highlight w:val="none"/>
                      <w:lang w:eastAsia="zh-CN"/>
                      <w14:textFill>
                        <w14:solidFill>
                          <w14:schemeClr w14:val="tx1"/>
                        </w14:solidFill>
                      </w14:textFill>
                    </w:rPr>
                    <w:t>江苏中法水务股份有限公司（城东水质净化厂）</w:t>
                  </w:r>
                  <w:r>
                    <w:rPr>
                      <w:rFonts w:hint="eastAsia"/>
                      <w:color w:val="000000" w:themeColor="text1"/>
                      <w:szCs w:val="21"/>
                      <w:highlight w:val="none"/>
                      <w14:textFill>
                        <w14:solidFill>
                          <w14:schemeClr w14:val="tx1"/>
                        </w14:solidFill>
                      </w14:textFill>
                    </w:rPr>
                    <w:t>集中处理</w:t>
                  </w:r>
                  <w:r>
                    <w:rPr>
                      <w:color w:val="000000" w:themeColor="text1"/>
                      <w:szCs w:val="21"/>
                      <w:highlight w:val="none"/>
                      <w14:textFill>
                        <w14:solidFill>
                          <w14:schemeClr w14:val="tx1"/>
                        </w14:solidFill>
                      </w14:textFill>
                    </w:rPr>
                    <w:t>，尾水进</w:t>
                  </w:r>
                  <w:r>
                    <w:rPr>
                      <w:rFonts w:hint="eastAsia"/>
                      <w:color w:val="000000" w:themeColor="text1"/>
                      <w:szCs w:val="21"/>
                      <w:highlight w:val="none"/>
                      <w14:textFill>
                        <w14:solidFill>
                          <w14:schemeClr w14:val="tx1"/>
                        </w14:solidFill>
                      </w14:textFill>
                    </w:rPr>
                    <w:t>大滃</w:t>
                  </w:r>
                </w:p>
              </w:tc>
            </w:tr>
            <w:tr w14:paraId="771FA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noWrap/>
                  <w:vAlign w:val="center"/>
                </w:tcPr>
                <w:p w14:paraId="3417AC50">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噪声</w:t>
                  </w:r>
                </w:p>
              </w:tc>
              <w:tc>
                <w:tcPr>
                  <w:tcW w:w="633" w:type="pct"/>
                  <w:noWrap/>
                  <w:vAlign w:val="center"/>
                </w:tcPr>
                <w:p w14:paraId="39D19D83">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N</w:t>
                  </w:r>
                </w:p>
              </w:tc>
              <w:tc>
                <w:tcPr>
                  <w:tcW w:w="890" w:type="pct"/>
                  <w:noWrap/>
                  <w:vAlign w:val="center"/>
                </w:tcPr>
                <w:p w14:paraId="705DC37C">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生产过程</w:t>
                  </w:r>
                </w:p>
              </w:tc>
              <w:tc>
                <w:tcPr>
                  <w:tcW w:w="839" w:type="pct"/>
                  <w:noWrap/>
                  <w:vAlign w:val="center"/>
                </w:tcPr>
                <w:p w14:paraId="38A47B33">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噪声</w:t>
                  </w:r>
                </w:p>
              </w:tc>
              <w:tc>
                <w:tcPr>
                  <w:tcW w:w="2139" w:type="pct"/>
                  <w:noWrap/>
                  <w:vAlign w:val="center"/>
                </w:tcPr>
                <w:p w14:paraId="16A435D5">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设备减</w:t>
                  </w:r>
                  <w:r>
                    <w:rPr>
                      <w:rFonts w:hint="eastAsia"/>
                      <w:color w:val="000000" w:themeColor="text1"/>
                      <w:szCs w:val="21"/>
                      <w:highlight w:val="none"/>
                      <w14:textFill>
                        <w14:solidFill>
                          <w14:schemeClr w14:val="tx1"/>
                        </w14:solidFill>
                      </w14:textFill>
                    </w:rPr>
                    <w:t>振</w:t>
                  </w:r>
                  <w:r>
                    <w:rPr>
                      <w:color w:val="000000" w:themeColor="text1"/>
                      <w:szCs w:val="21"/>
                      <w:highlight w:val="none"/>
                      <w14:textFill>
                        <w14:solidFill>
                          <w14:schemeClr w14:val="tx1"/>
                        </w14:solidFill>
                      </w14:textFill>
                    </w:rPr>
                    <w:t>、厂房隔声</w:t>
                  </w:r>
                </w:p>
              </w:tc>
            </w:tr>
            <w:tr w14:paraId="67C0C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Merge w:val="restart"/>
                  <w:noWrap/>
                  <w:vAlign w:val="center"/>
                </w:tcPr>
                <w:p w14:paraId="7CC0AE65">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固废</w:t>
                  </w:r>
                </w:p>
              </w:tc>
              <w:tc>
                <w:tcPr>
                  <w:tcW w:w="633" w:type="pct"/>
                  <w:noWrap/>
                  <w:vAlign w:val="center"/>
                </w:tcPr>
                <w:p w14:paraId="5C7D538B">
                  <w:pPr>
                    <w:jc w:val="center"/>
                    <w:rPr>
                      <w:rFonts w:hint="default"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S1</w:t>
                  </w:r>
                </w:p>
              </w:tc>
              <w:tc>
                <w:tcPr>
                  <w:tcW w:w="890" w:type="pct"/>
                  <w:noWrap/>
                  <w:vAlign w:val="center"/>
                </w:tcPr>
                <w:p w14:paraId="0A243913">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设备维护</w:t>
                  </w:r>
                </w:p>
              </w:tc>
              <w:tc>
                <w:tcPr>
                  <w:tcW w:w="839" w:type="pct"/>
                  <w:noWrap/>
                  <w:vAlign w:val="center"/>
                </w:tcPr>
                <w:p w14:paraId="7E1408CB">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废模具</w:t>
                  </w:r>
                </w:p>
              </w:tc>
              <w:tc>
                <w:tcPr>
                  <w:tcW w:w="2139" w:type="pct"/>
                  <w:vMerge w:val="restart"/>
                  <w:noWrap/>
                  <w:vAlign w:val="center"/>
                </w:tcPr>
                <w:p w14:paraId="6C530331">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收集后外售</w:t>
                  </w:r>
                </w:p>
              </w:tc>
            </w:tr>
            <w:tr w14:paraId="6F4D8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496" w:type="pct"/>
                  <w:vMerge w:val="continue"/>
                  <w:noWrap/>
                  <w:vAlign w:val="center"/>
                </w:tcPr>
                <w:p w14:paraId="0C803309">
                  <w:pPr>
                    <w:jc w:val="center"/>
                    <w:rPr>
                      <w:color w:val="000000" w:themeColor="text1"/>
                      <w:szCs w:val="21"/>
                      <w:highlight w:val="none"/>
                      <w14:textFill>
                        <w14:solidFill>
                          <w14:schemeClr w14:val="tx1"/>
                        </w14:solidFill>
                      </w14:textFill>
                    </w:rPr>
                  </w:pPr>
                </w:p>
              </w:tc>
              <w:tc>
                <w:tcPr>
                  <w:tcW w:w="633" w:type="pct"/>
                  <w:noWrap/>
                  <w:vAlign w:val="center"/>
                </w:tcPr>
                <w:p w14:paraId="0F4EB654">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S4</w:t>
                  </w:r>
                </w:p>
              </w:tc>
              <w:tc>
                <w:tcPr>
                  <w:tcW w:w="890" w:type="pct"/>
                  <w:noWrap/>
                  <w:vAlign w:val="center"/>
                </w:tcPr>
                <w:p w14:paraId="67DD6DAC">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原料使用</w:t>
                  </w:r>
                </w:p>
              </w:tc>
              <w:tc>
                <w:tcPr>
                  <w:tcW w:w="839" w:type="pct"/>
                  <w:noWrap/>
                  <w:vAlign w:val="center"/>
                </w:tcPr>
                <w:p w14:paraId="4EFC292E">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废包装袋</w:t>
                  </w:r>
                </w:p>
              </w:tc>
              <w:tc>
                <w:tcPr>
                  <w:tcW w:w="2139" w:type="pct"/>
                  <w:vMerge w:val="continue"/>
                  <w:noWrap/>
                  <w:vAlign w:val="center"/>
                </w:tcPr>
                <w:p w14:paraId="4B8D40F1">
                  <w:pPr>
                    <w:jc w:val="center"/>
                    <w:rPr>
                      <w:color w:val="000000" w:themeColor="text1"/>
                      <w:szCs w:val="21"/>
                      <w:highlight w:val="none"/>
                      <w14:textFill>
                        <w14:solidFill>
                          <w14:schemeClr w14:val="tx1"/>
                        </w14:solidFill>
                      </w14:textFill>
                    </w:rPr>
                  </w:pPr>
                </w:p>
              </w:tc>
            </w:tr>
            <w:tr w14:paraId="2B2651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Merge w:val="continue"/>
                  <w:noWrap/>
                  <w:vAlign w:val="center"/>
                </w:tcPr>
                <w:p w14:paraId="20E0125E">
                  <w:pPr>
                    <w:jc w:val="center"/>
                    <w:rPr>
                      <w:color w:val="000000" w:themeColor="text1"/>
                      <w:szCs w:val="21"/>
                      <w14:textFill>
                        <w14:solidFill>
                          <w14:schemeClr w14:val="tx1"/>
                        </w14:solidFill>
                      </w14:textFill>
                    </w:rPr>
                  </w:pPr>
                </w:p>
              </w:tc>
              <w:tc>
                <w:tcPr>
                  <w:tcW w:w="633" w:type="pct"/>
                  <w:noWrap/>
                  <w:vAlign w:val="center"/>
                </w:tcPr>
                <w:p w14:paraId="4944E7F4">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S2</w:t>
                  </w:r>
                </w:p>
              </w:tc>
              <w:tc>
                <w:tcPr>
                  <w:tcW w:w="890" w:type="pct"/>
                  <w:noWrap/>
                  <w:vAlign w:val="center"/>
                </w:tcPr>
                <w:p w14:paraId="67DBE33A">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设备维护</w:t>
                  </w:r>
                </w:p>
              </w:tc>
              <w:tc>
                <w:tcPr>
                  <w:tcW w:w="839" w:type="pct"/>
                  <w:noWrap/>
                  <w:vAlign w:val="center"/>
                </w:tcPr>
                <w:p w14:paraId="28344C0C">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废液压油</w:t>
                  </w:r>
                </w:p>
              </w:tc>
              <w:tc>
                <w:tcPr>
                  <w:tcW w:w="2139" w:type="pct"/>
                  <w:vMerge w:val="restart"/>
                  <w:noWrap/>
                  <w:vAlign w:val="center"/>
                </w:tcPr>
                <w:p w14:paraId="198E563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委托有资质单位处理</w:t>
                  </w:r>
                </w:p>
              </w:tc>
            </w:tr>
            <w:tr w14:paraId="42F6B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Merge w:val="continue"/>
                  <w:noWrap/>
                  <w:vAlign w:val="center"/>
                </w:tcPr>
                <w:p w14:paraId="45BB3A69">
                  <w:pPr>
                    <w:jc w:val="center"/>
                    <w:rPr>
                      <w:color w:val="000000" w:themeColor="text1"/>
                      <w:szCs w:val="21"/>
                      <w14:textFill>
                        <w14:solidFill>
                          <w14:schemeClr w14:val="tx1"/>
                        </w14:solidFill>
                      </w14:textFill>
                    </w:rPr>
                  </w:pPr>
                </w:p>
              </w:tc>
              <w:tc>
                <w:tcPr>
                  <w:tcW w:w="633" w:type="pct"/>
                  <w:noWrap/>
                  <w:vAlign w:val="center"/>
                </w:tcPr>
                <w:p w14:paraId="05FAB69A">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S3</w:t>
                  </w:r>
                </w:p>
              </w:tc>
              <w:tc>
                <w:tcPr>
                  <w:tcW w:w="890" w:type="pct"/>
                  <w:noWrap/>
                  <w:vAlign w:val="center"/>
                </w:tcPr>
                <w:p w14:paraId="3E210A9F">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印刷机清理</w:t>
                  </w:r>
                </w:p>
              </w:tc>
              <w:tc>
                <w:tcPr>
                  <w:tcW w:w="839" w:type="pct"/>
                  <w:noWrap/>
                  <w:vAlign w:val="center"/>
                </w:tcPr>
                <w:p w14:paraId="20C367D6">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废抹布</w:t>
                  </w:r>
                </w:p>
              </w:tc>
              <w:tc>
                <w:tcPr>
                  <w:tcW w:w="2139" w:type="pct"/>
                  <w:vMerge w:val="continue"/>
                  <w:noWrap/>
                  <w:vAlign w:val="center"/>
                </w:tcPr>
                <w:p w14:paraId="27C0A65B">
                  <w:pPr>
                    <w:jc w:val="center"/>
                    <w:rPr>
                      <w:color w:val="000000" w:themeColor="text1"/>
                      <w:szCs w:val="21"/>
                      <w14:textFill>
                        <w14:solidFill>
                          <w14:schemeClr w14:val="tx1"/>
                        </w14:solidFill>
                      </w14:textFill>
                    </w:rPr>
                  </w:pPr>
                </w:p>
              </w:tc>
            </w:tr>
            <w:tr w14:paraId="37F31F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Merge w:val="continue"/>
                  <w:noWrap/>
                  <w:vAlign w:val="center"/>
                </w:tcPr>
                <w:p w14:paraId="680B2EE1">
                  <w:pPr>
                    <w:jc w:val="center"/>
                    <w:rPr>
                      <w:color w:val="000000" w:themeColor="text1"/>
                      <w:szCs w:val="21"/>
                      <w14:textFill>
                        <w14:solidFill>
                          <w14:schemeClr w14:val="tx1"/>
                        </w14:solidFill>
                      </w14:textFill>
                    </w:rPr>
                  </w:pPr>
                </w:p>
              </w:tc>
              <w:tc>
                <w:tcPr>
                  <w:tcW w:w="633" w:type="pct"/>
                  <w:noWrap/>
                  <w:vAlign w:val="center"/>
                </w:tcPr>
                <w:p w14:paraId="1C5AE2FD">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S5</w:t>
                  </w:r>
                </w:p>
              </w:tc>
              <w:tc>
                <w:tcPr>
                  <w:tcW w:w="890" w:type="pct"/>
                  <w:noWrap/>
                  <w:vAlign w:val="center"/>
                </w:tcPr>
                <w:p w14:paraId="3D1AFD79">
                  <w:pPr>
                    <w:jc w:val="center"/>
                    <w:rPr>
                      <w:color w:val="000000" w:themeColor="text1"/>
                      <w:szCs w:val="21"/>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原料使用</w:t>
                  </w:r>
                </w:p>
              </w:tc>
              <w:tc>
                <w:tcPr>
                  <w:tcW w:w="839" w:type="pct"/>
                  <w:noWrap/>
                  <w:vAlign w:val="center"/>
                </w:tcPr>
                <w:p w14:paraId="724CA94A">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废包装桶</w:t>
                  </w:r>
                </w:p>
              </w:tc>
              <w:tc>
                <w:tcPr>
                  <w:tcW w:w="2139" w:type="pct"/>
                  <w:vMerge w:val="continue"/>
                  <w:noWrap/>
                  <w:vAlign w:val="center"/>
                </w:tcPr>
                <w:p w14:paraId="055E7524">
                  <w:pPr>
                    <w:jc w:val="center"/>
                    <w:rPr>
                      <w:color w:val="000000" w:themeColor="text1"/>
                      <w:szCs w:val="21"/>
                      <w14:textFill>
                        <w14:solidFill>
                          <w14:schemeClr w14:val="tx1"/>
                        </w14:solidFill>
                      </w14:textFill>
                    </w:rPr>
                  </w:pPr>
                </w:p>
              </w:tc>
            </w:tr>
            <w:tr w14:paraId="552BE5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Merge w:val="continue"/>
                  <w:noWrap/>
                  <w:vAlign w:val="center"/>
                </w:tcPr>
                <w:p w14:paraId="49636946">
                  <w:pPr>
                    <w:jc w:val="center"/>
                    <w:rPr>
                      <w:color w:val="000000" w:themeColor="text1"/>
                      <w:szCs w:val="21"/>
                      <w14:textFill>
                        <w14:solidFill>
                          <w14:schemeClr w14:val="tx1"/>
                        </w14:solidFill>
                      </w14:textFill>
                    </w:rPr>
                  </w:pPr>
                </w:p>
              </w:tc>
              <w:tc>
                <w:tcPr>
                  <w:tcW w:w="633" w:type="pct"/>
                  <w:noWrap/>
                  <w:vAlign w:val="center"/>
                </w:tcPr>
                <w:p w14:paraId="49FC7F75">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S6</w:t>
                  </w:r>
                </w:p>
              </w:tc>
              <w:tc>
                <w:tcPr>
                  <w:tcW w:w="890" w:type="pct"/>
                  <w:noWrap/>
                  <w:vAlign w:val="center"/>
                </w:tcPr>
                <w:p w14:paraId="4CF49306">
                  <w:pPr>
                    <w:jc w:val="center"/>
                    <w:rPr>
                      <w:color w:val="000000" w:themeColor="text1"/>
                      <w:szCs w:val="21"/>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原料使用</w:t>
                  </w:r>
                </w:p>
              </w:tc>
              <w:tc>
                <w:tcPr>
                  <w:tcW w:w="839" w:type="pct"/>
                  <w:noWrap/>
                  <w:vAlign w:val="center"/>
                </w:tcPr>
                <w:p w14:paraId="31B8D2FB">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废油桶</w:t>
                  </w:r>
                </w:p>
              </w:tc>
              <w:tc>
                <w:tcPr>
                  <w:tcW w:w="2139" w:type="pct"/>
                  <w:vMerge w:val="continue"/>
                  <w:noWrap/>
                  <w:vAlign w:val="center"/>
                </w:tcPr>
                <w:p w14:paraId="32CE28D1">
                  <w:pPr>
                    <w:jc w:val="center"/>
                    <w:rPr>
                      <w:color w:val="000000" w:themeColor="text1"/>
                      <w:szCs w:val="21"/>
                      <w14:textFill>
                        <w14:solidFill>
                          <w14:schemeClr w14:val="tx1"/>
                        </w14:solidFill>
                      </w14:textFill>
                    </w:rPr>
                  </w:pPr>
                </w:p>
              </w:tc>
            </w:tr>
            <w:tr w14:paraId="373F1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Merge w:val="continue"/>
                  <w:noWrap/>
                  <w:vAlign w:val="center"/>
                </w:tcPr>
                <w:p w14:paraId="2C3270EB">
                  <w:pPr>
                    <w:jc w:val="center"/>
                    <w:rPr>
                      <w:color w:val="000000" w:themeColor="text1"/>
                      <w:szCs w:val="21"/>
                      <w14:textFill>
                        <w14:solidFill>
                          <w14:schemeClr w14:val="tx1"/>
                        </w14:solidFill>
                      </w14:textFill>
                    </w:rPr>
                  </w:pPr>
                </w:p>
              </w:tc>
              <w:tc>
                <w:tcPr>
                  <w:tcW w:w="633" w:type="pct"/>
                  <w:noWrap/>
                  <w:vAlign w:val="center"/>
                </w:tcPr>
                <w:p w14:paraId="5A91223F">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S7</w:t>
                  </w:r>
                </w:p>
              </w:tc>
              <w:tc>
                <w:tcPr>
                  <w:tcW w:w="890" w:type="pct"/>
                  <w:noWrap/>
                  <w:vAlign w:val="center"/>
                </w:tcPr>
                <w:p w14:paraId="1C586309">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废气处理</w:t>
                  </w:r>
                </w:p>
              </w:tc>
              <w:tc>
                <w:tcPr>
                  <w:tcW w:w="839" w:type="pct"/>
                  <w:noWrap/>
                  <w:vAlign w:val="center"/>
                </w:tcPr>
                <w:p w14:paraId="0D62081B">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废活性炭</w:t>
                  </w:r>
                </w:p>
              </w:tc>
              <w:tc>
                <w:tcPr>
                  <w:tcW w:w="2139" w:type="pct"/>
                  <w:vMerge w:val="continue"/>
                  <w:noWrap/>
                  <w:vAlign w:val="center"/>
                </w:tcPr>
                <w:p w14:paraId="777C05D3">
                  <w:pPr>
                    <w:jc w:val="center"/>
                    <w:rPr>
                      <w:color w:val="000000" w:themeColor="text1"/>
                      <w:szCs w:val="21"/>
                      <w14:textFill>
                        <w14:solidFill>
                          <w14:schemeClr w14:val="tx1"/>
                        </w14:solidFill>
                      </w14:textFill>
                    </w:rPr>
                  </w:pPr>
                </w:p>
              </w:tc>
            </w:tr>
            <w:tr w14:paraId="276500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Merge w:val="continue"/>
                  <w:noWrap/>
                  <w:vAlign w:val="center"/>
                </w:tcPr>
                <w:p w14:paraId="7127FAF6">
                  <w:pPr>
                    <w:jc w:val="center"/>
                    <w:rPr>
                      <w:color w:val="000000" w:themeColor="text1"/>
                      <w:szCs w:val="21"/>
                      <w14:textFill>
                        <w14:solidFill>
                          <w14:schemeClr w14:val="tx1"/>
                        </w14:solidFill>
                      </w14:textFill>
                    </w:rPr>
                  </w:pPr>
                </w:p>
              </w:tc>
              <w:tc>
                <w:tcPr>
                  <w:tcW w:w="633" w:type="pct"/>
                  <w:noWrap/>
                  <w:vAlign w:val="center"/>
                </w:tcPr>
                <w:p w14:paraId="1037D30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90" w:type="pct"/>
                  <w:noWrap/>
                  <w:vAlign w:val="center"/>
                </w:tcPr>
                <w:p w14:paraId="02BE2BA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职工生活</w:t>
                  </w:r>
                </w:p>
              </w:tc>
              <w:tc>
                <w:tcPr>
                  <w:tcW w:w="839" w:type="pct"/>
                  <w:noWrap/>
                  <w:vAlign w:val="center"/>
                </w:tcPr>
                <w:p w14:paraId="6FFD906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2139" w:type="pct"/>
                  <w:noWrap/>
                  <w:vAlign w:val="center"/>
                </w:tcPr>
                <w:p w14:paraId="5CE1858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收集后委托环卫清运</w:t>
                  </w:r>
                </w:p>
              </w:tc>
            </w:tr>
          </w:tbl>
          <w:p w14:paraId="2F2D6F64">
            <w:pPr>
              <w:pStyle w:val="18"/>
              <w:adjustRightInd w:val="0"/>
              <w:snapToGrid w:val="0"/>
              <w:spacing w:before="0" w:beforeAutospacing="0" w:after="0" w:afterAutospacing="0" w:line="360" w:lineRule="auto"/>
              <w:rPr>
                <w:rFonts w:ascii="Times New Roman" w:hAnsi="Times New Roman"/>
                <w:color w:val="000000" w:themeColor="text1"/>
                <w14:textFill>
                  <w14:solidFill>
                    <w14:schemeClr w14:val="tx1"/>
                  </w14:solidFill>
                </w14:textFill>
              </w:rPr>
            </w:pPr>
          </w:p>
        </w:tc>
      </w:tr>
      <w:tr w14:paraId="1879D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3" w:type="pct"/>
            <w:gridSpan w:val="2"/>
            <w:noWrap/>
            <w:vAlign w:val="center"/>
          </w:tcPr>
          <w:p w14:paraId="152CB20F">
            <w:pPr>
              <w:pStyle w:val="18"/>
              <w:adjustRightInd w:val="0"/>
              <w:snapToGrid w:val="0"/>
              <w:spacing w:before="0" w:beforeAutospacing="0" w:after="0" w:afterAutospacing="0" w:line="36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bCs/>
                <w:color w:val="000000" w:themeColor="text1"/>
                <w:kern w:val="2"/>
                <w:sz w:val="21"/>
                <w:szCs w:val="21"/>
                <w14:textFill>
                  <w14:solidFill>
                    <w14:schemeClr w14:val="tx1"/>
                  </w14:solidFill>
                </w14:textFill>
              </w:rPr>
              <w:t>与项目有关的原有环境污染问题</w:t>
            </w:r>
          </w:p>
        </w:tc>
        <w:tc>
          <w:tcPr>
            <w:tcW w:w="4416" w:type="pct"/>
            <w:noWrap/>
          </w:tcPr>
          <w:p w14:paraId="0BCA8613">
            <w:pPr>
              <w:adjustRightInd w:val="0"/>
              <w:snapToGrid w:val="0"/>
              <w:spacing w:line="400" w:lineRule="exact"/>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w:t>
            </w:r>
            <w:r>
              <w:rPr>
                <w:rFonts w:ascii="Times New Roman" w:hAnsi="Times New Roman" w:eastAsia="宋体" w:cs="Times New Roman"/>
                <w:color w:val="000000" w:themeColor="text1"/>
                <w:kern w:val="0"/>
                <w:szCs w:val="21"/>
                <w14:textFill>
                  <w14:solidFill>
                    <w14:schemeClr w14:val="tx1"/>
                  </w14:solidFill>
                </w14:textFill>
              </w:rPr>
              <w:t>目</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购买</w:t>
            </w:r>
            <w:r>
              <w:rPr>
                <w:rFonts w:hint="eastAsia" w:ascii="Times New Roman" w:hAnsi="Times New Roman" w:eastAsia="宋体" w:cs="Times New Roman"/>
                <w:color w:val="000000" w:themeColor="text1"/>
                <w:kern w:val="0"/>
                <w:szCs w:val="21"/>
                <w14:textFill>
                  <w14:solidFill>
                    <w14:schemeClr w14:val="tx1"/>
                  </w14:solidFill>
                </w14:textFill>
              </w:rPr>
              <w:t>常熟瓴润企业管理有限公司位</w:t>
            </w:r>
            <w:r>
              <w:rPr>
                <w:rFonts w:hint="eastAsia"/>
                <w:color w:val="000000" w:themeColor="text1"/>
                <w:kern w:val="0"/>
                <w:szCs w:val="21"/>
                <w14:textFill>
                  <w14:solidFill>
                    <w14:schemeClr w14:val="tx1"/>
                  </w14:solidFill>
                </w14:textFill>
              </w:rPr>
              <w:t>于常熟市</w:t>
            </w:r>
            <w:r>
              <w:rPr>
                <w:rFonts w:hint="eastAsia"/>
                <w:color w:val="000000" w:themeColor="text1"/>
                <w:kern w:val="0"/>
                <w:szCs w:val="21"/>
                <w:lang w:val="en-US" w:eastAsia="zh-CN"/>
                <w14:textFill>
                  <w14:solidFill>
                    <w14:schemeClr w14:val="tx1"/>
                  </w14:solidFill>
                </w14:textFill>
              </w:rPr>
              <w:t>东南街道银环路28-1号10幢102</w:t>
            </w:r>
            <w:r>
              <w:rPr>
                <w:rFonts w:hint="eastAsia"/>
                <w:color w:val="000000" w:themeColor="text1"/>
                <w:kern w:val="0"/>
                <w:szCs w:val="21"/>
                <w14:textFill>
                  <w14:solidFill>
                    <w14:schemeClr w14:val="tx1"/>
                  </w14:solidFill>
                </w14:textFill>
              </w:rPr>
              <w:t>的已建</w:t>
            </w:r>
            <w:r>
              <w:rPr>
                <w:bCs/>
                <w:color w:val="000000" w:themeColor="text1"/>
                <w:spacing w:val="-10"/>
                <w:szCs w:val="21"/>
                <w14:textFill>
                  <w14:solidFill>
                    <w14:schemeClr w14:val="tx1"/>
                  </w14:solidFill>
                </w14:textFill>
              </w:rPr>
              <w:t>厂房</w:t>
            </w:r>
            <w:r>
              <w:rPr>
                <w:rFonts w:hint="eastAsia"/>
                <w:bCs/>
                <w:color w:val="000000" w:themeColor="text1"/>
                <w:spacing w:val="-1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该厂房为新建厂房，本公司为入驻该厂房的第一家公司</w:t>
            </w:r>
            <w:r>
              <w:rPr>
                <w:color w:val="000000" w:themeColor="text1"/>
                <w:kern w:val="0"/>
                <w:szCs w:val="21"/>
                <w14:textFill>
                  <w14:solidFill>
                    <w14:schemeClr w14:val="tx1"/>
                  </w14:solidFill>
                </w14:textFill>
              </w:rPr>
              <w:t>，根据现场勘查，无化工、重金属等污染物遗留问题。本项目为新建项目，</w:t>
            </w:r>
            <w:r>
              <w:rPr>
                <w:rFonts w:hint="eastAsia"/>
                <w:color w:val="000000" w:themeColor="text1"/>
                <w:kern w:val="0"/>
                <w:szCs w:val="21"/>
                <w14:textFill>
                  <w14:solidFill>
                    <w14:schemeClr w14:val="tx1"/>
                  </w14:solidFill>
                </w14:textFill>
              </w:rPr>
              <w:t>所在厂房为空置厂房，且未有企业入驻过，</w:t>
            </w:r>
            <w:r>
              <w:rPr>
                <w:color w:val="000000" w:themeColor="text1"/>
                <w:kern w:val="0"/>
                <w:szCs w:val="21"/>
                <w14:textFill>
                  <w14:solidFill>
                    <w14:schemeClr w14:val="tx1"/>
                  </w14:solidFill>
                </w14:textFill>
              </w:rPr>
              <w:t>因此不存在原有污染情况。</w:t>
            </w:r>
          </w:p>
          <w:p w14:paraId="4503F72E">
            <w:pPr>
              <w:spacing w:line="360" w:lineRule="auto"/>
              <w:ind w:firstLine="420" w:firstLineChars="200"/>
              <w:rPr>
                <w:rFonts w:hint="eastAsia" w:eastAsia="宋体"/>
                <w:bCs/>
                <w:color w:val="000000" w:themeColor="text1"/>
                <w:szCs w:val="21"/>
                <w:lang w:val="en-US" w:eastAsia="zh-CN"/>
                <w14:textFill>
                  <w14:solidFill>
                    <w14:schemeClr w14:val="tx1"/>
                  </w14:solidFill>
                </w14:textFill>
              </w:rPr>
            </w:pPr>
          </w:p>
        </w:tc>
      </w:tr>
    </w:tbl>
    <w:p w14:paraId="063CABD3">
      <w:pPr>
        <w:pStyle w:val="18"/>
        <w:jc w:val="center"/>
        <w:rPr>
          <w:rFonts w:ascii="Times New Roman" w:hAnsi="Times New Roman" w:eastAsia="黑体"/>
          <w:snapToGrid w:val="0"/>
          <w:color w:val="000000" w:themeColor="text1"/>
          <w:sz w:val="36"/>
          <w:szCs w:val="36"/>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9BCF748">
      <w:pPr>
        <w:pStyle w:val="18"/>
        <w:adjustRightInd w:val="0"/>
        <w:snapToGrid w:val="0"/>
        <w:spacing w:before="0" w:beforeAutospacing="0" w:after="0" w:afterAutospacing="0" w:line="14" w:lineRule="auto"/>
        <w:jc w:val="center"/>
        <w:outlineLvl w:val="0"/>
        <w:rPr>
          <w:rFonts w:ascii="Times New Roman" w:hAnsi="Times New Roman" w:eastAsia="黑体"/>
          <w:snapToGrid w:val="0"/>
          <w:color w:val="000000" w:themeColor="text1"/>
          <w:sz w:val="30"/>
          <w:szCs w:val="30"/>
          <w14:textFill>
            <w14:solidFill>
              <w14:schemeClr w14:val="tx1"/>
            </w14:solidFill>
          </w14:textFill>
        </w:rPr>
      </w:pPr>
    </w:p>
    <w:p w14:paraId="7B2EE326">
      <w:pPr>
        <w:pStyle w:val="18"/>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三、区域环境质量现状、环境保护目标及评价标准</w:t>
      </w: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3"/>
        <w:gridCol w:w="8528"/>
      </w:tblGrid>
      <w:tr w14:paraId="1C9B71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9" w:hRule="atLeast"/>
          <w:jc w:val="center"/>
        </w:trPr>
        <w:tc>
          <w:tcPr>
            <w:tcW w:w="294" w:type="pct"/>
            <w:noWrap/>
            <w:vAlign w:val="center"/>
          </w:tcPr>
          <w:p w14:paraId="4115E979">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区域</w:t>
            </w:r>
          </w:p>
          <w:p w14:paraId="1689C1B3">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w:t>
            </w:r>
          </w:p>
          <w:p w14:paraId="4B5EA6FD">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质量</w:t>
            </w:r>
          </w:p>
          <w:p w14:paraId="2793F50F">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现状</w:t>
            </w:r>
          </w:p>
        </w:tc>
        <w:tc>
          <w:tcPr>
            <w:tcW w:w="4705" w:type="pct"/>
            <w:shd w:val="clear" w:color="auto" w:fill="auto"/>
            <w:noWrap/>
            <w:vAlign w:val="center"/>
          </w:tcPr>
          <w:p w14:paraId="696A844A">
            <w:pPr>
              <w:spacing w:line="360" w:lineRule="auto"/>
              <w:ind w:firstLine="422" w:firstLineChars="200"/>
              <w:rPr>
                <w:color w:val="000000" w:themeColor="text1"/>
                <w:szCs w:val="21"/>
                <w14:textFill>
                  <w14:solidFill>
                    <w14:schemeClr w14:val="tx1"/>
                  </w14:solidFill>
                </w14:textFill>
              </w:rPr>
            </w:pPr>
            <w:r>
              <w:rPr>
                <w:b/>
                <w:color w:val="000000" w:themeColor="text1"/>
                <w:szCs w:val="21"/>
                <w14:textFill>
                  <w14:solidFill>
                    <w14:schemeClr w14:val="tx1"/>
                  </w14:solidFill>
                </w14:textFill>
              </w:rPr>
              <w:t>3.1大气环境质量状况</w:t>
            </w:r>
          </w:p>
          <w:p w14:paraId="47654F5D">
            <w:pPr>
              <w:numPr>
                <w:ilvl w:val="0"/>
                <w:numId w:val="4"/>
              </w:numPr>
              <w:spacing w:line="360" w:lineRule="auto"/>
              <w:ind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基本污染物</w:t>
            </w:r>
          </w:p>
          <w:p w14:paraId="079959D1">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根据《</w:t>
            </w:r>
            <w:r>
              <w:rPr>
                <w:rFonts w:hint="eastAsia"/>
                <w:color w:val="000000" w:themeColor="text1"/>
                <w:szCs w:val="21"/>
                <w14:textFill>
                  <w14:solidFill>
                    <w14:schemeClr w14:val="tx1"/>
                  </w14:solidFill>
                </w14:textFill>
              </w:rPr>
              <w:t>2023年度常熟市生态环境状况公报</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2023 年常熟市城区环境空气质量中各监测指标日达标率在85.5%~100%</w:t>
            </w:r>
            <w:r>
              <w:rPr>
                <w:rFonts w:hint="eastAsia"/>
                <w:color w:val="000000" w:themeColor="text1"/>
                <w:szCs w:val="21"/>
                <w14:textFill>
                  <w14:solidFill>
                    <w14:schemeClr w14:val="tx1"/>
                  </w14:solidFill>
                </w14:textFill>
              </w:rPr>
              <w:t xml:space="preserve">之间，其中臭氧日达标率最低。二氧化氮、可吸入颗粒物、细颗粒物日达标率较上年分别下降了 </w:t>
            </w:r>
            <w:r>
              <w:rPr>
                <w:color w:val="000000" w:themeColor="text1"/>
                <w:szCs w:val="21"/>
                <w14:textFill>
                  <w14:solidFill>
                    <w14:schemeClr w14:val="tx1"/>
                  </w14:solidFill>
                </w14:textFill>
              </w:rPr>
              <w:t>0.5</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 xml:space="preserve">0.9 </w:t>
            </w:r>
            <w:r>
              <w:rPr>
                <w:rFonts w:hint="eastAsia"/>
                <w:color w:val="000000" w:themeColor="text1"/>
                <w:szCs w:val="21"/>
                <w14:textFill>
                  <w14:solidFill>
                    <w14:schemeClr w14:val="tx1"/>
                  </w14:solidFill>
                </w14:textFill>
              </w:rPr>
              <w:t xml:space="preserve">和 </w:t>
            </w:r>
            <w:r>
              <w:rPr>
                <w:color w:val="000000" w:themeColor="text1"/>
                <w:szCs w:val="21"/>
                <w14:textFill>
                  <w14:solidFill>
                    <w14:schemeClr w14:val="tx1"/>
                  </w14:solidFill>
                </w14:textFill>
              </w:rPr>
              <w:t xml:space="preserve">1.0 </w:t>
            </w:r>
            <w:r>
              <w:rPr>
                <w:rFonts w:hint="eastAsia"/>
                <w:color w:val="000000" w:themeColor="text1"/>
                <w:szCs w:val="21"/>
                <w14:textFill>
                  <w14:solidFill>
                    <w14:schemeClr w14:val="tx1"/>
                  </w14:solidFill>
                </w14:textFill>
              </w:rPr>
              <w:t xml:space="preserve">个百分点，二氧化硫、一氧化碳日达标率持平，均为 </w:t>
            </w:r>
            <w:r>
              <w:rPr>
                <w:color w:val="000000" w:themeColor="text1"/>
                <w:szCs w:val="21"/>
                <w14:textFill>
                  <w14:solidFill>
                    <w14:schemeClr w14:val="tx1"/>
                  </w14:solidFill>
                </w14:textFill>
              </w:rPr>
              <w:t>100%</w:t>
            </w:r>
            <w:r>
              <w:rPr>
                <w:rFonts w:hint="eastAsia"/>
                <w:color w:val="000000" w:themeColor="text1"/>
                <w:szCs w:val="21"/>
                <w14:textFill>
                  <w14:solidFill>
                    <w14:schemeClr w14:val="tx1"/>
                  </w14:solidFill>
                </w14:textFill>
              </w:rPr>
              <w:t>，臭氧日达标率上升</w:t>
            </w:r>
            <w:r>
              <w:rPr>
                <w:color w:val="000000" w:themeColor="text1"/>
                <w:szCs w:val="21"/>
                <w14:textFill>
                  <w14:solidFill>
                    <w14:schemeClr w14:val="tx1"/>
                  </w14:solidFill>
                </w14:textFill>
              </w:rPr>
              <w:t>3.3</w:t>
            </w:r>
            <w:r>
              <w:rPr>
                <w:rFonts w:hint="eastAsia"/>
                <w:color w:val="000000" w:themeColor="text1"/>
                <w:szCs w:val="21"/>
                <w14:textFill>
                  <w14:solidFill>
                    <w14:schemeClr w14:val="tx1"/>
                  </w14:solidFill>
                </w14:textFill>
              </w:rPr>
              <w:t xml:space="preserve">个百分点。 </w:t>
            </w:r>
          </w:p>
          <w:p w14:paraId="50CE1ACF">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2023年常熟市城区环境空气质量状况以良为主，优良天数共292</w:t>
            </w:r>
            <w:r>
              <w:rPr>
                <w:rFonts w:hint="eastAsia"/>
                <w:color w:val="000000" w:themeColor="text1"/>
                <w:szCs w:val="21"/>
                <w14:textFill>
                  <w14:solidFill>
                    <w14:schemeClr w14:val="tx1"/>
                  </w14:solidFill>
                </w14:textFill>
              </w:rPr>
              <w:t>天，环境空气达标率为</w:t>
            </w:r>
            <w:r>
              <w:rPr>
                <w:color w:val="000000" w:themeColor="text1"/>
                <w:szCs w:val="21"/>
                <w14:textFill>
                  <w14:solidFill>
                    <w14:schemeClr w14:val="tx1"/>
                  </w14:solidFill>
                </w14:textFill>
              </w:rPr>
              <w:t>80.0%</w:t>
            </w:r>
            <w:r>
              <w:rPr>
                <w:rFonts w:hint="eastAsia"/>
                <w:color w:val="000000" w:themeColor="text1"/>
                <w:szCs w:val="21"/>
                <w14:textFill>
                  <w14:solidFill>
                    <w14:schemeClr w14:val="tx1"/>
                  </w14:solidFill>
                </w14:textFill>
              </w:rPr>
              <w:t>，与上年相比上升了</w:t>
            </w:r>
            <w:r>
              <w:rPr>
                <w:color w:val="000000" w:themeColor="text1"/>
                <w:szCs w:val="21"/>
                <w14:textFill>
                  <w14:solidFill>
                    <w14:schemeClr w14:val="tx1"/>
                  </w14:solidFill>
                </w14:textFill>
              </w:rPr>
              <w:t>1.1</w:t>
            </w:r>
            <w:r>
              <w:rPr>
                <w:rFonts w:hint="eastAsia"/>
                <w:color w:val="000000" w:themeColor="text1"/>
                <w:szCs w:val="21"/>
                <w14:textFill>
                  <w14:solidFill>
                    <w14:schemeClr w14:val="tx1"/>
                  </w14:solidFill>
                </w14:textFill>
              </w:rPr>
              <w:t>个百分点。未达标天数中，轻度污染</w:t>
            </w:r>
            <w:r>
              <w:rPr>
                <w:color w:val="000000" w:themeColor="text1"/>
                <w:szCs w:val="21"/>
                <w14:textFill>
                  <w14:solidFill>
                    <w14:schemeClr w14:val="tx1"/>
                  </w14:solidFill>
                </w14:textFill>
              </w:rPr>
              <w:t>60</w:t>
            </w:r>
            <w:r>
              <w:rPr>
                <w:rFonts w:hint="eastAsia"/>
                <w:color w:val="000000" w:themeColor="text1"/>
                <w:szCs w:val="21"/>
                <w14:textFill>
                  <w14:solidFill>
                    <w14:schemeClr w14:val="tx1"/>
                  </w14:solidFill>
                </w14:textFill>
              </w:rPr>
              <w:t>天，占比</w:t>
            </w:r>
            <w:r>
              <w:rPr>
                <w:color w:val="000000" w:themeColor="text1"/>
                <w:szCs w:val="21"/>
                <w14:textFill>
                  <w14:solidFill>
                    <w14:schemeClr w14:val="tx1"/>
                  </w14:solidFill>
                </w14:textFill>
              </w:rPr>
              <w:t>16.4%</w:t>
            </w:r>
            <w:r>
              <w:rPr>
                <w:rFonts w:hint="eastAsia"/>
                <w:color w:val="000000" w:themeColor="text1"/>
                <w:szCs w:val="21"/>
                <w14:textFill>
                  <w14:solidFill>
                    <w14:schemeClr w14:val="tx1"/>
                  </w14:solidFill>
                </w14:textFill>
              </w:rPr>
              <w:t>；中度污染</w:t>
            </w:r>
            <w:r>
              <w:rPr>
                <w:color w:val="000000" w:themeColor="text1"/>
                <w:szCs w:val="21"/>
                <w14:textFill>
                  <w14:solidFill>
                    <w14:schemeClr w14:val="tx1"/>
                  </w14:solidFill>
                </w14:textFill>
              </w:rPr>
              <w:t>12</w:t>
            </w:r>
            <w:r>
              <w:rPr>
                <w:rFonts w:hint="eastAsia"/>
                <w:color w:val="000000" w:themeColor="text1"/>
                <w:szCs w:val="21"/>
                <w14:textFill>
                  <w14:solidFill>
                    <w14:schemeClr w14:val="tx1"/>
                  </w14:solidFill>
                </w14:textFill>
              </w:rPr>
              <w:t>天，占比</w:t>
            </w:r>
            <w:r>
              <w:rPr>
                <w:color w:val="000000" w:themeColor="text1"/>
                <w:szCs w:val="21"/>
                <w14:textFill>
                  <w14:solidFill>
                    <w14:schemeClr w14:val="tx1"/>
                  </w14:solidFill>
                </w14:textFill>
              </w:rPr>
              <w:t>3.3%</w:t>
            </w:r>
            <w:r>
              <w:rPr>
                <w:rFonts w:hint="eastAsia"/>
                <w:color w:val="000000" w:themeColor="text1"/>
                <w:szCs w:val="21"/>
                <w14:textFill>
                  <w14:solidFill>
                    <w14:schemeClr w14:val="tx1"/>
                  </w14:solidFill>
                </w14:textFill>
              </w:rPr>
              <w:t>；重度污染</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天，占比</w:t>
            </w:r>
            <w:r>
              <w:rPr>
                <w:color w:val="000000" w:themeColor="text1"/>
                <w:szCs w:val="21"/>
                <w14:textFill>
                  <w14:solidFill>
                    <w14:schemeClr w14:val="tx1"/>
                  </w14:solidFill>
                </w14:textFill>
              </w:rPr>
              <w:t>0.3%</w:t>
            </w:r>
            <w:r>
              <w:rPr>
                <w:rFonts w:hint="eastAsia"/>
                <w:color w:val="000000" w:themeColor="text1"/>
                <w:szCs w:val="21"/>
                <w14:textFill>
                  <w14:solidFill>
                    <w14:schemeClr w14:val="tx1"/>
                  </w14:solidFill>
                </w14:textFill>
              </w:rPr>
              <w:t xml:space="preserve">。城区环境空气质量呈季节性变化， </w:t>
            </w:r>
          </w:p>
          <w:p w14:paraId="00890B1C">
            <w:pPr>
              <w:spacing w:line="36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月至</w:t>
            </w:r>
            <w:r>
              <w:rPr>
                <w:color w:val="000000" w:themeColor="text1"/>
                <w:szCs w:val="21"/>
                <w14:textFill>
                  <w14:solidFill>
                    <w14:schemeClr w14:val="tx1"/>
                  </w14:solidFill>
                </w14:textFill>
              </w:rPr>
              <w:t>10</w:t>
            </w:r>
            <w:r>
              <w:rPr>
                <w:rFonts w:hint="eastAsia"/>
                <w:color w:val="000000" w:themeColor="text1"/>
                <w:szCs w:val="21"/>
                <w14:textFill>
                  <w14:solidFill>
                    <w14:schemeClr w14:val="tx1"/>
                  </w14:solidFill>
                </w14:textFill>
              </w:rPr>
              <w:t>月，臭氧浓度高于其他月份；其他污染物浓度冬季较高，其他季节相对较低。单月累计优良率在</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月至</w:t>
            </w: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月较高，</w:t>
            </w: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月份呈下降趋势，在</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6</w:t>
            </w:r>
            <w:r>
              <w:rPr>
                <w:rFonts w:hint="eastAsia"/>
                <w:color w:val="000000" w:themeColor="text1"/>
                <w:szCs w:val="21"/>
                <w14:textFill>
                  <w14:solidFill>
                    <w14:schemeClr w14:val="tx1"/>
                  </w14:solidFill>
                </w14:textFill>
              </w:rPr>
              <w:t>月达至低点后波动上升，</w:t>
            </w:r>
            <w:r>
              <w:rPr>
                <w:color w:val="000000" w:themeColor="text1"/>
                <w:szCs w:val="21"/>
                <w14:textFill>
                  <w14:solidFill>
                    <w14:schemeClr w14:val="tx1"/>
                  </w14:solidFill>
                </w14:textFill>
              </w:rPr>
              <w:t>11</w:t>
            </w:r>
            <w:r>
              <w:rPr>
                <w:rFonts w:hint="eastAsia"/>
                <w:color w:val="000000" w:themeColor="text1"/>
                <w:szCs w:val="21"/>
                <w14:textFill>
                  <w14:solidFill>
                    <w14:schemeClr w14:val="tx1"/>
                  </w14:solidFill>
                </w14:textFill>
              </w:rPr>
              <w:t>月优良率升至</w:t>
            </w:r>
            <w:r>
              <w:rPr>
                <w:color w:val="000000" w:themeColor="text1"/>
                <w:szCs w:val="21"/>
                <w14:textFill>
                  <w14:solidFill>
                    <w14:schemeClr w14:val="tx1"/>
                  </w14:solidFill>
                </w14:textFill>
              </w:rPr>
              <w:t>93.3%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12</w:t>
            </w:r>
            <w:r>
              <w:rPr>
                <w:rFonts w:hint="eastAsia"/>
                <w:color w:val="000000" w:themeColor="text1"/>
                <w:szCs w:val="21"/>
                <w14:textFill>
                  <w14:solidFill>
                    <w14:schemeClr w14:val="tx1"/>
                  </w14:solidFill>
                </w14:textFill>
              </w:rPr>
              <w:t>月受不利气候条件影响降至全年最低</w:t>
            </w:r>
            <w:r>
              <w:rPr>
                <w:color w:val="000000" w:themeColor="text1"/>
                <w:szCs w:val="21"/>
                <w14:textFill>
                  <w14:solidFill>
                    <w14:schemeClr w14:val="tx1"/>
                  </w14:solidFill>
                </w14:textFill>
              </w:rPr>
              <w:t>64.5%</w:t>
            </w:r>
            <w:r>
              <w:rPr>
                <w:rFonts w:hint="eastAsia"/>
                <w:color w:val="000000" w:themeColor="text1"/>
                <w:szCs w:val="21"/>
                <w14:textFill>
                  <w14:solidFill>
                    <w14:schemeClr w14:val="tx1"/>
                  </w14:solidFill>
                </w14:textFill>
              </w:rPr>
              <w:t>。</w:t>
            </w:r>
          </w:p>
          <w:p w14:paraId="00B2DE9A">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2023年常熟市各乡镇（街道）环境空气中二氧化硫、二氧化氮、</w:t>
            </w:r>
            <w:r>
              <w:rPr>
                <w:rFonts w:hint="eastAsia"/>
                <w:color w:val="000000" w:themeColor="text1"/>
                <w:szCs w:val="21"/>
                <w14:textFill>
                  <w14:solidFill>
                    <w14:schemeClr w14:val="tx1"/>
                  </w14:solidFill>
                </w14:textFill>
              </w:rPr>
              <w:t>可吸入颗粒物、细颗粒物、一氧化碳的年评价值均达标，臭氧第</w:t>
            </w:r>
            <w:r>
              <w:rPr>
                <w:color w:val="000000" w:themeColor="text1"/>
                <w:szCs w:val="21"/>
                <w14:textFill>
                  <w14:solidFill>
                    <w14:schemeClr w14:val="tx1"/>
                  </w14:solidFill>
                </w14:textFill>
              </w:rPr>
              <w:t>90</w:t>
            </w:r>
            <w:r>
              <w:rPr>
                <w:rFonts w:hint="eastAsia"/>
                <w:color w:val="000000" w:themeColor="text1"/>
                <w:szCs w:val="21"/>
                <w14:textFill>
                  <w14:solidFill>
                    <w14:schemeClr w14:val="tx1"/>
                  </w14:solidFill>
                </w14:textFill>
              </w:rPr>
              <w:t>百分位数浓度均超标，其中碧溪街道臭氧浓度最低，为</w:t>
            </w:r>
            <w:r>
              <w:rPr>
                <w:color w:val="000000" w:themeColor="text1"/>
                <w:szCs w:val="21"/>
                <w14:textFill>
                  <w14:solidFill>
                    <w14:schemeClr w14:val="tx1"/>
                  </w14:solidFill>
                </w14:textFill>
              </w:rPr>
              <w:t>164</w:t>
            </w:r>
            <w:r>
              <w:rPr>
                <w:rFonts w:hint="eastAsia"/>
                <w:color w:val="000000" w:themeColor="text1"/>
                <w:szCs w:val="21"/>
                <w14:textFill>
                  <w14:solidFill>
                    <w14:schemeClr w14:val="tx1"/>
                  </w14:solidFill>
                </w14:textFill>
              </w:rPr>
              <w:t>微克</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立方米；沙家浜镇最高，为</w:t>
            </w:r>
            <w:r>
              <w:rPr>
                <w:color w:val="000000" w:themeColor="text1"/>
                <w:szCs w:val="21"/>
                <w14:textFill>
                  <w14:solidFill>
                    <w14:schemeClr w14:val="tx1"/>
                  </w14:solidFill>
                </w14:textFill>
              </w:rPr>
              <w:t>195</w:t>
            </w:r>
            <w:r>
              <w:rPr>
                <w:rFonts w:hint="eastAsia"/>
                <w:color w:val="000000" w:themeColor="text1"/>
                <w:szCs w:val="21"/>
                <w14:textFill>
                  <w14:solidFill>
                    <w14:schemeClr w14:val="tx1"/>
                  </w14:solidFill>
                </w14:textFill>
              </w:rPr>
              <w:t>微克</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立方米。各乡镇（街道）中高新区环境空气累计优良率最高，为</w:t>
            </w:r>
            <w:r>
              <w:rPr>
                <w:color w:val="000000" w:themeColor="text1"/>
                <w:szCs w:val="21"/>
                <w14:textFill>
                  <w14:solidFill>
                    <w14:schemeClr w14:val="tx1"/>
                  </w14:solidFill>
                </w14:textFill>
              </w:rPr>
              <w:t>84.9%</w:t>
            </w:r>
            <w:r>
              <w:rPr>
                <w:rFonts w:hint="eastAsia"/>
                <w:color w:val="000000" w:themeColor="text1"/>
                <w:szCs w:val="21"/>
                <w14:textFill>
                  <w14:solidFill>
                    <w14:schemeClr w14:val="tx1"/>
                  </w14:solidFill>
                </w14:textFill>
              </w:rPr>
              <w:t>；支塘镇最低，为</w:t>
            </w:r>
            <w:r>
              <w:rPr>
                <w:color w:val="000000" w:themeColor="text1"/>
                <w:szCs w:val="21"/>
                <w14:textFill>
                  <w14:solidFill>
                    <w14:schemeClr w14:val="tx1"/>
                  </w14:solidFill>
                </w14:textFill>
              </w:rPr>
              <w:t>72.9%</w:t>
            </w:r>
            <w:r>
              <w:rPr>
                <w:rFonts w:hint="eastAsia"/>
                <w:color w:val="000000" w:themeColor="text1"/>
                <w:szCs w:val="21"/>
                <w14:textFill>
                  <w14:solidFill>
                    <w14:schemeClr w14:val="tx1"/>
                  </w14:solidFill>
                </w14:textFill>
              </w:rPr>
              <w:t>。虞山街道环境空气质量综合指数最低，为</w:t>
            </w:r>
            <w:r>
              <w:rPr>
                <w:color w:val="000000" w:themeColor="text1"/>
                <w:szCs w:val="21"/>
                <w14:textFill>
                  <w14:solidFill>
                    <w14:schemeClr w14:val="tx1"/>
                  </w14:solidFill>
                </w14:textFill>
              </w:rPr>
              <w:t>3.85</w:t>
            </w:r>
            <w:r>
              <w:rPr>
                <w:rFonts w:hint="eastAsia"/>
                <w:color w:val="000000" w:themeColor="text1"/>
                <w:szCs w:val="21"/>
                <w14:textFill>
                  <w14:solidFill>
                    <w14:schemeClr w14:val="tx1"/>
                  </w14:solidFill>
                </w14:textFill>
              </w:rPr>
              <w:t>；梅李镇最高，为</w:t>
            </w:r>
            <w:r>
              <w:rPr>
                <w:color w:val="000000" w:themeColor="text1"/>
                <w:szCs w:val="21"/>
                <w14:textFill>
                  <w14:solidFill>
                    <w14:schemeClr w14:val="tx1"/>
                  </w14:solidFill>
                </w14:textFill>
              </w:rPr>
              <w:t>4.59</w:t>
            </w:r>
            <w:r>
              <w:rPr>
                <w:rFonts w:hint="eastAsia"/>
                <w:color w:val="000000" w:themeColor="text1"/>
                <w:szCs w:val="21"/>
                <w14:textFill>
                  <w14:solidFill>
                    <w14:schemeClr w14:val="tx1"/>
                  </w14:solidFill>
                </w14:textFill>
              </w:rPr>
              <w:t>。</w:t>
            </w:r>
          </w:p>
          <w:p w14:paraId="325F3D2C">
            <w:pPr>
              <w:pStyle w:val="2"/>
              <w:spacing w:after="0" w:line="360" w:lineRule="auto"/>
              <w:ind w:firstLine="420" w:firstLineChars="200"/>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《2023年度常熟市生态环境状况公报》中基本污染物数据详见下表：</w:t>
            </w:r>
          </w:p>
          <w:p w14:paraId="7C093B90">
            <w:pPr>
              <w:jc w:val="center"/>
              <w:rPr>
                <w:b/>
                <w:color w:val="000000" w:themeColor="text1"/>
                <w:sz w:val="24"/>
                <w14:textFill>
                  <w14:solidFill>
                    <w14:schemeClr w14:val="tx1"/>
                  </w14:solidFill>
                </w14:textFill>
              </w:rPr>
            </w:pPr>
            <w:r>
              <w:rPr>
                <w:b/>
                <w:color w:val="000000" w:themeColor="text1"/>
                <w:szCs w:val="21"/>
                <w14:textFill>
                  <w14:solidFill>
                    <w14:schemeClr w14:val="tx1"/>
                  </w14:solidFill>
                </w14:textFill>
              </w:rPr>
              <w:t>表3.1-1</w:t>
            </w:r>
            <w:r>
              <w:rPr>
                <w:rFonts w:hint="eastAsia"/>
                <w:b/>
                <w:color w:val="000000" w:themeColor="text1"/>
                <w:szCs w:val="21"/>
                <w:lang w:val="en-US" w:eastAsia="zh-CN"/>
                <w14:textFill>
                  <w14:solidFill>
                    <w14:schemeClr w14:val="tx1"/>
                  </w14:solidFill>
                </w14:textFill>
              </w:rPr>
              <w:t xml:space="preserve"> </w:t>
            </w:r>
            <w:r>
              <w:rPr>
                <w:rFonts w:hint="eastAsia"/>
                <w:b/>
                <w:color w:val="000000" w:themeColor="text1"/>
                <w:szCs w:val="21"/>
                <w14:textFill>
                  <w14:solidFill>
                    <w14:schemeClr w14:val="tx1"/>
                  </w14:solidFill>
                </w14:textFill>
              </w:rPr>
              <w:t>202</w:t>
            </w: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年常熟市</w:t>
            </w:r>
            <w:r>
              <w:rPr>
                <w:b/>
                <w:color w:val="000000" w:themeColor="text1"/>
                <w:szCs w:val="21"/>
                <w14:textFill>
                  <w14:solidFill>
                    <w14:schemeClr w14:val="tx1"/>
                  </w14:solidFill>
                </w14:textFill>
              </w:rPr>
              <w:t>大气环境质量现状 （CO为mg/m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，其余均为μg/m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bl>
            <w:tblPr>
              <w:tblStyle w:val="22"/>
              <w:tblW w:w="830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9"/>
              <w:gridCol w:w="2798"/>
              <w:gridCol w:w="1145"/>
              <w:gridCol w:w="892"/>
              <w:gridCol w:w="1371"/>
              <w:gridCol w:w="1194"/>
            </w:tblGrid>
            <w:tr w14:paraId="72D676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vAlign w:val="center"/>
                </w:tcPr>
                <w:p w14:paraId="6336566D">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p>
              </w:tc>
              <w:tc>
                <w:tcPr>
                  <w:tcW w:w="2798" w:type="dxa"/>
                  <w:vAlign w:val="center"/>
                </w:tcPr>
                <w:p w14:paraId="1A776F5C">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年度</w:t>
                  </w:r>
                  <w:r>
                    <w:rPr>
                      <w:b/>
                      <w:bCs/>
                      <w:color w:val="000000" w:themeColor="text1"/>
                      <w:szCs w:val="21"/>
                      <w14:textFill>
                        <w14:solidFill>
                          <w14:schemeClr w14:val="tx1"/>
                        </w14:solidFill>
                      </w14:textFill>
                    </w:rPr>
                    <w:t>评价指标</w:t>
                  </w:r>
                </w:p>
              </w:tc>
              <w:tc>
                <w:tcPr>
                  <w:tcW w:w="1145" w:type="dxa"/>
                  <w:vAlign w:val="center"/>
                </w:tcPr>
                <w:p w14:paraId="4410A50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现状浓度</w:t>
                  </w:r>
                </w:p>
              </w:tc>
              <w:tc>
                <w:tcPr>
                  <w:tcW w:w="892" w:type="dxa"/>
                  <w:vAlign w:val="center"/>
                </w:tcPr>
                <w:p w14:paraId="6452B150">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标准值</w:t>
                  </w:r>
                </w:p>
              </w:tc>
              <w:tc>
                <w:tcPr>
                  <w:tcW w:w="1371" w:type="dxa"/>
                  <w:vAlign w:val="center"/>
                </w:tcPr>
                <w:p w14:paraId="48D2D46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占标率（%）</w:t>
                  </w:r>
                </w:p>
              </w:tc>
              <w:tc>
                <w:tcPr>
                  <w:tcW w:w="1194" w:type="dxa"/>
                  <w:vAlign w:val="center"/>
                </w:tcPr>
                <w:p w14:paraId="08CE8E6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r>
            <w:tr w14:paraId="60B5AE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vMerge w:val="restart"/>
                  <w:vAlign w:val="center"/>
                </w:tcPr>
                <w:p w14:paraId="208DB8F8">
                  <w:pPr>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SO</w:t>
                  </w:r>
                  <w:r>
                    <w:rPr>
                      <w:snapToGrid w:val="0"/>
                      <w:color w:val="000000" w:themeColor="text1"/>
                      <w:szCs w:val="21"/>
                      <w:vertAlign w:val="subscript"/>
                      <w14:textFill>
                        <w14:solidFill>
                          <w14:schemeClr w14:val="tx1"/>
                        </w14:solidFill>
                      </w14:textFill>
                    </w:rPr>
                    <w:t>2</w:t>
                  </w:r>
                </w:p>
              </w:tc>
              <w:tc>
                <w:tcPr>
                  <w:tcW w:w="2798" w:type="dxa"/>
                  <w:vAlign w:val="center"/>
                </w:tcPr>
                <w:p w14:paraId="46C1AD0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1145" w:type="dxa"/>
                  <w:vAlign w:val="center"/>
                </w:tcPr>
                <w:p w14:paraId="5E954EC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892" w:type="dxa"/>
                  <w:vAlign w:val="center"/>
                </w:tcPr>
                <w:p w14:paraId="3119729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1371" w:type="dxa"/>
                  <w:vAlign w:val="center"/>
                </w:tcPr>
                <w:p w14:paraId="0906154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1194" w:type="dxa"/>
                  <w:vAlign w:val="center"/>
                </w:tcPr>
                <w:p w14:paraId="4C4625C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74BFC3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vMerge w:val="continue"/>
                  <w:vAlign w:val="center"/>
                </w:tcPr>
                <w:p w14:paraId="7F37E14D">
                  <w:pPr>
                    <w:jc w:val="center"/>
                    <w:rPr>
                      <w:snapToGrid w:val="0"/>
                      <w:color w:val="000000" w:themeColor="text1"/>
                      <w:szCs w:val="21"/>
                      <w14:textFill>
                        <w14:solidFill>
                          <w14:schemeClr w14:val="tx1"/>
                        </w14:solidFill>
                      </w14:textFill>
                    </w:rPr>
                  </w:pPr>
                </w:p>
              </w:tc>
              <w:tc>
                <w:tcPr>
                  <w:tcW w:w="2798" w:type="dxa"/>
                  <w:vAlign w:val="center"/>
                </w:tcPr>
                <w:p w14:paraId="05D7C52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24小时平均第98百分位数</w:t>
                  </w:r>
                </w:p>
              </w:tc>
              <w:tc>
                <w:tcPr>
                  <w:tcW w:w="1145" w:type="dxa"/>
                  <w:vAlign w:val="center"/>
                </w:tcPr>
                <w:p w14:paraId="218F318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w:t>
                  </w:r>
                </w:p>
              </w:tc>
              <w:tc>
                <w:tcPr>
                  <w:tcW w:w="892" w:type="dxa"/>
                  <w:vAlign w:val="center"/>
                </w:tcPr>
                <w:p w14:paraId="500B937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1371" w:type="dxa"/>
                  <w:vAlign w:val="center"/>
                </w:tcPr>
                <w:p w14:paraId="2D4D2D0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1194" w:type="dxa"/>
                  <w:vAlign w:val="center"/>
                </w:tcPr>
                <w:p w14:paraId="54A186E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410DC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vMerge w:val="restart"/>
                  <w:vAlign w:val="center"/>
                </w:tcPr>
                <w:p w14:paraId="6636ADCA">
                  <w:pPr>
                    <w:jc w:val="center"/>
                    <w:rPr>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NO</w:t>
                  </w:r>
                  <w:r>
                    <w:rPr>
                      <w:snapToGrid w:val="0"/>
                      <w:color w:val="000000" w:themeColor="text1"/>
                      <w:szCs w:val="21"/>
                      <w:vertAlign w:val="subscript"/>
                      <w14:textFill>
                        <w14:solidFill>
                          <w14:schemeClr w14:val="tx1"/>
                        </w14:solidFill>
                      </w14:textFill>
                    </w:rPr>
                    <w:t>2</w:t>
                  </w:r>
                </w:p>
              </w:tc>
              <w:tc>
                <w:tcPr>
                  <w:tcW w:w="2798" w:type="dxa"/>
                  <w:vAlign w:val="center"/>
                </w:tcPr>
                <w:p w14:paraId="5A847E5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1145" w:type="dxa"/>
                  <w:vAlign w:val="center"/>
                </w:tcPr>
                <w:p w14:paraId="388F45F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29</w:t>
                  </w:r>
                </w:p>
              </w:tc>
              <w:tc>
                <w:tcPr>
                  <w:tcW w:w="892" w:type="dxa"/>
                  <w:vAlign w:val="center"/>
                </w:tcPr>
                <w:p w14:paraId="7E6629A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1371" w:type="dxa"/>
                  <w:vAlign w:val="center"/>
                </w:tcPr>
                <w:p w14:paraId="3385AD5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72.5</w:t>
                  </w:r>
                </w:p>
              </w:tc>
              <w:tc>
                <w:tcPr>
                  <w:tcW w:w="1194" w:type="dxa"/>
                  <w:vAlign w:val="center"/>
                </w:tcPr>
                <w:p w14:paraId="0C75F74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1E05B7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vMerge w:val="continue"/>
                  <w:vAlign w:val="center"/>
                </w:tcPr>
                <w:p w14:paraId="2A6E796A">
                  <w:pPr>
                    <w:jc w:val="center"/>
                    <w:rPr>
                      <w:snapToGrid w:val="0"/>
                      <w:color w:val="000000" w:themeColor="text1"/>
                      <w:szCs w:val="21"/>
                      <w14:textFill>
                        <w14:solidFill>
                          <w14:schemeClr w14:val="tx1"/>
                        </w14:solidFill>
                      </w14:textFill>
                    </w:rPr>
                  </w:pPr>
                </w:p>
              </w:tc>
              <w:tc>
                <w:tcPr>
                  <w:tcW w:w="2798" w:type="dxa"/>
                  <w:vAlign w:val="center"/>
                </w:tcPr>
                <w:p w14:paraId="3B16038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24小时平均第98百分位数</w:t>
                  </w:r>
                </w:p>
              </w:tc>
              <w:tc>
                <w:tcPr>
                  <w:tcW w:w="1145" w:type="dxa"/>
                  <w:vAlign w:val="center"/>
                </w:tcPr>
                <w:p w14:paraId="1C8F8B9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70</w:t>
                  </w:r>
                </w:p>
              </w:tc>
              <w:tc>
                <w:tcPr>
                  <w:tcW w:w="892" w:type="dxa"/>
                  <w:vAlign w:val="center"/>
                </w:tcPr>
                <w:p w14:paraId="16F69A9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c>
                <w:tcPr>
                  <w:tcW w:w="1371" w:type="dxa"/>
                  <w:vAlign w:val="center"/>
                </w:tcPr>
                <w:p w14:paraId="45117E1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87.5</w:t>
                  </w:r>
                </w:p>
              </w:tc>
              <w:tc>
                <w:tcPr>
                  <w:tcW w:w="1194" w:type="dxa"/>
                  <w:vAlign w:val="center"/>
                </w:tcPr>
                <w:p w14:paraId="50A6BC3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6B702C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vMerge w:val="restart"/>
                  <w:vAlign w:val="center"/>
                </w:tcPr>
                <w:p w14:paraId="178866C0">
                  <w:pPr>
                    <w:jc w:val="center"/>
                    <w:rPr>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PM</w:t>
                  </w:r>
                  <w:r>
                    <w:rPr>
                      <w:snapToGrid w:val="0"/>
                      <w:color w:val="000000" w:themeColor="text1"/>
                      <w:szCs w:val="21"/>
                      <w:vertAlign w:val="subscript"/>
                      <w14:textFill>
                        <w14:solidFill>
                          <w14:schemeClr w14:val="tx1"/>
                        </w14:solidFill>
                      </w14:textFill>
                    </w:rPr>
                    <w:t>2.5</w:t>
                  </w:r>
                </w:p>
              </w:tc>
              <w:tc>
                <w:tcPr>
                  <w:tcW w:w="2798" w:type="dxa"/>
                  <w:vAlign w:val="center"/>
                </w:tcPr>
                <w:p w14:paraId="0283B43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1145" w:type="dxa"/>
                  <w:vAlign w:val="center"/>
                </w:tcPr>
                <w:p w14:paraId="65684AE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w:t>
                  </w:r>
                </w:p>
              </w:tc>
              <w:tc>
                <w:tcPr>
                  <w:tcW w:w="892" w:type="dxa"/>
                  <w:vAlign w:val="center"/>
                </w:tcPr>
                <w:p w14:paraId="4989DBF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1371" w:type="dxa"/>
                  <w:vAlign w:val="center"/>
                </w:tcPr>
                <w:p w14:paraId="303FABA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p>
              </w:tc>
              <w:tc>
                <w:tcPr>
                  <w:tcW w:w="1194" w:type="dxa"/>
                  <w:vAlign w:val="center"/>
                </w:tcPr>
                <w:p w14:paraId="2E6C9E8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0CCBFA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vMerge w:val="continue"/>
                  <w:vAlign w:val="center"/>
                </w:tcPr>
                <w:p w14:paraId="213A06E0">
                  <w:pPr>
                    <w:jc w:val="center"/>
                    <w:rPr>
                      <w:color w:val="000000" w:themeColor="text1"/>
                      <w:szCs w:val="21"/>
                      <w14:textFill>
                        <w14:solidFill>
                          <w14:schemeClr w14:val="tx1"/>
                        </w14:solidFill>
                      </w14:textFill>
                    </w:rPr>
                  </w:pPr>
                </w:p>
              </w:tc>
              <w:tc>
                <w:tcPr>
                  <w:tcW w:w="2798" w:type="dxa"/>
                  <w:vAlign w:val="center"/>
                </w:tcPr>
                <w:p w14:paraId="7D694C3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24小时平均第95百分位数</w:t>
                  </w:r>
                </w:p>
              </w:tc>
              <w:tc>
                <w:tcPr>
                  <w:tcW w:w="1145" w:type="dxa"/>
                  <w:vAlign w:val="center"/>
                </w:tcPr>
                <w:p w14:paraId="60A2124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70</w:t>
                  </w:r>
                </w:p>
              </w:tc>
              <w:tc>
                <w:tcPr>
                  <w:tcW w:w="892" w:type="dxa"/>
                  <w:vAlign w:val="center"/>
                </w:tcPr>
                <w:p w14:paraId="1661378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c>
                <w:tcPr>
                  <w:tcW w:w="1371" w:type="dxa"/>
                  <w:vAlign w:val="center"/>
                </w:tcPr>
                <w:p w14:paraId="5793D66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93.3</w:t>
                  </w:r>
                </w:p>
              </w:tc>
              <w:tc>
                <w:tcPr>
                  <w:tcW w:w="1194" w:type="dxa"/>
                  <w:vAlign w:val="center"/>
                </w:tcPr>
                <w:p w14:paraId="6705D2E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07B05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vMerge w:val="restart"/>
                  <w:vAlign w:val="center"/>
                </w:tcPr>
                <w:p w14:paraId="418E02CF">
                  <w:pPr>
                    <w:jc w:val="center"/>
                    <w:rPr>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PM</w:t>
                  </w:r>
                  <w:r>
                    <w:rPr>
                      <w:snapToGrid w:val="0"/>
                      <w:color w:val="000000" w:themeColor="text1"/>
                      <w:szCs w:val="21"/>
                      <w:vertAlign w:val="subscript"/>
                      <w14:textFill>
                        <w14:solidFill>
                          <w14:schemeClr w14:val="tx1"/>
                        </w14:solidFill>
                      </w14:textFill>
                    </w:rPr>
                    <w:t>10</w:t>
                  </w:r>
                </w:p>
              </w:tc>
              <w:tc>
                <w:tcPr>
                  <w:tcW w:w="2798" w:type="dxa"/>
                  <w:vAlign w:val="center"/>
                </w:tcPr>
                <w:p w14:paraId="03156EA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1145" w:type="dxa"/>
                  <w:vAlign w:val="center"/>
                </w:tcPr>
                <w:p w14:paraId="6363A73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w:t>
                  </w:r>
                </w:p>
              </w:tc>
              <w:tc>
                <w:tcPr>
                  <w:tcW w:w="892" w:type="dxa"/>
                  <w:vAlign w:val="center"/>
                </w:tcPr>
                <w:p w14:paraId="0330484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1371" w:type="dxa"/>
                  <w:vAlign w:val="center"/>
                </w:tcPr>
                <w:p w14:paraId="2DDE5EF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68.6</w:t>
                  </w:r>
                </w:p>
              </w:tc>
              <w:tc>
                <w:tcPr>
                  <w:tcW w:w="1194" w:type="dxa"/>
                  <w:vAlign w:val="center"/>
                </w:tcPr>
                <w:p w14:paraId="7D81915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463E3B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vMerge w:val="continue"/>
                  <w:vAlign w:val="center"/>
                </w:tcPr>
                <w:p w14:paraId="2E9C31D1">
                  <w:pPr>
                    <w:jc w:val="center"/>
                    <w:rPr>
                      <w:color w:val="000000" w:themeColor="text1"/>
                      <w:szCs w:val="21"/>
                      <w14:textFill>
                        <w14:solidFill>
                          <w14:schemeClr w14:val="tx1"/>
                        </w14:solidFill>
                      </w14:textFill>
                    </w:rPr>
                  </w:pPr>
                </w:p>
              </w:tc>
              <w:tc>
                <w:tcPr>
                  <w:tcW w:w="2798" w:type="dxa"/>
                  <w:vAlign w:val="center"/>
                </w:tcPr>
                <w:p w14:paraId="5750132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24小时平均第95百分位数</w:t>
                  </w:r>
                </w:p>
              </w:tc>
              <w:tc>
                <w:tcPr>
                  <w:tcW w:w="1145" w:type="dxa"/>
                  <w:vAlign w:val="center"/>
                </w:tcPr>
                <w:p w14:paraId="41DB855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108</w:t>
                  </w:r>
                </w:p>
              </w:tc>
              <w:tc>
                <w:tcPr>
                  <w:tcW w:w="892" w:type="dxa"/>
                  <w:vAlign w:val="center"/>
                </w:tcPr>
                <w:p w14:paraId="76E6115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1371" w:type="dxa"/>
                  <w:vAlign w:val="center"/>
                </w:tcPr>
                <w:p w14:paraId="5FB091C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72</w:t>
                  </w:r>
                </w:p>
              </w:tc>
              <w:tc>
                <w:tcPr>
                  <w:tcW w:w="1194" w:type="dxa"/>
                  <w:vAlign w:val="center"/>
                </w:tcPr>
                <w:p w14:paraId="65F1D86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25A331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vMerge w:val="restart"/>
                  <w:vAlign w:val="center"/>
                </w:tcPr>
                <w:p w14:paraId="3CA6BA8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w:t>
                  </w:r>
                </w:p>
              </w:tc>
              <w:tc>
                <w:tcPr>
                  <w:tcW w:w="2798" w:type="dxa"/>
                  <w:vAlign w:val="center"/>
                </w:tcPr>
                <w:p w14:paraId="406FF40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1145" w:type="dxa"/>
                  <w:vAlign w:val="center"/>
                </w:tcPr>
                <w:p w14:paraId="43769D1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92" w:type="dxa"/>
                  <w:vAlign w:val="center"/>
                </w:tcPr>
                <w:p w14:paraId="0B92F31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371" w:type="dxa"/>
                  <w:vAlign w:val="center"/>
                </w:tcPr>
                <w:p w14:paraId="2CA09F7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94" w:type="dxa"/>
                  <w:vAlign w:val="center"/>
                </w:tcPr>
                <w:p w14:paraId="5C10BBB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6A1A7C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vMerge w:val="continue"/>
                  <w:vAlign w:val="center"/>
                </w:tcPr>
                <w:p w14:paraId="75B6BAA4">
                  <w:pPr>
                    <w:jc w:val="center"/>
                    <w:rPr>
                      <w:color w:val="000000" w:themeColor="text1"/>
                      <w:szCs w:val="21"/>
                      <w14:textFill>
                        <w14:solidFill>
                          <w14:schemeClr w14:val="tx1"/>
                        </w14:solidFill>
                      </w14:textFill>
                    </w:rPr>
                  </w:pPr>
                </w:p>
              </w:tc>
              <w:tc>
                <w:tcPr>
                  <w:tcW w:w="2798" w:type="dxa"/>
                  <w:vAlign w:val="center"/>
                </w:tcPr>
                <w:p w14:paraId="57AB543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24小时平均第95百分位数</w:t>
                  </w:r>
                </w:p>
              </w:tc>
              <w:tc>
                <w:tcPr>
                  <w:tcW w:w="1145" w:type="dxa"/>
                  <w:vAlign w:val="center"/>
                </w:tcPr>
                <w:p w14:paraId="2C6A55F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1</w:t>
                  </w:r>
                </w:p>
              </w:tc>
              <w:tc>
                <w:tcPr>
                  <w:tcW w:w="892" w:type="dxa"/>
                  <w:vAlign w:val="center"/>
                </w:tcPr>
                <w:p w14:paraId="1070D67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371" w:type="dxa"/>
                  <w:vAlign w:val="center"/>
                </w:tcPr>
                <w:p w14:paraId="6E65257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27.5</w:t>
                  </w:r>
                </w:p>
              </w:tc>
              <w:tc>
                <w:tcPr>
                  <w:tcW w:w="1194" w:type="dxa"/>
                  <w:vAlign w:val="center"/>
                </w:tcPr>
                <w:p w14:paraId="6DE0CF6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09E803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vMerge w:val="restart"/>
                  <w:vAlign w:val="center"/>
                </w:tcPr>
                <w:p w14:paraId="1172B70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3</w:t>
                  </w:r>
                </w:p>
              </w:tc>
              <w:tc>
                <w:tcPr>
                  <w:tcW w:w="2798" w:type="dxa"/>
                  <w:vAlign w:val="center"/>
                </w:tcPr>
                <w:p w14:paraId="41F2EC0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1145" w:type="dxa"/>
                  <w:vAlign w:val="center"/>
                </w:tcPr>
                <w:p w14:paraId="63C0B30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92" w:type="dxa"/>
                  <w:vAlign w:val="center"/>
                </w:tcPr>
                <w:p w14:paraId="670914E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371" w:type="dxa"/>
                  <w:vAlign w:val="center"/>
                </w:tcPr>
                <w:p w14:paraId="56F4B5C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94" w:type="dxa"/>
                  <w:vAlign w:val="center"/>
                </w:tcPr>
                <w:p w14:paraId="6A17D3E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07691E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vMerge w:val="continue"/>
                  <w:vAlign w:val="center"/>
                </w:tcPr>
                <w:p w14:paraId="03314D01">
                  <w:pPr>
                    <w:jc w:val="center"/>
                    <w:rPr>
                      <w:color w:val="000000" w:themeColor="text1"/>
                      <w:szCs w:val="21"/>
                      <w14:textFill>
                        <w14:solidFill>
                          <w14:schemeClr w14:val="tx1"/>
                        </w14:solidFill>
                      </w14:textFill>
                    </w:rPr>
                  </w:pPr>
                </w:p>
              </w:tc>
              <w:tc>
                <w:tcPr>
                  <w:tcW w:w="2798" w:type="dxa"/>
                  <w:vAlign w:val="center"/>
                </w:tcPr>
                <w:p w14:paraId="383040E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日最大8小时滑动平均值的</w:t>
                  </w:r>
                </w:p>
                <w:p w14:paraId="6016D1D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第90百分位数</w:t>
                  </w:r>
                </w:p>
              </w:tc>
              <w:tc>
                <w:tcPr>
                  <w:tcW w:w="1145" w:type="dxa"/>
                  <w:vAlign w:val="center"/>
                </w:tcPr>
                <w:p w14:paraId="7E64528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72</w:t>
                  </w:r>
                </w:p>
              </w:tc>
              <w:tc>
                <w:tcPr>
                  <w:tcW w:w="892" w:type="dxa"/>
                  <w:vAlign w:val="center"/>
                </w:tcPr>
                <w:p w14:paraId="31F3209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160</w:t>
                  </w:r>
                </w:p>
              </w:tc>
              <w:tc>
                <w:tcPr>
                  <w:tcW w:w="1371" w:type="dxa"/>
                  <w:vAlign w:val="center"/>
                </w:tcPr>
                <w:p w14:paraId="4AD5F88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107.5</w:t>
                  </w:r>
                </w:p>
              </w:tc>
              <w:tc>
                <w:tcPr>
                  <w:tcW w:w="1194" w:type="dxa"/>
                  <w:vAlign w:val="center"/>
                </w:tcPr>
                <w:p w14:paraId="3471D3C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超标</w:t>
                  </w:r>
                </w:p>
              </w:tc>
            </w:tr>
          </w:tbl>
          <w:p w14:paraId="69315868">
            <w:pPr>
              <w:pStyle w:val="2"/>
              <w:spacing w:after="0" w:line="360" w:lineRule="auto"/>
              <w:ind w:firstLine="422"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根据《苏州市空气质量持续改善行动计划实施方案》(2024年8月)：</w:t>
            </w:r>
          </w:p>
          <w:p w14:paraId="620DD653">
            <w:pPr>
              <w:pStyle w:val="2"/>
              <w:spacing w:after="0" w:line="360" w:lineRule="auto"/>
              <w:ind w:firstLine="422"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主要</w:t>
            </w:r>
            <w:r>
              <w:rPr>
                <w:rFonts w:hint="default" w:ascii="Times New Roman" w:hAnsi="Times New Roman" w:cs="Times New Roman"/>
                <w:b/>
                <w:bCs/>
                <w:color w:val="000000" w:themeColor="text1"/>
                <w:sz w:val="21"/>
                <w:szCs w:val="21"/>
                <w14:textFill>
                  <w14:solidFill>
                    <w14:schemeClr w14:val="tx1"/>
                  </w14:solidFill>
                </w14:textFill>
              </w:rPr>
              <w:t>目标：</w:t>
            </w:r>
            <w:r>
              <w:rPr>
                <w:rFonts w:hint="default" w:ascii="Times New Roman" w:hAnsi="Times New Roman" w:cs="Times New Roman"/>
                <w:b w:val="0"/>
                <w:bCs w:val="0"/>
                <w:color w:val="000000" w:themeColor="text1"/>
                <w:sz w:val="21"/>
                <w:szCs w:val="21"/>
                <w14:textFill>
                  <w14:solidFill>
                    <w14:schemeClr w14:val="tx1"/>
                  </w14:solidFill>
                </w14:textFill>
              </w:rPr>
              <w:t>力争到2</w:t>
            </w:r>
            <w:r>
              <w:rPr>
                <w:rFonts w:hint="default" w:ascii="Times New Roman" w:hAnsi="Times New Roman" w:cs="Times New Roman"/>
                <w:color w:val="000000" w:themeColor="text1"/>
                <w:sz w:val="21"/>
                <w:szCs w:val="21"/>
                <w14:textFill>
                  <w14:solidFill>
                    <w14:schemeClr w14:val="tx1"/>
                  </w14:solidFill>
                </w14:textFill>
              </w:rPr>
              <w:t>025年，全市PM</w:t>
            </w:r>
            <w:r>
              <w:rPr>
                <w:rFonts w:hint="default" w:ascii="Times New Roman" w:hAnsi="Times New Roman" w:cs="Times New Roman"/>
                <w:color w:val="000000" w:themeColor="text1"/>
                <w:sz w:val="21"/>
                <w:szCs w:val="21"/>
                <w:vertAlign w:val="subscript"/>
                <w14:textFill>
                  <w14:solidFill>
                    <w14:schemeClr w14:val="tx1"/>
                  </w14:solidFill>
                </w14:textFill>
              </w:rPr>
              <w:t>2.5</w:t>
            </w:r>
            <w:r>
              <w:rPr>
                <w:rFonts w:hint="default" w:ascii="Times New Roman" w:hAnsi="Times New Roman" w:cs="Times New Roman"/>
                <w:color w:val="000000" w:themeColor="text1"/>
                <w:sz w:val="21"/>
                <w:szCs w:val="21"/>
                <w14:textFill>
                  <w14:solidFill>
                    <w14:schemeClr w14:val="tx1"/>
                  </w14:solidFill>
                </w14:textFill>
              </w:rPr>
              <w:t>浓度稳定在30微克/立方米以下，重度及以上污染天数控制在1天以内；氮氧化物和VOCs排放总量比2020年分别下降10%以上，完成省下达的减排目标。</w:t>
            </w:r>
          </w:p>
          <w:p w14:paraId="3DABCE74">
            <w:pPr>
              <w:pStyle w:val="2"/>
              <w:spacing w:after="0" w:line="360" w:lineRule="auto"/>
              <w:ind w:firstLine="422" w:firstLineChars="20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实施方案</w:t>
            </w:r>
            <w:r>
              <w:rPr>
                <w:rFonts w:hint="default" w:ascii="Times New Roman" w:hAnsi="Times New Roman" w:cs="Times New Roman"/>
                <w:b/>
                <w:bCs/>
                <w:color w:val="000000" w:themeColor="text1"/>
                <w:sz w:val="21"/>
                <w:szCs w:val="21"/>
                <w14:textFill>
                  <w14:solidFill>
                    <w14:schemeClr w14:val="tx1"/>
                  </w14:solidFill>
                </w14:textFill>
              </w:rPr>
              <w:t>：</w:t>
            </w:r>
          </w:p>
          <w:p w14:paraId="66B318BA">
            <w:pPr>
              <w:pStyle w:val="2"/>
              <w:spacing w:after="0" w:line="360" w:lineRule="auto"/>
              <w:ind w:firstLine="422" w:firstLineChars="20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优化产业结构，促进产业绿色低碳升级</w:t>
            </w:r>
          </w:p>
          <w:p w14:paraId="1E073441">
            <w:pPr>
              <w:pStyle w:val="2"/>
              <w:spacing w:after="0" w:line="360" w:lineRule="auto"/>
              <w:ind w:firstLine="420" w:firstLineChars="200"/>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cs="Times New Roman"/>
                <w:b w:val="0"/>
                <w:bCs w:val="0"/>
                <w:color w:val="000000" w:themeColor="text1"/>
                <w:sz w:val="21"/>
                <w:szCs w:val="21"/>
                <w14:textFill>
                  <w14:solidFill>
                    <w14:schemeClr w14:val="tx1"/>
                  </w14:solidFill>
                </w14:textFill>
              </w:rPr>
              <w:t>坚决遏制高耗能、高排放、低水平项目盲目上马。按照省统一部署，落实“两高”项目管理目录相关要求。严禁核准或备案钢铁（炼钢、炼铁）、焦化、电解铝、水泥（熟料）、平板玻璃（不含光伏压延玻璃）和炼化（纳入国家产业规划除外）等行业新增产能的项目。到2025年，短流程炼钢产量占比力争达20%以上。</w:t>
            </w:r>
          </w:p>
          <w:p w14:paraId="651A54FD">
            <w:pPr>
              <w:pStyle w:val="2"/>
              <w:spacing w:after="0" w:line="360" w:lineRule="auto"/>
              <w:ind w:firstLine="420" w:firstLineChars="200"/>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w:t>
            </w:r>
            <w:r>
              <w:rPr>
                <w:rFonts w:hint="default" w:ascii="Times New Roman" w:hAnsi="Times New Roman" w:cs="Times New Roman"/>
                <w:b w:val="0"/>
                <w:bCs w:val="0"/>
                <w:color w:val="000000" w:themeColor="text1"/>
                <w:sz w:val="21"/>
                <w:szCs w:val="21"/>
                <w14:textFill>
                  <w14:solidFill>
                    <w14:schemeClr w14:val="tx1"/>
                  </w14:solidFill>
                </w14:textFill>
              </w:rPr>
              <w:t>加快退出重点行业落后产能。落实《产业结构调整指导目录》，逐步退出限制类涉气行业工艺和装备。逐步淘汰球团竖炉。</w:t>
            </w:r>
          </w:p>
          <w:p w14:paraId="695A111D">
            <w:pPr>
              <w:pStyle w:val="2"/>
              <w:spacing w:after="0" w:line="360" w:lineRule="auto"/>
              <w:ind w:firstLine="420" w:firstLineChars="200"/>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14:textFill>
                  <w14:solidFill>
                    <w14:schemeClr w14:val="tx1"/>
                  </w14:solidFill>
                </w14:textFill>
              </w:rPr>
              <w:t>推进园区、产业集群绿色低碳化改造与综合整治。针对现有产业集群制定专项整治方案或开展“回头看”，依法淘汰关停一批、搬迁入园一批、就地改造一批、做优做强一批。</w:t>
            </w:r>
          </w:p>
          <w:p w14:paraId="4D1A4587">
            <w:pPr>
              <w:pStyle w:val="2"/>
              <w:spacing w:after="0" w:line="360" w:lineRule="auto"/>
              <w:ind w:firstLine="420" w:firstLineChars="200"/>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cs="Times New Roman"/>
                <w:b w:val="0"/>
                <w:bCs w:val="0"/>
                <w:color w:val="000000" w:themeColor="text1"/>
                <w:sz w:val="21"/>
                <w:szCs w:val="21"/>
                <w14:textFill>
                  <w14:solidFill>
                    <w14:schemeClr w14:val="tx1"/>
                  </w14:solidFill>
                </w14:textFill>
              </w:rPr>
              <w:t>优化含VOCs原辅材料和产品结构。严格控制生产和使用高VOCs含量涂料、油墨、胶粘剂、清洗剂等建设项目。加大工业涂装、包装印刷和电子行业清洁原料替代力度。全面推进汽车整车制造底漆、中涂、色漆使用低VOCs含量涂料；在木质家具、汽车零部件、工程机械、钢结构、船舶制造等工业涂装、包装印刷和电子等行业工艺环节中，大力推广使用低VOCs含量涂料。鼓励和推进汽车4S店、大型汽修厂全水性涂料替代。</w:t>
            </w:r>
          </w:p>
          <w:p w14:paraId="4BEF8DD7">
            <w:pPr>
              <w:adjustRightInd w:val="0"/>
              <w:snapToGrid w:val="0"/>
              <w:spacing w:line="360" w:lineRule="auto"/>
              <w:ind w:firstLine="422" w:firstLineChars="20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优化能源结构，加快能源清洁低碳高效发展</w:t>
            </w:r>
          </w:p>
          <w:p w14:paraId="0BE77A8C">
            <w:pPr>
              <w:pStyle w:val="2"/>
              <w:spacing w:after="0" w:line="360" w:lineRule="auto"/>
              <w:ind w:firstLine="420" w:firstLineChars="200"/>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1"/>
                <w:szCs w:val="21"/>
                <w14:textFill>
                  <w14:solidFill>
                    <w14:schemeClr w14:val="tx1"/>
                  </w14:solidFill>
                </w14:textFill>
              </w:rPr>
              <w:t>大力发展新能源和清洁能源。到2025年，非化石能源消费比重达13%左右，电能占终端能源消费比重达34%左右。</w:t>
            </w:r>
          </w:p>
          <w:p w14:paraId="1397AD75">
            <w:pPr>
              <w:pStyle w:val="2"/>
              <w:spacing w:after="0" w:line="360" w:lineRule="auto"/>
              <w:ind w:firstLine="420" w:firstLineChars="200"/>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1"/>
                <w:szCs w:val="21"/>
                <w14:textFill>
                  <w14:solidFill>
                    <w14:schemeClr w14:val="tx1"/>
                  </w14:solidFill>
                </w14:textFill>
              </w:rPr>
              <w:t>严格合理控制煤炭消费总量。在保障能源安全供应的前提下，继续实施煤炭消费总量控制，鼓励发电向高效、清洁机组倾斜。到2025年，全市非电行业规上工业企业煤炭消费量较2020年下降3%左右。原则上不再新增自备燃煤机组，支持自备燃煤机组实施清洁能源替代。</w:t>
            </w:r>
          </w:p>
          <w:p w14:paraId="6AFAA65D">
            <w:pPr>
              <w:pStyle w:val="2"/>
              <w:spacing w:after="0" w:line="360" w:lineRule="auto"/>
              <w:ind w:firstLine="420" w:firstLineChars="200"/>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14:textFill>
                  <w14:solidFill>
                    <w14:schemeClr w14:val="tx1"/>
                  </w14:solidFill>
                </w14:textFill>
              </w:rPr>
              <w:t>持续降低重点领域能耗强度。未达到能耗强度降低基本目标进度要求的地区，在节能审查等环节对高耗能项目缓批限批。在建项目能效水平力争全面达到标杆水平。</w:t>
            </w:r>
          </w:p>
          <w:p w14:paraId="26F8BE9A">
            <w:pPr>
              <w:pStyle w:val="2"/>
              <w:spacing w:after="0" w:line="360" w:lineRule="auto"/>
              <w:ind w:firstLine="420" w:firstLineChars="200"/>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sz w:val="21"/>
                <w:szCs w:val="21"/>
                <w14:textFill>
                  <w14:solidFill>
                    <w14:schemeClr w14:val="tx1"/>
                  </w14:solidFill>
                </w14:textFill>
              </w:rPr>
              <w:t>推进燃煤锅炉关停整合和工业炉窑清洁能源替代。严格落实苏州市高污染燃料禁燃区规定要求，原则上不再新建高污染燃料设施。充分发挥30万千瓦及以上热电联产电厂的供热能力，有序推进其供热半径30公里范围内的落后燃煤小热电机组（含自备电厂）进行关停或整合。不再新增燃料类煤气发生炉，新改扩建加热炉、热处理炉、干燥炉、熔化炉原则上采用清洁低碳能源。</w:t>
            </w:r>
          </w:p>
          <w:p w14:paraId="1B2A27DA">
            <w:pPr>
              <w:pStyle w:val="2"/>
              <w:spacing w:after="0" w:line="360" w:lineRule="auto"/>
              <w:ind w:firstLine="422" w:firstLineChars="20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优化交通结构，大力发展绿色运输体系</w:t>
            </w:r>
          </w:p>
          <w:p w14:paraId="18347253">
            <w:pPr>
              <w:pStyle w:val="2"/>
              <w:spacing w:after="0" w:line="360" w:lineRule="auto"/>
              <w:ind w:firstLine="420" w:firstLineChars="200"/>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b w:val="0"/>
                <w:bCs w:val="0"/>
                <w:color w:val="000000" w:themeColor="text1"/>
                <w:sz w:val="21"/>
                <w:szCs w:val="21"/>
                <w14:textFill>
                  <w14:solidFill>
                    <w14:schemeClr w14:val="tx1"/>
                  </w14:solidFill>
                </w14:textFill>
              </w:rPr>
              <w:t>持续优化调整货物运输结构。到2025年，水路、铁路货运量分别达到800万和115万吨，铁路集装箱多式联运量年均增长8%以上；主要港口利用水路、铁路、封闭式皮带廊道、新能源汽车运输大宗货物比例总体达95%以上，铁矿石、焦炭等清洁运输（含新能源车）比例力争达到80%。按照省统一部署，充分挖掘城市铁路站场和线路资源，推进采取公铁联运等“外集内配”的物流方式。</w:t>
            </w:r>
          </w:p>
          <w:p w14:paraId="3C177B34">
            <w:pPr>
              <w:pStyle w:val="2"/>
              <w:spacing w:after="0" w:line="360" w:lineRule="auto"/>
              <w:ind w:firstLine="420" w:firstLineChars="200"/>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14:textFill>
                  <w14:solidFill>
                    <w14:schemeClr w14:val="tx1"/>
                  </w14:solidFill>
                </w14:textFill>
              </w:rPr>
              <w:t>加快提升机动车清洁化水平。公共领域新增或更新公交、出租、城市物流配送、轻型环卫等车辆中，新能源汽车比例不低于80%。持续推进淘汰国三及以下排放标准柴油货车。按照省统一部署，适时推进国四排放标准柴油货车淘汰。加快推进沿江港口码头、物流园区、用车大户车辆门禁监控系统建设，提高清洁运输比例。</w:t>
            </w:r>
          </w:p>
          <w:p w14:paraId="1A80013D">
            <w:pPr>
              <w:pStyle w:val="2"/>
              <w:spacing w:after="0" w:line="360" w:lineRule="auto"/>
              <w:ind w:firstLine="420" w:firstLineChars="200"/>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11、</w:t>
            </w:r>
            <w:r>
              <w:rPr>
                <w:rFonts w:hint="default" w:ascii="Times New Roman" w:hAnsi="Times New Roman" w:eastAsia="宋体" w:cs="Times New Roman"/>
                <w:b w:val="0"/>
                <w:bCs w:val="0"/>
                <w:color w:val="000000" w:themeColor="text1"/>
                <w:sz w:val="21"/>
                <w:szCs w:val="21"/>
                <w14:textFill>
                  <w14:solidFill>
                    <w14:schemeClr w14:val="tx1"/>
                  </w14:solidFill>
                </w14:textFill>
              </w:rPr>
              <w:t>强化非道路移动源综合治理。到2025年，基本淘汰第一阶段及以下排放标准的非道路移动机械，鼓励新增或更新的3吨以下叉车基本实现新能源化；大力提高岸电使用率，到2025年，主要港口和排放控制区内靠港船舶的岸电使用电量较2020年翻一番。</w:t>
            </w:r>
          </w:p>
          <w:p w14:paraId="17008D24">
            <w:pPr>
              <w:adjustRightInd w:val="0"/>
              <w:snapToGrid w:val="0"/>
              <w:spacing w:line="360" w:lineRule="auto"/>
              <w:ind w:firstLine="422" w:firstLineChars="20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强化面源污染治理，提升精细化管理水平</w:t>
            </w:r>
          </w:p>
          <w:p w14:paraId="1E8E8C3D">
            <w:pPr>
              <w:adjustRightInd w:val="0"/>
              <w:snapToGrid w:val="0"/>
              <w:spacing w:line="360" w:lineRule="auto"/>
              <w:ind w:firstLine="420" w:firstLineChars="200"/>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12、</w:t>
            </w:r>
            <w:r>
              <w:rPr>
                <w:rFonts w:hint="default" w:ascii="Times New Roman" w:hAnsi="Times New Roman" w:cs="Times New Roman"/>
                <w:b w:val="0"/>
                <w:bCs w:val="0"/>
                <w:color w:val="000000" w:themeColor="text1"/>
                <w:sz w:val="21"/>
                <w:szCs w:val="21"/>
                <w14:textFill>
                  <w14:solidFill>
                    <w14:schemeClr w14:val="tx1"/>
                  </w14:solidFill>
                </w14:textFill>
              </w:rPr>
              <w:t>加强扬尘精细化管控。积极打造“净美苏州”。推进5000平方米及以上建筑工地安装视频监控并接入当地监管平台。鼓励推广使用新能源渣土运输车辆。推广装配式施工，推进“全电工地”试点。</w:t>
            </w:r>
          </w:p>
          <w:p w14:paraId="77926346">
            <w:pPr>
              <w:adjustRightInd w:val="0"/>
              <w:snapToGrid w:val="0"/>
              <w:spacing w:line="360" w:lineRule="auto"/>
              <w:ind w:firstLine="420" w:firstLineChars="200"/>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13、</w:t>
            </w:r>
            <w:r>
              <w:rPr>
                <w:rFonts w:hint="default" w:ascii="Times New Roman" w:hAnsi="Times New Roman" w:cs="Times New Roman"/>
                <w:b w:val="0"/>
                <w:bCs w:val="0"/>
                <w:color w:val="000000" w:themeColor="text1"/>
                <w:sz w:val="21"/>
                <w:szCs w:val="21"/>
                <w14:textFill>
                  <w14:solidFill>
                    <w14:schemeClr w14:val="tx1"/>
                  </w14:solidFill>
                </w14:textFill>
              </w:rPr>
              <w:t>加强秸秆综合利用和禁烧。到2025年，全市农作物秸秆综合利用率稳定达到95%以上。禁止露天焚烧秸秆。综合运用卫星遥感、高清视频监控、无人机等手段，提高秸秆焚烧火点监测及巡查精准度。</w:t>
            </w:r>
          </w:p>
          <w:p w14:paraId="4088311A">
            <w:pPr>
              <w:adjustRightInd w:val="0"/>
              <w:snapToGrid w:val="0"/>
              <w:spacing w:line="360" w:lineRule="auto"/>
              <w:ind w:firstLine="420" w:firstLineChars="20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14、</w:t>
            </w:r>
            <w:r>
              <w:rPr>
                <w:rFonts w:hint="default" w:ascii="Times New Roman" w:hAnsi="Times New Roman" w:cs="Times New Roman"/>
                <w:b w:val="0"/>
                <w:bCs w:val="0"/>
                <w:color w:val="000000" w:themeColor="text1"/>
                <w:sz w:val="21"/>
                <w:szCs w:val="21"/>
                <w14:textFill>
                  <w14:solidFill>
                    <w14:schemeClr w14:val="tx1"/>
                  </w14:solidFill>
                </w14:textFill>
              </w:rPr>
              <w:t>加强烟花爆竹禁放管理。加强重点时段、重大节假日烟花爆竹禁放，严格烟花爆竹销售、运输、存储等环节监管，严厉打击非法烟花爆竹销售点。加大烟花爆竹禁放巡查力度，及时发现和查处非法燃放行为。吴江区、吴中区、相城区2024年底前完成烟花爆竹禁放区优化调整。</w:t>
            </w:r>
          </w:p>
          <w:p w14:paraId="6E7CF80A">
            <w:pPr>
              <w:adjustRightInd w:val="0"/>
              <w:snapToGrid w:val="0"/>
              <w:spacing w:line="360" w:lineRule="auto"/>
              <w:ind w:firstLine="422" w:firstLineChars="20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强化多污染物减排，切实降低排放强度</w:t>
            </w:r>
          </w:p>
          <w:p w14:paraId="1AEBBAEF">
            <w:pPr>
              <w:adjustRightInd w:val="0"/>
              <w:snapToGrid w:val="0"/>
              <w:spacing w:line="360" w:lineRule="auto"/>
              <w:ind w:firstLine="420" w:firstLineChars="200"/>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15、</w:t>
            </w:r>
            <w:r>
              <w:rPr>
                <w:rFonts w:hint="default" w:ascii="Times New Roman" w:hAnsi="Times New Roman" w:cs="Times New Roman"/>
                <w:b w:val="0"/>
                <w:bCs w:val="0"/>
                <w:color w:val="000000" w:themeColor="text1"/>
                <w:sz w:val="21"/>
                <w:szCs w:val="21"/>
                <w14:textFill>
                  <w14:solidFill>
                    <w14:schemeClr w14:val="tx1"/>
                  </w14:solidFill>
                </w14:textFill>
              </w:rPr>
              <w:t>强化VOCs全流程、全环节综合治理。鼓励储罐使用低泄漏的呼吸阀、紧急泄压阀，定期开展密封性检测。重点工业园区建立分环节、分物种管控清单，实施高排放关键活性物种“指纹化”监测监控和靶向治理。参照乡镇（街道）VOCs治理管家驻点服务模式，全面强化园区VOCs常态化排查整治。到2025年，重点工业园区VOCs浓度比2021年下降20%。</w:t>
            </w:r>
          </w:p>
          <w:p w14:paraId="534546F8">
            <w:pPr>
              <w:adjustRightInd w:val="0"/>
              <w:snapToGrid w:val="0"/>
              <w:spacing w:line="360" w:lineRule="auto"/>
              <w:ind w:firstLine="420" w:firstLineChars="200"/>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16、</w:t>
            </w:r>
            <w:r>
              <w:rPr>
                <w:rFonts w:hint="default" w:ascii="Times New Roman" w:hAnsi="Times New Roman" w:cs="Times New Roman"/>
                <w:b w:val="0"/>
                <w:bCs w:val="0"/>
                <w:color w:val="000000" w:themeColor="text1"/>
                <w:sz w:val="21"/>
                <w:szCs w:val="21"/>
                <w14:textFill>
                  <w14:solidFill>
                    <w14:schemeClr w14:val="tx1"/>
                  </w14:solidFill>
                </w14:textFill>
              </w:rPr>
              <w:t>推进重点行业超低排放与提标改造。有序推进铸造、垃圾焚烧发电、玻璃、有色、石灰、矿棉等行业深度治理。持续推进煤电机组深度脱硝改造，力争2024年底前完成单机10万千瓦及以上煤电机组深度脱硝改造任务。到2025年底，全市水泥企业基本完成超低排放改造。实施重点行业绩效等级提升行动。</w:t>
            </w:r>
          </w:p>
          <w:p w14:paraId="4D2D6EE4">
            <w:pPr>
              <w:adjustRightInd w:val="0"/>
              <w:snapToGrid w:val="0"/>
              <w:spacing w:line="360" w:lineRule="auto"/>
              <w:ind w:firstLine="420" w:firstLineChars="200"/>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17、</w:t>
            </w:r>
            <w:r>
              <w:rPr>
                <w:rFonts w:hint="default" w:ascii="Times New Roman" w:hAnsi="Times New Roman" w:cs="Times New Roman"/>
                <w:b w:val="0"/>
                <w:bCs w:val="0"/>
                <w:color w:val="000000" w:themeColor="text1"/>
                <w:sz w:val="21"/>
                <w:szCs w:val="21"/>
                <w14:textFill>
                  <w14:solidFill>
                    <w14:schemeClr w14:val="tx1"/>
                  </w14:solidFill>
                </w14:textFill>
              </w:rPr>
              <w:t>开展餐饮油烟、恶臭异味专项治理。加强部门联动，因地制宜解决人民群众反映集中的油烟和恶臭扰民问题。严格居民楼附近餐饮服务单位布局管理。拟开设餐饮服务单位的建筑应设计建设专用烟道。推广使用餐饮油烟“码上洗”，着力解决油烟净化设施清洗不及时、油烟异味扰民等问题。建立重点园区“嗅辨+监测”异味溯源机制。</w:t>
            </w:r>
          </w:p>
          <w:p w14:paraId="3338405F">
            <w:pPr>
              <w:adjustRightInd w:val="0"/>
              <w:snapToGrid w:val="0"/>
              <w:spacing w:line="360" w:lineRule="auto"/>
              <w:ind w:firstLine="420" w:firstLineChars="200"/>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18、</w:t>
            </w:r>
            <w:r>
              <w:rPr>
                <w:rFonts w:hint="default" w:ascii="Times New Roman" w:hAnsi="Times New Roman" w:cs="Times New Roman"/>
                <w:b w:val="0"/>
                <w:bCs w:val="0"/>
                <w:color w:val="000000" w:themeColor="text1"/>
                <w:sz w:val="21"/>
                <w:szCs w:val="21"/>
                <w14:textFill>
                  <w14:solidFill>
                    <w14:schemeClr w14:val="tx1"/>
                  </w14:solidFill>
                </w14:textFill>
              </w:rPr>
              <w:t>稳步推进大气氨污染防控。推广氮肥机械深施和低蛋白日粮技术。到2025年，全市化肥使用总量较2020年削减3%，畜禽粪污综合利用率稳定在95%左右。加强氮肥、纯碱等行业大气氨排放治理。强化工业源烟气脱硫脱硝氨逃逸防控。</w:t>
            </w:r>
          </w:p>
          <w:p w14:paraId="08406B0E">
            <w:pPr>
              <w:adjustRightInd w:val="0"/>
              <w:snapToGrid w:val="0"/>
              <w:spacing w:line="360" w:lineRule="auto"/>
              <w:ind w:firstLine="422" w:firstLineChars="20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加强机制建设，完善大气环境管理体系</w:t>
            </w:r>
          </w:p>
          <w:p w14:paraId="75F71968">
            <w:pPr>
              <w:adjustRightInd w:val="0"/>
              <w:snapToGrid w:val="0"/>
              <w:spacing w:line="360" w:lineRule="auto"/>
              <w:ind w:firstLine="420" w:firstLineChars="200"/>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19、</w:t>
            </w:r>
            <w:r>
              <w:rPr>
                <w:rFonts w:hint="default" w:ascii="Times New Roman" w:hAnsi="Times New Roman" w:cs="Times New Roman"/>
                <w:b w:val="0"/>
                <w:bCs w:val="0"/>
                <w:color w:val="000000" w:themeColor="text1"/>
                <w:sz w:val="21"/>
                <w:szCs w:val="21"/>
                <w14:textFill>
                  <w14:solidFill>
                    <w14:schemeClr w14:val="tx1"/>
                  </w14:solidFill>
                </w14:textFill>
              </w:rPr>
              <w:t>实施区域联防联控和城市空气质量达标管理。按照省统一部署，积极推进长三角区域等大气污染联防联控机制建设。落实苏州市空气质量改善达标规划，进一步巩固改善空气质量。</w:t>
            </w:r>
          </w:p>
          <w:p w14:paraId="589A1968">
            <w:pPr>
              <w:pStyle w:val="39"/>
              <w:spacing w:line="360" w:lineRule="auto"/>
              <w:ind w:firstLine="420" w:firstLineChars="20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20、</w:t>
            </w:r>
            <w:r>
              <w:rPr>
                <w:rFonts w:hint="default" w:ascii="Times New Roman" w:hAnsi="Times New Roman" w:cs="Times New Roman"/>
                <w:b w:val="0"/>
                <w:bCs w:val="0"/>
                <w:color w:val="000000" w:themeColor="text1"/>
                <w:sz w:val="21"/>
                <w:szCs w:val="21"/>
                <w14:textFill>
                  <w14:solidFill>
                    <w14:schemeClr w14:val="tx1"/>
                  </w14:solidFill>
                </w14:textFill>
              </w:rPr>
              <w:t>完善重污染天气应对机制。健全和完善污染过程预警应急响应机制，修订完善《苏州市重污染天气应急预案》，加强预报预警能力建设，优化预警流程，实现“分级预警、及时响应”。结合排污许可制度，确保应急减排清单覆盖所有涉气企业。各地要按照区域预警提示信息，依法依规同步采取应急响应措施</w:t>
            </w:r>
            <w:r>
              <w:rPr>
                <w:rFonts w:hint="default" w:ascii="Times New Roman" w:hAnsi="Times New Roman" w:eastAsia="宋体" w:cs="Times New Roman"/>
                <w:b w:val="0"/>
                <w:bCs/>
                <w:color w:val="000000" w:themeColor="text1"/>
                <w:sz w:val="21"/>
                <w:szCs w:val="21"/>
                <w14:textFill>
                  <w14:solidFill>
                    <w14:schemeClr w14:val="tx1"/>
                  </w14:solidFill>
                </w14:textFill>
              </w:rPr>
              <w:t xml:space="preserve">。 </w:t>
            </w:r>
          </w:p>
          <w:p w14:paraId="4A30C774">
            <w:pPr>
              <w:adjustRightInd w:val="0"/>
              <w:snapToGrid w:val="0"/>
              <w:spacing w:line="420" w:lineRule="exact"/>
              <w:ind w:firstLine="422" w:firstLineChars="20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（2）</w:t>
            </w:r>
            <w:r>
              <w:rPr>
                <w:rFonts w:hint="eastAsia"/>
                <w:b/>
                <w:color w:val="000000" w:themeColor="text1"/>
                <w:szCs w:val="21"/>
                <w:lang w:val="en-US" w:eastAsia="zh-CN"/>
                <w14:textFill>
                  <w14:solidFill>
                    <w14:schemeClr w14:val="tx1"/>
                  </w14:solidFill>
                </w14:textFill>
              </w:rPr>
              <w:t>环境空气</w:t>
            </w:r>
            <w:r>
              <w:rPr>
                <w:rFonts w:hint="eastAsia"/>
                <w:b/>
                <w:bCs/>
                <w:color w:val="000000" w:themeColor="text1"/>
                <w14:textFill>
                  <w14:solidFill>
                    <w14:schemeClr w14:val="tx1"/>
                  </w14:solidFill>
                </w14:textFill>
              </w:rPr>
              <w:t>非甲烷总烃</w:t>
            </w:r>
          </w:p>
          <w:p w14:paraId="4DDF5A03">
            <w:pPr>
              <w:adjustRightInd w:val="0"/>
              <w:snapToGrid w:val="0"/>
              <w:spacing w:line="420" w:lineRule="exact"/>
              <w:ind w:firstLine="420" w:firstLineChars="200"/>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本项目</w:t>
            </w:r>
            <w:r>
              <w:rPr>
                <w:bCs/>
                <w:color w:val="000000" w:themeColor="text1"/>
                <w:szCs w:val="21"/>
                <w:highlight w:val="none"/>
                <w14:textFill>
                  <w14:solidFill>
                    <w14:schemeClr w14:val="tx1"/>
                  </w14:solidFill>
                </w14:textFill>
              </w:rPr>
              <w:t>排放非甲烷总烃</w:t>
            </w:r>
            <w:r>
              <w:rPr>
                <w:rFonts w:hint="eastAsia"/>
                <w:bCs/>
                <w:color w:val="000000" w:themeColor="text1"/>
                <w:szCs w:val="21"/>
                <w:highlight w:val="none"/>
                <w14:textFill>
                  <w14:solidFill>
                    <w14:schemeClr w14:val="tx1"/>
                  </w14:solidFill>
                </w14:textFill>
              </w:rPr>
              <w:t>，非甲烷总烃环境空气质量浓度数据引用常熟高新技术产业开发区（东南街道）环境影响评价区域评估报告中环境质量现状监测点位G7三菱电机汽车部件（中国）有限公司</w:t>
            </w:r>
            <w:r>
              <w:rPr>
                <w:rFonts w:hint="eastAsia"/>
                <w:bCs/>
                <w:color w:val="000000" w:themeColor="text1"/>
                <w:szCs w:val="21"/>
                <w:highlight w:val="none"/>
                <w:lang w:val="en-US" w:eastAsia="zh-CN"/>
                <w14:textFill>
                  <w14:solidFill>
                    <w14:schemeClr w14:val="tx1"/>
                  </w14:solidFill>
                </w14:textFill>
              </w:rPr>
              <w:t>的</w:t>
            </w:r>
            <w:r>
              <w:rPr>
                <w:rFonts w:hint="eastAsia"/>
                <w:bCs/>
                <w:color w:val="000000" w:themeColor="text1"/>
                <w:szCs w:val="21"/>
                <w:highlight w:val="none"/>
                <w14:textFill>
                  <w14:solidFill>
                    <w14:schemeClr w14:val="tx1"/>
                  </w14:solidFill>
                </w14:textFill>
              </w:rPr>
              <w:t>非甲烷总烃监测数据（江苏迈斯特环境检测有限公司MST20231120041-1），监测点</w:t>
            </w:r>
            <w:r>
              <w:rPr>
                <w:rFonts w:hint="eastAsia"/>
                <w:bCs/>
                <w:color w:val="000000" w:themeColor="text1"/>
                <w:szCs w:val="21"/>
                <w:highlight w:val="none"/>
                <w:lang w:eastAsia="zh-CN"/>
                <w14:textFill>
                  <w14:solidFill>
                    <w14:schemeClr w14:val="tx1"/>
                  </w14:solidFill>
                </w14:textFill>
              </w:rPr>
              <w:t>三菱电机汽车部件(中国)有限公司</w:t>
            </w:r>
            <w:r>
              <w:rPr>
                <w:rFonts w:hint="eastAsia"/>
                <w:bCs/>
                <w:color w:val="000000" w:themeColor="text1"/>
                <w:szCs w:val="21"/>
                <w:highlight w:val="none"/>
                <w14:textFill>
                  <w14:solidFill>
                    <w14:schemeClr w14:val="tx1"/>
                  </w14:solidFill>
                </w14:textFill>
              </w:rPr>
              <w:t>位于本项目东</w:t>
            </w:r>
            <w:r>
              <w:rPr>
                <w:rFonts w:hint="eastAsia"/>
                <w:bCs/>
                <w:color w:val="000000" w:themeColor="text1"/>
                <w:szCs w:val="21"/>
                <w:highlight w:val="none"/>
                <w:lang w:val="en-US" w:eastAsia="zh-CN"/>
                <w14:textFill>
                  <w14:solidFill>
                    <w14:schemeClr w14:val="tx1"/>
                  </w14:solidFill>
                </w14:textFill>
              </w:rPr>
              <w:t>南</w:t>
            </w:r>
            <w:r>
              <w:rPr>
                <w:rFonts w:hint="eastAsia"/>
                <w:bCs/>
                <w:color w:val="000000" w:themeColor="text1"/>
                <w:szCs w:val="21"/>
                <w:highlight w:val="none"/>
                <w14:textFill>
                  <w14:solidFill>
                    <w14:schemeClr w14:val="tx1"/>
                  </w14:solidFill>
                </w14:textFill>
              </w:rPr>
              <w:t>侧约</w:t>
            </w:r>
            <w:r>
              <w:rPr>
                <w:rFonts w:hint="eastAsia"/>
                <w:bCs/>
                <w:color w:val="000000" w:themeColor="text1"/>
                <w:szCs w:val="21"/>
                <w:highlight w:val="none"/>
                <w:lang w:val="en-US" w:eastAsia="zh-CN"/>
                <w14:textFill>
                  <w14:solidFill>
                    <w14:schemeClr w14:val="tx1"/>
                  </w14:solidFill>
                </w14:textFill>
              </w:rPr>
              <w:t>3332</w:t>
            </w:r>
            <w:r>
              <w:rPr>
                <w:rFonts w:hint="eastAsia"/>
                <w:bCs/>
                <w:color w:val="000000" w:themeColor="text1"/>
                <w:szCs w:val="21"/>
                <w:highlight w:val="none"/>
                <w14:textFill>
                  <w14:solidFill>
                    <w14:schemeClr w14:val="tx1"/>
                  </w14:solidFill>
                </w14:textFill>
              </w:rPr>
              <w:t>m处。具体监测点位和监测结果见下图、下表</w:t>
            </w:r>
            <w:r>
              <w:rPr>
                <w:rFonts w:hint="eastAsia"/>
                <w:color w:val="000000" w:themeColor="text1"/>
                <w:highlight w:val="none"/>
                <w14:textFill>
                  <w14:solidFill>
                    <w14:schemeClr w14:val="tx1"/>
                  </w14:solidFill>
                </w14:textFill>
              </w:rPr>
              <w:t>。</w:t>
            </w:r>
          </w:p>
          <w:p w14:paraId="1DA50B9E">
            <w:pPr>
              <w:adjustRightInd w:val="0"/>
              <w:snapToGrid w:val="0"/>
              <w:spacing w:line="420" w:lineRule="exact"/>
              <w:ind w:firstLine="420" w:firstLineChars="200"/>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①监测点位和监测因子</w:t>
            </w:r>
          </w:p>
          <w:p w14:paraId="3AC2E2E5">
            <w:pPr>
              <w:pStyle w:val="77"/>
              <w:spacing w:before="0"/>
              <w:rPr>
                <w:color w:val="000000" w:themeColor="text1"/>
                <w:sz w:val="24"/>
                <w:highlight w:val="none"/>
                <w14:textFill>
                  <w14:solidFill>
                    <w14:schemeClr w14:val="tx1"/>
                  </w14:solidFill>
                </w14:textFill>
              </w:rPr>
            </w:pPr>
            <w:r>
              <w:rPr>
                <w:color w:val="000000" w:themeColor="text1"/>
                <w:szCs w:val="21"/>
                <w:highlight w:val="none"/>
                <w14:textFill>
                  <w14:solidFill>
                    <w14:schemeClr w14:val="tx1"/>
                  </w14:solidFill>
                </w14:textFill>
              </w:rPr>
              <w:t>表3.</w:t>
            </w:r>
            <w:r>
              <w:rPr>
                <w:rFonts w:hint="eastAsia"/>
                <w:color w:val="000000" w:themeColor="text1"/>
                <w:szCs w:val="21"/>
                <w:highlight w:val="none"/>
                <w14:textFill>
                  <w14:solidFill>
                    <w14:schemeClr w14:val="tx1"/>
                  </w14:solidFill>
                </w14:textFill>
              </w:rPr>
              <w:t>1</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2</w:t>
            </w:r>
            <w:r>
              <w:rPr>
                <w:color w:val="000000" w:themeColor="text1"/>
                <w:szCs w:val="21"/>
                <w:highlight w:val="none"/>
                <w14:textFill>
                  <w14:solidFill>
                    <w14:schemeClr w14:val="tx1"/>
                  </w14:solidFill>
                </w14:textFill>
              </w:rPr>
              <w:t>特征污染物大气环境现状监测点位</w:t>
            </w:r>
          </w:p>
          <w:tbl>
            <w:tblPr>
              <w:tblStyle w:val="22"/>
              <w:tblW w:w="83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1320"/>
              <w:gridCol w:w="1260"/>
              <w:gridCol w:w="1328"/>
              <w:gridCol w:w="1305"/>
              <w:gridCol w:w="884"/>
              <w:gridCol w:w="884"/>
            </w:tblGrid>
            <w:tr w14:paraId="10D47F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1" w:type="pct"/>
                  <w:vMerge w:val="restart"/>
                  <w:tcBorders>
                    <w:tl2br w:val="nil"/>
                    <w:tr2bl w:val="nil"/>
                  </w:tcBorders>
                  <w:noWrap/>
                  <w:vAlign w:val="center"/>
                </w:tcPr>
                <w:p w14:paraId="0D3EA7BE">
                  <w:pPr>
                    <w:pStyle w:val="37"/>
                    <w:spacing w:before="24" w:after="24" w:line="240" w:lineRule="auto"/>
                    <w:rPr>
                      <w:rFonts w:ascii="Times New Roman"/>
                      <w:b/>
                      <w:bCs/>
                      <w:color w:val="000000" w:themeColor="text1"/>
                      <w:szCs w:val="21"/>
                      <w:highlight w:val="none"/>
                      <w14:textFill>
                        <w14:solidFill>
                          <w14:schemeClr w14:val="tx1"/>
                        </w14:solidFill>
                      </w14:textFill>
                    </w:rPr>
                  </w:pPr>
                  <w:r>
                    <w:rPr>
                      <w:rFonts w:ascii="Times New Roman"/>
                      <w:b/>
                      <w:bCs/>
                      <w:color w:val="000000" w:themeColor="text1"/>
                      <w:szCs w:val="21"/>
                      <w:highlight w:val="none"/>
                      <w14:textFill>
                        <w14:solidFill>
                          <w14:schemeClr w14:val="tx1"/>
                        </w14:solidFill>
                      </w14:textFill>
                    </w:rPr>
                    <w:t>监测点名称</w:t>
                  </w:r>
                </w:p>
              </w:tc>
              <w:tc>
                <w:tcPr>
                  <w:tcW w:w="1540" w:type="pct"/>
                  <w:gridSpan w:val="2"/>
                  <w:tcBorders>
                    <w:tl2br w:val="nil"/>
                    <w:tr2bl w:val="nil"/>
                  </w:tcBorders>
                  <w:noWrap/>
                  <w:vAlign w:val="center"/>
                </w:tcPr>
                <w:p w14:paraId="64C8B522">
                  <w:pPr>
                    <w:pStyle w:val="37"/>
                    <w:spacing w:before="24" w:after="24" w:line="240" w:lineRule="auto"/>
                    <w:rPr>
                      <w:rFonts w:ascii="Times New Roman"/>
                      <w:b/>
                      <w:bCs/>
                      <w:color w:val="000000" w:themeColor="text1"/>
                      <w:szCs w:val="21"/>
                      <w:highlight w:val="none"/>
                      <w14:textFill>
                        <w14:solidFill>
                          <w14:schemeClr w14:val="tx1"/>
                        </w14:solidFill>
                      </w14:textFill>
                    </w:rPr>
                  </w:pPr>
                  <w:r>
                    <w:rPr>
                      <w:rFonts w:ascii="Times New Roman"/>
                      <w:b/>
                      <w:bCs/>
                      <w:color w:val="000000" w:themeColor="text1"/>
                      <w:szCs w:val="21"/>
                      <w:highlight w:val="none"/>
                      <w14:textFill>
                        <w14:solidFill>
                          <w14:schemeClr w14:val="tx1"/>
                        </w14:solidFill>
                      </w14:textFill>
                    </w:rPr>
                    <w:t>监测点坐标</w:t>
                  </w:r>
                  <w:r>
                    <w:rPr>
                      <w:rFonts w:hint="eastAsia" w:ascii="Times New Roman"/>
                      <w:b/>
                      <w:bCs/>
                      <w:color w:val="000000" w:themeColor="text1"/>
                      <w:szCs w:val="21"/>
                      <w:highlight w:val="none"/>
                      <w14:textFill>
                        <w14:solidFill>
                          <w14:schemeClr w14:val="tx1"/>
                        </w14:solidFill>
                      </w14:textFill>
                    </w:rPr>
                    <w:t>/°</w:t>
                  </w:r>
                </w:p>
              </w:tc>
              <w:tc>
                <w:tcPr>
                  <w:tcW w:w="792" w:type="pct"/>
                  <w:vMerge w:val="restart"/>
                  <w:tcBorders>
                    <w:tl2br w:val="nil"/>
                    <w:tr2bl w:val="nil"/>
                  </w:tcBorders>
                  <w:noWrap/>
                  <w:vAlign w:val="center"/>
                </w:tcPr>
                <w:p w14:paraId="2B3CC68B">
                  <w:pPr>
                    <w:pStyle w:val="37"/>
                    <w:spacing w:before="24" w:after="24" w:line="240" w:lineRule="auto"/>
                    <w:rPr>
                      <w:rFonts w:ascii="Times New Roman"/>
                      <w:b/>
                      <w:bCs/>
                      <w:color w:val="000000" w:themeColor="text1"/>
                      <w:kern w:val="2"/>
                      <w:szCs w:val="21"/>
                      <w:highlight w:val="none"/>
                      <w14:textFill>
                        <w14:solidFill>
                          <w14:schemeClr w14:val="tx1"/>
                        </w14:solidFill>
                      </w14:textFill>
                    </w:rPr>
                  </w:pPr>
                  <w:r>
                    <w:rPr>
                      <w:rFonts w:ascii="Times New Roman"/>
                      <w:b/>
                      <w:bCs/>
                      <w:color w:val="000000" w:themeColor="text1"/>
                      <w:szCs w:val="21"/>
                      <w:highlight w:val="none"/>
                      <w14:textFill>
                        <w14:solidFill>
                          <w14:schemeClr w14:val="tx1"/>
                        </w14:solidFill>
                      </w14:textFill>
                    </w:rPr>
                    <w:t>监测因子</w:t>
                  </w:r>
                </w:p>
              </w:tc>
              <w:tc>
                <w:tcPr>
                  <w:tcW w:w="779" w:type="pct"/>
                  <w:vMerge w:val="restart"/>
                  <w:tcBorders>
                    <w:tl2br w:val="nil"/>
                    <w:tr2bl w:val="nil"/>
                  </w:tcBorders>
                  <w:noWrap/>
                  <w:vAlign w:val="center"/>
                </w:tcPr>
                <w:p w14:paraId="2681D604">
                  <w:pPr>
                    <w:pStyle w:val="37"/>
                    <w:spacing w:before="24" w:after="24" w:line="240" w:lineRule="auto"/>
                    <w:rPr>
                      <w:rFonts w:ascii="Times New Roman"/>
                      <w:b/>
                      <w:bCs/>
                      <w:color w:val="000000" w:themeColor="text1"/>
                      <w:szCs w:val="21"/>
                      <w:highlight w:val="none"/>
                      <w14:textFill>
                        <w14:solidFill>
                          <w14:schemeClr w14:val="tx1"/>
                        </w14:solidFill>
                      </w14:textFill>
                    </w:rPr>
                  </w:pPr>
                  <w:r>
                    <w:rPr>
                      <w:rFonts w:ascii="Times New Roman"/>
                      <w:b/>
                      <w:bCs/>
                      <w:color w:val="000000" w:themeColor="text1"/>
                      <w:szCs w:val="21"/>
                      <w:highlight w:val="none"/>
                      <w14:textFill>
                        <w14:solidFill>
                          <w14:schemeClr w14:val="tx1"/>
                        </w14:solidFill>
                      </w14:textFill>
                    </w:rPr>
                    <w:t>监测时段</w:t>
                  </w:r>
                </w:p>
              </w:tc>
              <w:tc>
                <w:tcPr>
                  <w:tcW w:w="527" w:type="pct"/>
                  <w:vMerge w:val="restart"/>
                  <w:tcBorders>
                    <w:tl2br w:val="nil"/>
                    <w:tr2bl w:val="nil"/>
                  </w:tcBorders>
                  <w:noWrap/>
                  <w:vAlign w:val="center"/>
                </w:tcPr>
                <w:p w14:paraId="39ECB768">
                  <w:pPr>
                    <w:pStyle w:val="37"/>
                    <w:spacing w:before="24" w:after="24" w:line="240" w:lineRule="auto"/>
                    <w:rPr>
                      <w:rFonts w:ascii="Times New Roman"/>
                      <w:b/>
                      <w:bCs/>
                      <w:color w:val="000000" w:themeColor="text1"/>
                      <w:szCs w:val="21"/>
                      <w:highlight w:val="none"/>
                      <w14:textFill>
                        <w14:solidFill>
                          <w14:schemeClr w14:val="tx1"/>
                        </w14:solidFill>
                      </w14:textFill>
                    </w:rPr>
                  </w:pPr>
                  <w:r>
                    <w:rPr>
                      <w:rFonts w:ascii="Times New Roman"/>
                      <w:b/>
                      <w:bCs/>
                      <w:color w:val="000000" w:themeColor="text1"/>
                      <w:szCs w:val="21"/>
                      <w:highlight w:val="none"/>
                      <w14:textFill>
                        <w14:solidFill>
                          <w14:schemeClr w14:val="tx1"/>
                        </w14:solidFill>
                      </w14:textFill>
                    </w:rPr>
                    <w:t>相对</w:t>
                  </w:r>
                  <w:r>
                    <w:rPr>
                      <w:rFonts w:hint="eastAsia" w:ascii="Times New Roman"/>
                      <w:b/>
                      <w:bCs/>
                      <w:color w:val="000000" w:themeColor="text1"/>
                      <w:szCs w:val="21"/>
                      <w:highlight w:val="none"/>
                      <w14:textFill>
                        <w14:solidFill>
                          <w14:schemeClr w14:val="tx1"/>
                        </w14:solidFill>
                      </w14:textFill>
                    </w:rPr>
                    <w:t>本项目</w:t>
                  </w:r>
                  <w:r>
                    <w:rPr>
                      <w:rFonts w:ascii="Times New Roman"/>
                      <w:b/>
                      <w:bCs/>
                      <w:color w:val="000000" w:themeColor="text1"/>
                      <w:szCs w:val="21"/>
                      <w:highlight w:val="none"/>
                      <w14:textFill>
                        <w14:solidFill>
                          <w14:schemeClr w14:val="tx1"/>
                        </w14:solidFill>
                      </w14:textFill>
                    </w:rPr>
                    <w:t>厂址方位</w:t>
                  </w:r>
                </w:p>
              </w:tc>
              <w:tc>
                <w:tcPr>
                  <w:tcW w:w="527" w:type="pct"/>
                  <w:vMerge w:val="restart"/>
                  <w:tcBorders>
                    <w:tl2br w:val="nil"/>
                    <w:tr2bl w:val="nil"/>
                  </w:tcBorders>
                  <w:noWrap/>
                  <w:vAlign w:val="center"/>
                </w:tcPr>
                <w:p w14:paraId="2D2297B2">
                  <w:pPr>
                    <w:pStyle w:val="37"/>
                    <w:spacing w:before="24" w:after="24" w:line="240" w:lineRule="auto"/>
                    <w:rPr>
                      <w:rFonts w:ascii="Times New Roman"/>
                      <w:b/>
                      <w:bCs/>
                      <w:color w:val="000000" w:themeColor="text1"/>
                      <w:szCs w:val="21"/>
                      <w:highlight w:val="none"/>
                      <w14:textFill>
                        <w14:solidFill>
                          <w14:schemeClr w14:val="tx1"/>
                        </w14:solidFill>
                      </w14:textFill>
                    </w:rPr>
                  </w:pPr>
                  <w:r>
                    <w:rPr>
                      <w:rFonts w:ascii="Times New Roman"/>
                      <w:b/>
                      <w:bCs/>
                      <w:color w:val="000000" w:themeColor="text1"/>
                      <w:szCs w:val="21"/>
                      <w:highlight w:val="none"/>
                      <w14:textFill>
                        <w14:solidFill>
                          <w14:schemeClr w14:val="tx1"/>
                        </w14:solidFill>
                      </w14:textFill>
                    </w:rPr>
                    <w:t>相对</w:t>
                  </w:r>
                  <w:r>
                    <w:rPr>
                      <w:rFonts w:hint="eastAsia" w:ascii="Times New Roman"/>
                      <w:b/>
                      <w:bCs/>
                      <w:color w:val="000000" w:themeColor="text1"/>
                      <w:szCs w:val="21"/>
                      <w:highlight w:val="none"/>
                      <w14:textFill>
                        <w14:solidFill>
                          <w14:schemeClr w14:val="tx1"/>
                        </w14:solidFill>
                      </w14:textFill>
                    </w:rPr>
                    <w:t>本项目</w:t>
                  </w:r>
                  <w:r>
                    <w:rPr>
                      <w:rFonts w:ascii="Times New Roman"/>
                      <w:b/>
                      <w:bCs/>
                      <w:color w:val="000000" w:themeColor="text1"/>
                      <w:szCs w:val="21"/>
                      <w:highlight w:val="none"/>
                      <w14:textFill>
                        <w14:solidFill>
                          <w14:schemeClr w14:val="tx1"/>
                        </w14:solidFill>
                      </w14:textFill>
                    </w:rPr>
                    <w:t>厂界距离</w:t>
                  </w:r>
                </w:p>
              </w:tc>
            </w:tr>
            <w:tr w14:paraId="09765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1" w:type="pct"/>
                  <w:vMerge w:val="continue"/>
                  <w:tcBorders>
                    <w:tl2br w:val="nil"/>
                    <w:tr2bl w:val="nil"/>
                  </w:tcBorders>
                  <w:noWrap/>
                  <w:vAlign w:val="center"/>
                </w:tcPr>
                <w:p w14:paraId="5CE14084">
                  <w:pPr>
                    <w:pStyle w:val="37"/>
                    <w:spacing w:before="24" w:after="24" w:line="240" w:lineRule="auto"/>
                    <w:rPr>
                      <w:rFonts w:ascii="Times New Roman"/>
                      <w:color w:val="000000" w:themeColor="text1"/>
                      <w:sz w:val="24"/>
                      <w:highlight w:val="none"/>
                      <w14:textFill>
                        <w14:solidFill>
                          <w14:schemeClr w14:val="tx1"/>
                        </w14:solidFill>
                      </w14:textFill>
                    </w:rPr>
                  </w:pPr>
                </w:p>
              </w:tc>
              <w:tc>
                <w:tcPr>
                  <w:tcW w:w="788" w:type="pct"/>
                  <w:tcBorders>
                    <w:tl2br w:val="nil"/>
                    <w:tr2bl w:val="nil"/>
                  </w:tcBorders>
                  <w:noWrap/>
                  <w:vAlign w:val="center"/>
                </w:tcPr>
                <w:p w14:paraId="15C1F009">
                  <w:pPr>
                    <w:pStyle w:val="37"/>
                    <w:spacing w:before="24" w:after="24" w:line="240" w:lineRule="auto"/>
                    <w:rPr>
                      <w:rFonts w:ascii="Times New Roman"/>
                      <w:b/>
                      <w:bCs/>
                      <w:color w:val="000000" w:themeColor="text1"/>
                      <w:sz w:val="24"/>
                      <w:highlight w:val="none"/>
                      <w14:textFill>
                        <w14:solidFill>
                          <w14:schemeClr w14:val="tx1"/>
                        </w14:solidFill>
                      </w14:textFill>
                    </w:rPr>
                  </w:pPr>
                  <w:r>
                    <w:rPr>
                      <w:rFonts w:ascii="Times New Roman"/>
                      <w:b/>
                      <w:bCs/>
                      <w:color w:val="000000" w:themeColor="text1"/>
                      <w:sz w:val="24"/>
                      <w:highlight w:val="none"/>
                      <w14:textFill>
                        <w14:solidFill>
                          <w14:schemeClr w14:val="tx1"/>
                        </w14:solidFill>
                      </w14:textFill>
                    </w:rPr>
                    <w:t>X</w:t>
                  </w:r>
                </w:p>
              </w:tc>
              <w:tc>
                <w:tcPr>
                  <w:tcW w:w="752" w:type="pct"/>
                  <w:tcBorders>
                    <w:tl2br w:val="nil"/>
                    <w:tr2bl w:val="nil"/>
                  </w:tcBorders>
                  <w:noWrap/>
                  <w:vAlign w:val="center"/>
                </w:tcPr>
                <w:p w14:paraId="1E1A29A5">
                  <w:pPr>
                    <w:pStyle w:val="37"/>
                    <w:spacing w:before="24" w:after="24" w:line="240" w:lineRule="auto"/>
                    <w:rPr>
                      <w:rFonts w:ascii="Times New Roman"/>
                      <w:b/>
                      <w:bCs/>
                      <w:color w:val="000000" w:themeColor="text1"/>
                      <w:szCs w:val="21"/>
                      <w:highlight w:val="none"/>
                      <w14:textFill>
                        <w14:solidFill>
                          <w14:schemeClr w14:val="tx1"/>
                        </w14:solidFill>
                      </w14:textFill>
                    </w:rPr>
                  </w:pPr>
                  <w:r>
                    <w:rPr>
                      <w:rFonts w:ascii="Times New Roman"/>
                      <w:b/>
                      <w:bCs/>
                      <w:color w:val="000000" w:themeColor="text1"/>
                      <w:szCs w:val="21"/>
                      <w:highlight w:val="none"/>
                      <w14:textFill>
                        <w14:solidFill>
                          <w14:schemeClr w14:val="tx1"/>
                        </w14:solidFill>
                      </w14:textFill>
                    </w:rPr>
                    <w:t>Y</w:t>
                  </w:r>
                </w:p>
              </w:tc>
              <w:tc>
                <w:tcPr>
                  <w:tcW w:w="792" w:type="pct"/>
                  <w:vMerge w:val="continue"/>
                  <w:tcBorders>
                    <w:tl2br w:val="nil"/>
                    <w:tr2bl w:val="nil"/>
                  </w:tcBorders>
                  <w:noWrap/>
                  <w:vAlign w:val="center"/>
                </w:tcPr>
                <w:p w14:paraId="35263119">
                  <w:pPr>
                    <w:pStyle w:val="37"/>
                    <w:spacing w:before="24" w:after="24" w:line="240" w:lineRule="auto"/>
                    <w:rPr>
                      <w:rFonts w:ascii="Times New Roman"/>
                      <w:b/>
                      <w:bCs/>
                      <w:color w:val="000000" w:themeColor="text1"/>
                      <w:szCs w:val="21"/>
                      <w:highlight w:val="none"/>
                      <w14:textFill>
                        <w14:solidFill>
                          <w14:schemeClr w14:val="tx1"/>
                        </w14:solidFill>
                      </w14:textFill>
                    </w:rPr>
                  </w:pPr>
                </w:p>
              </w:tc>
              <w:tc>
                <w:tcPr>
                  <w:tcW w:w="779" w:type="pct"/>
                  <w:vMerge w:val="continue"/>
                  <w:tcBorders>
                    <w:tl2br w:val="nil"/>
                    <w:tr2bl w:val="nil"/>
                  </w:tcBorders>
                  <w:noWrap/>
                  <w:vAlign w:val="center"/>
                </w:tcPr>
                <w:p w14:paraId="0F408401">
                  <w:pPr>
                    <w:pStyle w:val="37"/>
                    <w:spacing w:before="24" w:after="24" w:line="240" w:lineRule="auto"/>
                    <w:rPr>
                      <w:rFonts w:ascii="Times New Roman"/>
                      <w:b/>
                      <w:bCs/>
                      <w:color w:val="000000" w:themeColor="text1"/>
                      <w:szCs w:val="21"/>
                      <w:highlight w:val="none"/>
                      <w14:textFill>
                        <w14:solidFill>
                          <w14:schemeClr w14:val="tx1"/>
                        </w14:solidFill>
                      </w14:textFill>
                    </w:rPr>
                  </w:pPr>
                </w:p>
              </w:tc>
              <w:tc>
                <w:tcPr>
                  <w:tcW w:w="527" w:type="pct"/>
                  <w:vMerge w:val="continue"/>
                  <w:tcBorders>
                    <w:tl2br w:val="nil"/>
                    <w:tr2bl w:val="nil"/>
                  </w:tcBorders>
                  <w:noWrap/>
                  <w:vAlign w:val="center"/>
                </w:tcPr>
                <w:p w14:paraId="3A648C82">
                  <w:pPr>
                    <w:pStyle w:val="37"/>
                    <w:spacing w:before="24" w:after="24" w:line="240" w:lineRule="auto"/>
                    <w:rPr>
                      <w:rFonts w:ascii="Times New Roman"/>
                      <w:b/>
                      <w:bCs/>
                      <w:color w:val="000000" w:themeColor="text1"/>
                      <w:szCs w:val="21"/>
                      <w:highlight w:val="none"/>
                      <w14:textFill>
                        <w14:solidFill>
                          <w14:schemeClr w14:val="tx1"/>
                        </w14:solidFill>
                      </w14:textFill>
                    </w:rPr>
                  </w:pPr>
                </w:p>
              </w:tc>
              <w:tc>
                <w:tcPr>
                  <w:tcW w:w="527" w:type="pct"/>
                  <w:vMerge w:val="continue"/>
                  <w:tcBorders>
                    <w:tl2br w:val="nil"/>
                    <w:tr2bl w:val="nil"/>
                  </w:tcBorders>
                  <w:noWrap/>
                  <w:vAlign w:val="center"/>
                </w:tcPr>
                <w:p w14:paraId="4792E7D6">
                  <w:pPr>
                    <w:pStyle w:val="37"/>
                    <w:spacing w:before="24" w:after="24" w:line="240" w:lineRule="auto"/>
                    <w:rPr>
                      <w:rFonts w:ascii="Times New Roman"/>
                      <w:b/>
                      <w:bCs/>
                      <w:color w:val="000000" w:themeColor="text1"/>
                      <w:szCs w:val="21"/>
                      <w:highlight w:val="none"/>
                      <w14:textFill>
                        <w14:solidFill>
                          <w14:schemeClr w14:val="tx1"/>
                        </w14:solidFill>
                      </w14:textFill>
                    </w:rPr>
                  </w:pPr>
                </w:p>
              </w:tc>
            </w:tr>
            <w:tr w14:paraId="7BFC7F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1" w:type="pct"/>
                  <w:tcBorders>
                    <w:tl2br w:val="nil"/>
                    <w:tr2bl w:val="nil"/>
                  </w:tcBorders>
                  <w:noWrap/>
                  <w:vAlign w:val="center"/>
                </w:tcPr>
                <w:p w14:paraId="37F2FC6D">
                  <w:pPr>
                    <w:pStyle w:val="37"/>
                    <w:spacing w:before="24" w:after="24" w:line="240" w:lineRule="auto"/>
                    <w:rPr>
                      <w:rFonts w:ascii="Times New Roman"/>
                      <w:color w:val="000000" w:themeColor="text1"/>
                      <w:szCs w:val="21"/>
                      <w:highlight w:val="none"/>
                      <w14:textFill>
                        <w14:solidFill>
                          <w14:schemeClr w14:val="tx1"/>
                        </w14:solidFill>
                      </w14:textFill>
                    </w:rPr>
                  </w:pPr>
                  <w:r>
                    <w:rPr>
                      <w:rFonts w:hint="eastAsia"/>
                      <w:bCs/>
                      <w:color w:val="000000" w:themeColor="text1"/>
                      <w:sz w:val="21"/>
                      <w:szCs w:val="21"/>
                      <w:lang w:eastAsia="zh-CN"/>
                      <w14:textFill>
                        <w14:solidFill>
                          <w14:schemeClr w14:val="tx1"/>
                        </w14:solidFill>
                      </w14:textFill>
                    </w:rPr>
                    <w:t>三菱电机汽车部件(中国)有限公司</w:t>
                  </w:r>
                </w:p>
              </w:tc>
              <w:tc>
                <w:tcPr>
                  <w:tcW w:w="788" w:type="pct"/>
                  <w:tcBorders>
                    <w:tl2br w:val="nil"/>
                    <w:tr2bl w:val="nil"/>
                  </w:tcBorders>
                  <w:noWrap/>
                  <w:vAlign w:val="center"/>
                </w:tcPr>
                <w:p w14:paraId="1B5E9C6F">
                  <w:pPr>
                    <w:pStyle w:val="37"/>
                    <w:spacing w:before="24" w:after="24" w:line="240" w:lineRule="auto"/>
                    <w:rPr>
                      <w:rFonts w:hint="default" w:ascii="Times New Roman" w:eastAsia="宋体"/>
                      <w:color w:val="000000" w:themeColor="text1"/>
                      <w:szCs w:val="21"/>
                      <w:highlight w:val="none"/>
                      <w:lang w:val="en-US" w:eastAsia="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120.</w:t>
                  </w:r>
                  <w:r>
                    <w:rPr>
                      <w:rFonts w:hint="eastAsia" w:ascii="Times New Roman" w:cs="Times New Roman"/>
                      <w:color w:val="000000" w:themeColor="text1"/>
                      <w:sz w:val="21"/>
                      <w:szCs w:val="21"/>
                      <w:lang w:val="en-US" w:eastAsia="zh-CN"/>
                      <w14:textFill>
                        <w14:solidFill>
                          <w14:schemeClr w14:val="tx1"/>
                        </w14:solidFill>
                      </w14:textFill>
                    </w:rPr>
                    <w:t>809929</w:t>
                  </w:r>
                </w:p>
              </w:tc>
              <w:tc>
                <w:tcPr>
                  <w:tcW w:w="752" w:type="pct"/>
                  <w:tcBorders>
                    <w:tl2br w:val="nil"/>
                    <w:tr2bl w:val="nil"/>
                  </w:tcBorders>
                  <w:noWrap/>
                  <w:vAlign w:val="center"/>
                </w:tcPr>
                <w:p w14:paraId="159A3355">
                  <w:pPr>
                    <w:pStyle w:val="37"/>
                    <w:spacing w:before="24" w:after="24" w:line="240" w:lineRule="auto"/>
                    <w:rPr>
                      <w:rFonts w:hint="default" w:ascii="Times New Roman" w:eastAsia="宋体"/>
                      <w:color w:val="000000" w:themeColor="text1"/>
                      <w:szCs w:val="21"/>
                      <w:highlight w:val="none"/>
                      <w:lang w:val="en-US" w:eastAsia="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31.</w:t>
                  </w:r>
                  <w:r>
                    <w:rPr>
                      <w:rFonts w:hint="eastAsia" w:ascii="Times New Roman" w:cs="Times New Roman"/>
                      <w:color w:val="000000" w:themeColor="text1"/>
                      <w:sz w:val="21"/>
                      <w:szCs w:val="21"/>
                      <w:lang w:val="en-US" w:eastAsia="zh-CN"/>
                      <w14:textFill>
                        <w14:solidFill>
                          <w14:schemeClr w14:val="tx1"/>
                        </w14:solidFill>
                      </w14:textFill>
                    </w:rPr>
                    <w:t>590458</w:t>
                  </w:r>
                </w:p>
              </w:tc>
              <w:tc>
                <w:tcPr>
                  <w:tcW w:w="792" w:type="pct"/>
                  <w:tcBorders>
                    <w:tl2br w:val="nil"/>
                    <w:tr2bl w:val="nil"/>
                  </w:tcBorders>
                  <w:noWrap/>
                  <w:vAlign w:val="center"/>
                </w:tcPr>
                <w:p w14:paraId="48599980">
                  <w:pPr>
                    <w:pStyle w:val="37"/>
                    <w:spacing w:before="24" w:after="24" w:line="240" w:lineRule="auto"/>
                    <w:rPr>
                      <w:rFonts w:ascii="Times New Roman"/>
                      <w:color w:val="000000" w:themeColor="text1"/>
                      <w:kern w:val="2"/>
                      <w:szCs w:val="21"/>
                      <w:highlight w:val="none"/>
                      <w14:textFill>
                        <w14:solidFill>
                          <w14:schemeClr w14:val="tx1"/>
                        </w14:solidFill>
                      </w14:textFill>
                    </w:rPr>
                  </w:pPr>
                  <w:r>
                    <w:rPr>
                      <w:rFonts w:ascii="Times New Roman" w:hAnsi="Times New Roman" w:cs="Times New Roman"/>
                      <w:color w:val="000000" w:themeColor="text1"/>
                      <w:kern w:val="2"/>
                      <w:sz w:val="21"/>
                      <w:szCs w:val="21"/>
                      <w14:textFill>
                        <w14:solidFill>
                          <w14:schemeClr w14:val="tx1"/>
                        </w14:solidFill>
                      </w14:textFill>
                    </w:rPr>
                    <w:t>非甲烷总烃</w:t>
                  </w:r>
                </w:p>
              </w:tc>
              <w:tc>
                <w:tcPr>
                  <w:tcW w:w="779" w:type="pct"/>
                  <w:tcBorders>
                    <w:tl2br w:val="nil"/>
                    <w:tr2bl w:val="nil"/>
                  </w:tcBorders>
                  <w:noWrap/>
                  <w:vAlign w:val="center"/>
                </w:tcPr>
                <w:p w14:paraId="2CC73671">
                  <w:pPr>
                    <w:pStyle w:val="37"/>
                    <w:spacing w:before="24" w:after="24" w:line="240" w:lineRule="auto"/>
                    <w:rPr>
                      <w:rFonts w:hint="default" w:ascii="Times New Roman"/>
                      <w:color w:val="000000" w:themeColor="text1"/>
                      <w:szCs w:val="21"/>
                      <w:highlight w:val="none"/>
                      <w:lang w:val="en-US"/>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w:t>
                  </w: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eastAsia" w:ascii="Times New Roman" w:cs="Times New Roman"/>
                      <w:color w:val="000000" w:themeColor="text1"/>
                      <w:sz w:val="21"/>
                      <w:szCs w:val="21"/>
                      <w:lang w:val="en-US" w:eastAsia="zh-CN"/>
                      <w14:textFill>
                        <w14:solidFill>
                          <w14:schemeClr w14:val="tx1"/>
                        </w14:solidFill>
                      </w14:textFill>
                    </w:rPr>
                    <w:t>3.11.28</w:t>
                  </w:r>
                  <w:r>
                    <w:rPr>
                      <w:rFonts w:ascii="Times New Roman" w:hAnsi="Times New Roman" w:cs="Times New Roman"/>
                      <w:color w:val="000000" w:themeColor="text1"/>
                      <w:sz w:val="21"/>
                      <w:szCs w:val="21"/>
                      <w14:textFill>
                        <w14:solidFill>
                          <w14:schemeClr w14:val="tx1"/>
                        </w14:solidFill>
                      </w14:textFill>
                    </w:rPr>
                    <w:t>~202</w:t>
                  </w:r>
                  <w:r>
                    <w:rPr>
                      <w:rFonts w:hint="eastAsia" w:ascii="Times New Roman" w:cs="Times New Roman"/>
                      <w:color w:val="000000" w:themeColor="text1"/>
                      <w:sz w:val="21"/>
                      <w:szCs w:val="21"/>
                      <w:lang w:val="en-US" w:eastAsia="zh-CN"/>
                      <w14:textFill>
                        <w14:solidFill>
                          <w14:schemeClr w14:val="tx1"/>
                        </w14:solidFill>
                      </w14:textFill>
                    </w:rPr>
                    <w:t>4.12.4</w:t>
                  </w:r>
                </w:p>
              </w:tc>
              <w:tc>
                <w:tcPr>
                  <w:tcW w:w="527" w:type="pct"/>
                  <w:tcBorders>
                    <w:tl2br w:val="nil"/>
                    <w:tr2bl w:val="nil"/>
                  </w:tcBorders>
                  <w:noWrap/>
                  <w:vAlign w:val="center"/>
                </w:tcPr>
                <w:p w14:paraId="387F51B6">
                  <w:pPr>
                    <w:pStyle w:val="37"/>
                    <w:spacing w:before="24" w:after="24" w:line="240" w:lineRule="auto"/>
                    <w:rPr>
                      <w:rFonts w:ascii="Times New Roman"/>
                      <w:color w:val="000000" w:themeColor="text1"/>
                      <w:szCs w:val="21"/>
                      <w:highlight w:val="none"/>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东南</w:t>
                  </w:r>
                </w:p>
              </w:tc>
              <w:tc>
                <w:tcPr>
                  <w:tcW w:w="527" w:type="pct"/>
                  <w:tcBorders>
                    <w:tl2br w:val="nil"/>
                    <w:tr2bl w:val="nil"/>
                  </w:tcBorders>
                  <w:noWrap/>
                  <w:vAlign w:val="center"/>
                </w:tcPr>
                <w:p w14:paraId="2C928DB7">
                  <w:pPr>
                    <w:pStyle w:val="37"/>
                    <w:spacing w:before="24" w:after="24" w:line="240" w:lineRule="auto"/>
                    <w:rPr>
                      <w:rFonts w:ascii="Times New Roman"/>
                      <w:color w:val="000000" w:themeColor="text1"/>
                      <w:szCs w:val="21"/>
                      <w:highlight w:val="none"/>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3332</w:t>
                  </w:r>
                  <w:r>
                    <w:rPr>
                      <w:rFonts w:hint="eastAsia" w:ascii="Times New Roman" w:hAnsi="Times New Roman" w:cs="Times New Roman"/>
                      <w:color w:val="000000" w:themeColor="text1"/>
                      <w:sz w:val="21"/>
                      <w:szCs w:val="21"/>
                      <w14:textFill>
                        <w14:solidFill>
                          <w14:schemeClr w14:val="tx1"/>
                        </w14:solidFill>
                      </w14:textFill>
                    </w:rPr>
                    <w:t>m</w:t>
                  </w:r>
                </w:p>
              </w:tc>
            </w:tr>
          </w:tbl>
          <w:p w14:paraId="131D99C3">
            <w:pPr>
              <w:jc w:val="center"/>
              <w:rPr>
                <w:rFonts w:hint="eastAsia" w:ascii="宋体" w:hAnsi="宋体" w:cs="宋体"/>
                <w:b/>
                <w:bCs/>
                <w:color w:val="000000" w:themeColor="text1"/>
                <w:sz w:val="22"/>
                <w:highlight w:val="none"/>
                <w14:textFill>
                  <w14:solidFill>
                    <w14:schemeClr w14:val="tx1"/>
                  </w14:solidFill>
                </w14:textFill>
              </w:rPr>
            </w:pPr>
          </w:p>
          <w:p w14:paraId="7AC1A3AA">
            <w:pPr>
              <w:pStyle w:val="39"/>
              <w:spacing w:line="240" w:lineRule="auto"/>
              <w:jc w:val="center"/>
              <w:rPr>
                <w:rFonts w:hint="eastAsia" w:ascii="Times New Roman" w:hAnsi="Times New Roman" w:cs="Times New Roman"/>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5271135" cy="2834640"/>
                  <wp:effectExtent l="0" t="0" r="5715" b="381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9"/>
                          <a:stretch>
                            <a:fillRect/>
                          </a:stretch>
                        </pic:blipFill>
                        <pic:spPr>
                          <a:xfrm>
                            <a:off x="0" y="0"/>
                            <a:ext cx="5271135" cy="2834640"/>
                          </a:xfrm>
                          <a:prstGeom prst="rect">
                            <a:avLst/>
                          </a:prstGeom>
                          <a:noFill/>
                          <a:ln>
                            <a:noFill/>
                          </a:ln>
                        </pic:spPr>
                      </pic:pic>
                    </a:graphicData>
                  </a:graphic>
                </wp:inline>
              </w:drawing>
            </w:r>
          </w:p>
          <w:p w14:paraId="623C0899">
            <w:pPr>
              <w:pStyle w:val="39"/>
              <w:spacing w:line="240" w:lineRule="auto"/>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图3.1-1 现状监测点位图</w:t>
            </w:r>
          </w:p>
          <w:p w14:paraId="37D88249">
            <w:pPr>
              <w:ind w:firstLine="422" w:firstLineChars="200"/>
              <w:jc w:val="center"/>
              <w:rPr>
                <w:b/>
                <w:bCs/>
                <w:color w:val="000000" w:themeColor="text1"/>
                <w:szCs w:val="21"/>
                <w14:textFill>
                  <w14:solidFill>
                    <w14:schemeClr w14:val="tx1"/>
                  </w14:solidFill>
                </w14:textFill>
              </w:rPr>
            </w:pPr>
            <w:r>
              <w:rPr>
                <w:b/>
                <w:color w:val="000000" w:themeColor="text1"/>
                <w:szCs w:val="21"/>
                <w14:textFill>
                  <w14:solidFill>
                    <w14:schemeClr w14:val="tx1"/>
                  </w14:solidFill>
                </w14:textFill>
              </w:rPr>
              <w:t>表3.1-</w:t>
            </w:r>
            <w:r>
              <w:rPr>
                <w:rFonts w:hint="eastAsia"/>
                <w:b/>
                <w:color w:val="000000" w:themeColor="text1"/>
                <w:szCs w:val="21"/>
                <w:lang w:val="en-US" w:eastAsia="zh-CN"/>
                <w14:textFill>
                  <w14:solidFill>
                    <w14:schemeClr w14:val="tx1"/>
                  </w14:solidFill>
                </w14:textFill>
              </w:rPr>
              <w:t>3</w:t>
            </w:r>
            <w:r>
              <w:rPr>
                <w:b/>
                <w:color w:val="000000" w:themeColor="text1"/>
                <w:szCs w:val="21"/>
                <w14:textFill>
                  <w14:solidFill>
                    <w14:schemeClr w14:val="tx1"/>
                  </w14:solidFill>
                </w14:textFill>
              </w:rPr>
              <w:t xml:space="preserve">  </w:t>
            </w:r>
            <w:r>
              <w:rPr>
                <w:rFonts w:hint="eastAsia"/>
                <w:b/>
                <w:bCs/>
                <w:color w:val="000000" w:themeColor="text1"/>
                <w14:textFill>
                  <w14:solidFill>
                    <w14:schemeClr w14:val="tx1"/>
                  </w14:solidFill>
                </w14:textFill>
              </w:rPr>
              <w:t>非甲烷总烃质量现状一览表</w:t>
            </w:r>
          </w:p>
          <w:tbl>
            <w:tblPr>
              <w:tblStyle w:val="22"/>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870"/>
              <w:gridCol w:w="1425"/>
              <w:gridCol w:w="875"/>
              <w:gridCol w:w="1447"/>
              <w:gridCol w:w="947"/>
              <w:gridCol w:w="610"/>
              <w:gridCol w:w="711"/>
            </w:tblGrid>
            <w:tr w14:paraId="3E20CC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pct"/>
                  <w:noWrap w:val="0"/>
                  <w:vAlign w:val="center"/>
                </w:tcPr>
                <w:p w14:paraId="297EC8EF">
                  <w:pPr>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监测点位</w:t>
                  </w:r>
                </w:p>
              </w:tc>
              <w:tc>
                <w:tcPr>
                  <w:tcW w:w="523" w:type="pct"/>
                  <w:noWrap w:val="0"/>
                  <w:vAlign w:val="center"/>
                </w:tcPr>
                <w:p w14:paraId="6DEFB3D7">
                  <w:pPr>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污染物</w:t>
                  </w:r>
                </w:p>
              </w:tc>
              <w:tc>
                <w:tcPr>
                  <w:tcW w:w="858" w:type="pct"/>
                  <w:noWrap w:val="0"/>
                  <w:vAlign w:val="center"/>
                </w:tcPr>
                <w:p w14:paraId="75A69AD5">
                  <w:pPr>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日期</w:t>
                  </w:r>
                </w:p>
              </w:tc>
              <w:tc>
                <w:tcPr>
                  <w:tcW w:w="526" w:type="pct"/>
                  <w:noWrap w:val="0"/>
                  <w:vAlign w:val="center"/>
                </w:tcPr>
                <w:p w14:paraId="31C939E1">
                  <w:pPr>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评价标准</w:t>
                  </w:r>
                </w:p>
              </w:tc>
              <w:tc>
                <w:tcPr>
                  <w:tcW w:w="870" w:type="pct"/>
                  <w:noWrap w:val="0"/>
                  <w:vAlign w:val="center"/>
                </w:tcPr>
                <w:p w14:paraId="59B66D38">
                  <w:pPr>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监测浓度范围</w:t>
                  </w:r>
                </w:p>
              </w:tc>
              <w:tc>
                <w:tcPr>
                  <w:tcW w:w="570" w:type="pct"/>
                  <w:noWrap w:val="0"/>
                  <w:vAlign w:val="center"/>
                </w:tcPr>
                <w:p w14:paraId="036903FD">
                  <w:pPr>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最大浓度占标率%</w:t>
                  </w:r>
                </w:p>
              </w:tc>
              <w:tc>
                <w:tcPr>
                  <w:tcW w:w="367" w:type="pct"/>
                  <w:noWrap w:val="0"/>
                  <w:vAlign w:val="center"/>
                </w:tcPr>
                <w:p w14:paraId="1971EA93">
                  <w:pPr>
                    <w:snapToGrid w:val="0"/>
                    <w:jc w:val="center"/>
                    <w:rPr>
                      <w:rFonts w:hint="eastAsia"/>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超标率</w:t>
                  </w:r>
                  <w:r>
                    <w:rPr>
                      <w:rFonts w:hint="eastAsia"/>
                      <w:color w:val="000000" w:themeColor="text1"/>
                      <w14:textFill>
                        <w14:solidFill>
                          <w14:schemeClr w14:val="tx1"/>
                        </w14:solidFill>
                      </w14:textFill>
                    </w:rPr>
                    <w:t>%</w:t>
                  </w:r>
                </w:p>
              </w:tc>
              <w:tc>
                <w:tcPr>
                  <w:tcW w:w="427" w:type="pct"/>
                  <w:noWrap w:val="0"/>
                  <w:vAlign w:val="center"/>
                </w:tcPr>
                <w:p w14:paraId="1BF288EC">
                  <w:pPr>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达标情况</w:t>
                  </w:r>
                </w:p>
              </w:tc>
            </w:tr>
            <w:tr w14:paraId="6BBD80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pct"/>
                  <w:noWrap w:val="0"/>
                  <w:vAlign w:val="center"/>
                </w:tcPr>
                <w:p w14:paraId="586C969F">
                  <w:pPr>
                    <w:snapToGrid w:val="0"/>
                    <w:jc w:val="center"/>
                    <w:rPr>
                      <w:rFonts w:hint="eastAsia" w:eastAsia="宋体"/>
                      <w:color w:val="000000" w:themeColor="text1"/>
                      <w:kern w:val="0"/>
                      <w:szCs w:val="21"/>
                      <w:lang w:val="en-US" w:eastAsia="zh-CN"/>
                      <w14:textFill>
                        <w14:solidFill>
                          <w14:schemeClr w14:val="tx1"/>
                        </w14:solidFill>
                      </w14:textFill>
                    </w:rPr>
                  </w:pPr>
                  <w:r>
                    <w:rPr>
                      <w:rFonts w:hint="eastAsia" w:eastAsia="宋体"/>
                      <w:bCs/>
                      <w:color w:val="000000" w:themeColor="text1"/>
                      <w:sz w:val="21"/>
                      <w:szCs w:val="21"/>
                      <w:lang w:eastAsia="zh-CN"/>
                      <w14:textFill>
                        <w14:solidFill>
                          <w14:schemeClr w14:val="tx1"/>
                        </w14:solidFill>
                      </w14:textFill>
                    </w:rPr>
                    <w:t>三菱电机汽车部件(中国)有限公司</w:t>
                  </w:r>
                </w:p>
              </w:tc>
              <w:tc>
                <w:tcPr>
                  <w:tcW w:w="523" w:type="pct"/>
                  <w:noWrap w:val="0"/>
                  <w:vAlign w:val="center"/>
                </w:tcPr>
                <w:p w14:paraId="38B51CDD">
                  <w:pPr>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非甲烷总烃</w:t>
                  </w:r>
                </w:p>
              </w:tc>
              <w:tc>
                <w:tcPr>
                  <w:tcW w:w="858" w:type="pct"/>
                  <w:noWrap w:val="0"/>
                  <w:vAlign w:val="center"/>
                </w:tcPr>
                <w:p w14:paraId="3BB3373E">
                  <w:pPr>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w:t>
                  </w: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eastAsia" w:ascii="Times New Roman" w:cs="Times New Roman"/>
                      <w:color w:val="000000" w:themeColor="text1"/>
                      <w:sz w:val="21"/>
                      <w:szCs w:val="21"/>
                      <w:lang w:val="en-US" w:eastAsia="zh-CN"/>
                      <w14:textFill>
                        <w14:solidFill>
                          <w14:schemeClr w14:val="tx1"/>
                        </w14:solidFill>
                      </w14:textFill>
                    </w:rPr>
                    <w:t>3.11.28</w:t>
                  </w:r>
                  <w:r>
                    <w:rPr>
                      <w:rFonts w:ascii="Times New Roman" w:hAnsi="Times New Roman" w:cs="Times New Roman"/>
                      <w:color w:val="000000" w:themeColor="text1"/>
                      <w:sz w:val="21"/>
                      <w:szCs w:val="21"/>
                      <w14:textFill>
                        <w14:solidFill>
                          <w14:schemeClr w14:val="tx1"/>
                        </w14:solidFill>
                      </w14:textFill>
                    </w:rPr>
                    <w:t>~202</w:t>
                  </w:r>
                  <w:r>
                    <w:rPr>
                      <w:rFonts w:hint="eastAsia" w:ascii="Times New Roman" w:cs="Times New Roman"/>
                      <w:color w:val="000000" w:themeColor="text1"/>
                      <w:sz w:val="21"/>
                      <w:szCs w:val="21"/>
                      <w:lang w:val="en-US" w:eastAsia="zh-CN"/>
                      <w14:textFill>
                        <w14:solidFill>
                          <w14:schemeClr w14:val="tx1"/>
                        </w14:solidFill>
                      </w14:textFill>
                    </w:rPr>
                    <w:t>4.12.4</w:t>
                  </w:r>
                </w:p>
              </w:tc>
              <w:tc>
                <w:tcPr>
                  <w:tcW w:w="526" w:type="pct"/>
                  <w:noWrap w:val="0"/>
                  <w:vAlign w:val="center"/>
                </w:tcPr>
                <w:p w14:paraId="21D268B0">
                  <w:pPr>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2mg/m</w:t>
                  </w:r>
                  <w:r>
                    <w:rPr>
                      <w:rFonts w:hint="eastAsia"/>
                      <w:color w:val="000000" w:themeColor="text1"/>
                      <w:kern w:val="0"/>
                      <w:szCs w:val="21"/>
                      <w:vertAlign w:val="superscript"/>
                      <w14:textFill>
                        <w14:solidFill>
                          <w14:schemeClr w14:val="tx1"/>
                        </w14:solidFill>
                      </w14:textFill>
                    </w:rPr>
                    <w:t>3</w:t>
                  </w:r>
                </w:p>
              </w:tc>
              <w:tc>
                <w:tcPr>
                  <w:tcW w:w="870" w:type="pct"/>
                  <w:noWrap w:val="0"/>
                  <w:vAlign w:val="center"/>
                </w:tcPr>
                <w:p w14:paraId="45EDDEBD">
                  <w:pPr>
                    <w:adjustRightInd w:val="0"/>
                    <w:snapToGrid w:val="0"/>
                    <w:jc w:val="center"/>
                    <w:rPr>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0.43-0.7</w:t>
                  </w:r>
                  <w:r>
                    <w:rPr>
                      <w:rFonts w:hint="eastAsia"/>
                      <w:color w:val="000000" w:themeColor="text1"/>
                      <w:kern w:val="0"/>
                      <w:szCs w:val="21"/>
                      <w14:textFill>
                        <w14:solidFill>
                          <w14:schemeClr w14:val="tx1"/>
                        </w14:solidFill>
                      </w14:textFill>
                    </w:rPr>
                    <w:t>mg/m</w:t>
                  </w:r>
                  <w:r>
                    <w:rPr>
                      <w:rFonts w:hint="eastAsia"/>
                      <w:color w:val="000000" w:themeColor="text1"/>
                      <w:kern w:val="0"/>
                      <w:szCs w:val="21"/>
                      <w:vertAlign w:val="superscript"/>
                      <w14:textFill>
                        <w14:solidFill>
                          <w14:schemeClr w14:val="tx1"/>
                        </w14:solidFill>
                      </w14:textFill>
                    </w:rPr>
                    <w:t>3</w:t>
                  </w:r>
                </w:p>
              </w:tc>
              <w:tc>
                <w:tcPr>
                  <w:tcW w:w="570" w:type="pct"/>
                  <w:noWrap w:val="0"/>
                  <w:vAlign w:val="center"/>
                </w:tcPr>
                <w:p w14:paraId="0BB51C5B">
                  <w:pPr>
                    <w:snapToGrid w:val="0"/>
                    <w:jc w:val="center"/>
                    <w:rPr>
                      <w:rFonts w:hint="default" w:eastAsia="宋体"/>
                      <w:color w:val="000000" w:themeColor="text1"/>
                      <w:kern w:val="0"/>
                      <w:szCs w:val="21"/>
                      <w:lang w:val="en-US" w:eastAsia="zh-CN"/>
                      <w14:textFill>
                        <w14:solidFill>
                          <w14:schemeClr w14:val="tx1"/>
                        </w14:solidFill>
                      </w14:textFill>
                    </w:rPr>
                  </w:pPr>
                  <w:r>
                    <w:rPr>
                      <w:rFonts w:hint="eastAsia" w:eastAsia="宋体"/>
                      <w:color w:val="000000" w:themeColor="text1"/>
                      <w:kern w:val="0"/>
                      <w:szCs w:val="21"/>
                      <w:lang w:val="en-US" w:eastAsia="zh-CN"/>
                      <w14:textFill>
                        <w14:solidFill>
                          <w14:schemeClr w14:val="tx1"/>
                        </w14:solidFill>
                      </w14:textFill>
                    </w:rPr>
                    <w:t>35</w:t>
                  </w:r>
                </w:p>
              </w:tc>
              <w:tc>
                <w:tcPr>
                  <w:tcW w:w="367" w:type="pct"/>
                  <w:noWrap w:val="0"/>
                  <w:vAlign w:val="center"/>
                </w:tcPr>
                <w:p w14:paraId="4B9900E3">
                  <w:pPr>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427" w:type="pct"/>
                  <w:noWrap w:val="0"/>
                  <w:vAlign w:val="center"/>
                </w:tcPr>
                <w:p w14:paraId="75F10DE5">
                  <w:pPr>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tc>
            </w:tr>
          </w:tbl>
          <w:p w14:paraId="1C9B1DE0">
            <w:pPr>
              <w:pStyle w:val="39"/>
              <w:spacing w:line="360" w:lineRule="auto"/>
              <w:ind w:firstLine="420" w:firstLineChars="200"/>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根据检测数据可知，非甲烷总烃小时浓度满足《大气污染物综合排放标准详解》中推算的一次浓度值要求，即2.0mg/m</w:t>
            </w:r>
            <w:r>
              <w:rPr>
                <w:rFonts w:hint="default" w:ascii="Times New Roman" w:hAnsi="Times New Roman" w:cs="Times New Roman"/>
                <w:b w:val="0"/>
                <w:bCs w:val="0"/>
                <w:color w:val="000000" w:themeColor="text1"/>
                <w:sz w:val="21"/>
                <w:szCs w:val="21"/>
                <w:vertAlign w:val="superscript"/>
                <w14:textFill>
                  <w14:solidFill>
                    <w14:schemeClr w14:val="tx1"/>
                  </w14:solidFill>
                </w14:textFill>
              </w:rPr>
              <w:t>3</w:t>
            </w:r>
            <w:r>
              <w:rPr>
                <w:rFonts w:hint="default" w:ascii="Times New Roman" w:hAnsi="Times New Roman" w:cs="Times New Roman"/>
                <w:b w:val="0"/>
                <w:bCs w:val="0"/>
                <w:color w:val="000000" w:themeColor="text1"/>
                <w:sz w:val="21"/>
                <w:szCs w:val="21"/>
                <w14:textFill>
                  <w14:solidFill>
                    <w14:schemeClr w14:val="tx1"/>
                  </w14:solidFill>
                </w14:textFill>
              </w:rPr>
              <w:t>。综上，项目所在区域非甲烷总烃浓度达标。</w:t>
            </w:r>
          </w:p>
          <w:p w14:paraId="1100534B">
            <w:pPr>
              <w:adjustRightInd w:val="0"/>
              <w:snapToGrid w:val="0"/>
              <w:spacing w:line="360" w:lineRule="auto"/>
              <w:ind w:firstLine="422" w:firstLineChars="20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3.2地表水环境质量状况</w:t>
            </w:r>
          </w:p>
          <w:p w14:paraId="76DD85B5">
            <w:pPr>
              <w:wordWrap w:val="0"/>
              <w:spacing w:line="360" w:lineRule="auto"/>
              <w:ind w:firstLine="420" w:firstLineChars="200"/>
              <w:rPr>
                <w:color w:val="000000" w:themeColor="text1"/>
                <w14:textFill>
                  <w14:solidFill>
                    <w14:schemeClr w14:val="tx1"/>
                  </w14:solidFill>
                </w14:textFill>
              </w:rPr>
            </w:pPr>
            <w:r>
              <w:rPr>
                <w:color w:val="000000" w:themeColor="text1"/>
                <w:kern w:val="0"/>
                <w:szCs w:val="21"/>
                <w14:textFill>
                  <w14:solidFill>
                    <w14:schemeClr w14:val="tx1"/>
                  </w14:solidFill>
                </w14:textFill>
              </w:rPr>
              <w:t>根据《202</w:t>
            </w:r>
            <w:r>
              <w:rPr>
                <w:rFonts w:hint="eastAsia"/>
                <w:color w:val="000000" w:themeColor="text1"/>
                <w:kern w:val="0"/>
                <w:szCs w:val="21"/>
                <w14:textFill>
                  <w14:solidFill>
                    <w14:schemeClr w14:val="tx1"/>
                  </w14:solidFill>
                </w14:textFill>
              </w:rPr>
              <w:t>3</w:t>
            </w:r>
            <w:r>
              <w:rPr>
                <w:color w:val="000000" w:themeColor="text1"/>
                <w:kern w:val="0"/>
                <w:szCs w:val="21"/>
                <w14:textFill>
                  <w14:solidFill>
                    <w14:schemeClr w14:val="tx1"/>
                  </w14:solidFill>
                </w14:textFill>
              </w:rPr>
              <w:t>年度常熟市生态环境状况公报》，常熟市地表水水质状况为优，达到或优于Ⅲ类水质断面</w:t>
            </w:r>
            <w:r>
              <w:rPr>
                <w:rFonts w:hint="eastAsia"/>
                <w:color w:val="000000" w:themeColor="text1"/>
                <w:kern w:val="0"/>
                <w:szCs w:val="21"/>
                <w14:textFill>
                  <w14:solidFill>
                    <w14:schemeClr w14:val="tx1"/>
                  </w14:solidFill>
                </w14:textFill>
              </w:rPr>
              <w:t>的比例为</w:t>
            </w:r>
            <w:r>
              <w:rPr>
                <w:color w:val="000000" w:themeColor="text1"/>
                <w:kern w:val="0"/>
                <w:szCs w:val="21"/>
                <w14:textFill>
                  <w14:solidFill>
                    <w14:schemeClr w14:val="tx1"/>
                  </w14:solidFill>
                </w14:textFill>
              </w:rPr>
              <w:t>94.0%</w:t>
            </w:r>
            <w:r>
              <w:rPr>
                <w:rFonts w:hint="eastAsia"/>
                <w:color w:val="000000" w:themeColor="text1"/>
                <w:kern w:val="0"/>
                <w:szCs w:val="21"/>
                <w14:textFill>
                  <w14:solidFill>
                    <w14:schemeClr w14:val="tx1"/>
                  </w14:solidFill>
                </w14:textFill>
              </w:rPr>
              <w:t>，较上年上升了</w:t>
            </w:r>
            <w:r>
              <w:rPr>
                <w:color w:val="000000" w:themeColor="text1"/>
                <w:kern w:val="0"/>
                <w:szCs w:val="21"/>
                <w14:textFill>
                  <w14:solidFill>
                    <w14:schemeClr w14:val="tx1"/>
                  </w14:solidFill>
                </w14:textFill>
              </w:rPr>
              <w:t>12.0</w:t>
            </w:r>
            <w:r>
              <w:rPr>
                <w:rFonts w:hint="eastAsia"/>
                <w:color w:val="000000" w:themeColor="text1"/>
                <w:kern w:val="0"/>
                <w:szCs w:val="21"/>
                <w14:textFill>
                  <w14:solidFill>
                    <w14:schemeClr w14:val="tx1"/>
                  </w14:solidFill>
                </w14:textFill>
              </w:rPr>
              <w:t>个百分点，无Ⅴ类、劣Ⅴ类水质断面，劣Ⅴ类水质断面比例与上年持平，主要污染指标为总磷；地表水平均综合污染指数为</w:t>
            </w:r>
            <w:r>
              <w:rPr>
                <w:color w:val="000000" w:themeColor="text1"/>
                <w:kern w:val="0"/>
                <w:szCs w:val="21"/>
                <w14:textFill>
                  <w14:solidFill>
                    <w14:schemeClr w14:val="tx1"/>
                  </w14:solidFill>
                </w14:textFill>
              </w:rPr>
              <w:t>0.33</w:t>
            </w:r>
            <w:r>
              <w:rPr>
                <w:rFonts w:hint="eastAsia"/>
                <w:color w:val="000000" w:themeColor="text1"/>
                <w:kern w:val="0"/>
                <w:szCs w:val="21"/>
                <w14:textFill>
                  <w14:solidFill>
                    <w14:schemeClr w14:val="tx1"/>
                  </w14:solidFill>
                </w14:textFill>
              </w:rPr>
              <w:t>，较上年下降</w:t>
            </w:r>
            <w:r>
              <w:rPr>
                <w:color w:val="000000" w:themeColor="text1"/>
                <w:kern w:val="0"/>
                <w:szCs w:val="21"/>
                <w14:textFill>
                  <w14:solidFill>
                    <w14:schemeClr w14:val="tx1"/>
                  </w14:solidFill>
                </w14:textFill>
              </w:rPr>
              <w:t>0.01</w:t>
            </w:r>
            <w:r>
              <w:rPr>
                <w:rFonts w:hint="eastAsia"/>
                <w:color w:val="000000" w:themeColor="text1"/>
                <w:kern w:val="0"/>
                <w:szCs w:val="21"/>
                <w14:textFill>
                  <w14:solidFill>
                    <w14:schemeClr w14:val="tx1"/>
                  </w14:solidFill>
                </w14:textFill>
              </w:rPr>
              <w:t>，降幅为</w:t>
            </w:r>
            <w:r>
              <w:rPr>
                <w:color w:val="000000" w:themeColor="text1"/>
                <w:kern w:val="0"/>
                <w:szCs w:val="21"/>
                <w14:textFill>
                  <w14:solidFill>
                    <w14:schemeClr w14:val="tx1"/>
                  </w14:solidFill>
                </w14:textFill>
              </w:rPr>
              <w:t>2.9%</w:t>
            </w:r>
            <w:r>
              <w:rPr>
                <w:rFonts w:hint="eastAsia"/>
                <w:color w:val="000000" w:themeColor="text1"/>
                <w:kern w:val="0"/>
                <w:szCs w:val="21"/>
                <w14:textFill>
                  <w14:solidFill>
                    <w14:schemeClr w14:val="tx1"/>
                  </w14:solidFill>
                </w14:textFill>
              </w:rPr>
              <w:t>。与上年相比，全市地表水水质状况好转一个类别，水环境质量有所好转。</w:t>
            </w:r>
          </w:p>
          <w:p w14:paraId="03622A62">
            <w:pPr>
              <w:wordWrap w:val="0"/>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城区河道水质为优，与上年相比提升两个等级，7</w:t>
            </w:r>
            <w:r>
              <w:rPr>
                <w:rFonts w:hint="eastAsia"/>
                <w:color w:val="000000" w:themeColor="text1"/>
                <w:kern w:val="0"/>
                <w:szCs w:val="21"/>
                <w14:textFill>
                  <w14:solidFill>
                    <w14:schemeClr w14:val="tx1"/>
                  </w14:solidFill>
                </w14:textFill>
              </w:rPr>
              <w:t>个监测断面的优Ⅲ类比例为</w:t>
            </w:r>
            <w:r>
              <w:rPr>
                <w:color w:val="000000" w:themeColor="text1"/>
                <w:kern w:val="0"/>
                <w:szCs w:val="21"/>
                <w14:textFill>
                  <w14:solidFill>
                    <w14:schemeClr w14:val="tx1"/>
                  </w14:solidFill>
                </w14:textFill>
              </w:rPr>
              <w:t>100%</w:t>
            </w:r>
            <w:r>
              <w:rPr>
                <w:rFonts w:hint="eastAsia"/>
                <w:color w:val="000000" w:themeColor="text1"/>
                <w:kern w:val="0"/>
                <w:szCs w:val="21"/>
                <w14:textFill>
                  <w14:solidFill>
                    <w14:schemeClr w14:val="tx1"/>
                  </w14:solidFill>
                </w14:textFill>
              </w:rPr>
              <w:t>，与上年相比上升了</w:t>
            </w:r>
            <w:r>
              <w:rPr>
                <w:color w:val="000000" w:themeColor="text1"/>
                <w:kern w:val="0"/>
                <w:szCs w:val="21"/>
                <w14:textFill>
                  <w14:solidFill>
                    <w14:schemeClr w14:val="tx1"/>
                  </w14:solidFill>
                </w14:textFill>
              </w:rPr>
              <w:t>28.6</w:t>
            </w:r>
            <w:r>
              <w:rPr>
                <w:rFonts w:hint="eastAsia"/>
                <w:color w:val="000000" w:themeColor="text1"/>
                <w:kern w:val="0"/>
                <w:szCs w:val="21"/>
                <w14:textFill>
                  <w14:solidFill>
                    <w14:schemeClr w14:val="tx1"/>
                  </w14:solidFill>
                </w14:textFill>
              </w:rPr>
              <w:t>个百分点，无劣Ⅴ类水质断面，水质明显好转。</w:t>
            </w:r>
            <w:r>
              <w:rPr>
                <w:color w:val="000000" w:themeColor="text1"/>
                <w:kern w:val="0"/>
                <w:szCs w:val="21"/>
                <w14:textFill>
                  <w14:solidFill>
                    <w14:schemeClr w14:val="tx1"/>
                  </w14:solidFill>
                </w14:textFill>
              </w:rPr>
              <w:t>8</w:t>
            </w:r>
            <w:r>
              <w:rPr>
                <w:rFonts w:hint="eastAsia"/>
                <w:color w:val="000000" w:themeColor="text1"/>
                <w:kern w:val="0"/>
                <w:szCs w:val="21"/>
                <w14:textFill>
                  <w14:solidFill>
                    <w14:schemeClr w14:val="tx1"/>
                  </w14:solidFill>
                </w14:textFill>
              </w:rPr>
              <w:t>条乡镇河道中，白茆塘、望虞河常熟段、张家港河水质均为优，达到或优于Ⅲ类水质断面的比例为</w:t>
            </w:r>
            <w:r>
              <w:rPr>
                <w:color w:val="000000" w:themeColor="text1"/>
                <w:kern w:val="0"/>
                <w:szCs w:val="21"/>
                <w14:textFill>
                  <w14:solidFill>
                    <w14:schemeClr w14:val="tx1"/>
                  </w14:solidFill>
                </w14:textFill>
              </w:rPr>
              <w:t>100%</w:t>
            </w:r>
            <w:r>
              <w:rPr>
                <w:rFonts w:hint="eastAsia"/>
                <w:color w:val="000000" w:themeColor="text1"/>
                <w:kern w:val="0"/>
                <w:szCs w:val="21"/>
                <w14:textFill>
                  <w14:solidFill>
                    <w14:schemeClr w14:val="tx1"/>
                  </w14:solidFill>
                </w14:textFill>
              </w:rPr>
              <w:t>，其中望虞河常熟段各断面均为Ⅱ类水质，与上年相比</w:t>
            </w:r>
            <w:r>
              <w:rPr>
                <w:color w:val="000000" w:themeColor="text1"/>
                <w:kern w:val="0"/>
                <w:szCs w:val="21"/>
                <w14:textFill>
                  <w14:solidFill>
                    <w14:schemeClr w14:val="tx1"/>
                  </w14:solidFill>
                </w14:textFill>
              </w:rPr>
              <w:t>3</w:t>
            </w:r>
            <w:r>
              <w:rPr>
                <w:rFonts w:hint="eastAsia"/>
                <w:color w:val="000000" w:themeColor="text1"/>
                <w:kern w:val="0"/>
                <w:szCs w:val="21"/>
                <w14:textFill>
                  <w14:solidFill>
                    <w14:schemeClr w14:val="tx1"/>
                  </w14:solidFill>
                </w14:textFill>
              </w:rPr>
              <w:t>条河道水质状况保持不变。元和塘、常浒河水质均为优，达到或优于Ⅲ类水质断面比例为</w:t>
            </w:r>
            <w:r>
              <w:rPr>
                <w:color w:val="000000" w:themeColor="text1"/>
                <w:kern w:val="0"/>
                <w:szCs w:val="21"/>
                <w14:textFill>
                  <w14:solidFill>
                    <w14:schemeClr w14:val="tx1"/>
                  </w14:solidFill>
                </w14:textFill>
              </w:rPr>
              <w:t>100%</w:t>
            </w:r>
            <w:r>
              <w:rPr>
                <w:rFonts w:hint="eastAsia"/>
                <w:color w:val="000000" w:themeColor="text1"/>
                <w:kern w:val="0"/>
                <w:szCs w:val="21"/>
                <w14:textFill>
                  <w14:solidFill>
                    <w14:schemeClr w14:val="tx1"/>
                  </w14:solidFill>
                </w14:textFill>
              </w:rPr>
              <w:t>，其中元和塘各断面均为Ⅱ类水质，与上年相比</w:t>
            </w:r>
            <w:r>
              <w:rPr>
                <w:color w:val="000000" w:themeColor="text1"/>
                <w:kern w:val="0"/>
                <w:szCs w:val="21"/>
                <w14:textFill>
                  <w14:solidFill>
                    <w14:schemeClr w14:val="tx1"/>
                  </w14:solidFill>
                </w14:textFill>
              </w:rPr>
              <w:t>2</w:t>
            </w:r>
            <w:r>
              <w:rPr>
                <w:rFonts w:hint="eastAsia"/>
                <w:color w:val="000000" w:themeColor="text1"/>
                <w:kern w:val="0"/>
                <w:szCs w:val="21"/>
                <w14:textFill>
                  <w14:solidFill>
                    <w14:schemeClr w14:val="tx1"/>
                  </w14:solidFill>
                </w14:textFill>
              </w:rPr>
              <w:t xml:space="preserve">条河道水质状况提升一个等级，水质有所好转。福山塘、盐铁塘、锡北运河 </w:t>
            </w:r>
          </w:p>
          <w:p w14:paraId="06F7E846">
            <w:pPr>
              <w:wordWrap w:val="0"/>
              <w:spacing w:line="36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水质均为良好，与上年相比</w:t>
            </w:r>
            <w:r>
              <w:rPr>
                <w:color w:val="000000" w:themeColor="text1"/>
                <w:kern w:val="0"/>
                <w:szCs w:val="21"/>
                <w14:textFill>
                  <w14:solidFill>
                    <w14:schemeClr w14:val="tx1"/>
                  </w14:solidFill>
                </w14:textFill>
              </w:rPr>
              <w:t>3</w:t>
            </w:r>
            <w:r>
              <w:rPr>
                <w:rFonts w:hint="eastAsia"/>
                <w:color w:val="000000" w:themeColor="text1"/>
                <w:kern w:val="0"/>
                <w:szCs w:val="21"/>
                <w14:textFill>
                  <w14:solidFill>
                    <w14:schemeClr w14:val="tx1"/>
                  </w14:solidFill>
                </w14:textFill>
              </w:rPr>
              <w:t>条河道水质状况保持不变。</w:t>
            </w:r>
          </w:p>
          <w:p w14:paraId="67C2382C">
            <w:pPr>
              <w:wordWrap w:val="0"/>
              <w:spacing w:line="360" w:lineRule="auto"/>
              <w:ind w:firstLine="420" w:firstLineChars="200"/>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2023年常熟市2</w:t>
            </w:r>
            <w:r>
              <w:rPr>
                <w:rFonts w:hint="eastAsia"/>
                <w:color w:val="000000" w:themeColor="text1"/>
                <w:kern w:val="0"/>
                <w:szCs w:val="21"/>
                <w14:textFill>
                  <w14:solidFill>
                    <w14:schemeClr w14:val="tx1"/>
                  </w14:solidFill>
                </w14:textFill>
              </w:rPr>
              <w:t>个集中式饮用水水源地水质达标率均为</w:t>
            </w:r>
            <w:r>
              <w:rPr>
                <w:color w:val="000000" w:themeColor="text1"/>
                <w:kern w:val="0"/>
                <w:szCs w:val="21"/>
                <w14:textFill>
                  <w14:solidFill>
                    <w14:schemeClr w14:val="tx1"/>
                  </w14:solidFill>
                </w14:textFill>
              </w:rPr>
              <w:t>100%</w:t>
            </w:r>
            <w:r>
              <w:rPr>
                <w:rFonts w:hint="eastAsia"/>
                <w:color w:val="000000" w:themeColor="text1"/>
                <w:kern w:val="0"/>
                <w:szCs w:val="21"/>
                <w14:textFill>
                  <w14:solidFill>
                    <w14:schemeClr w14:val="tx1"/>
                  </w14:solidFill>
                </w14:textFill>
              </w:rPr>
              <w:t>，且均达到Ⅱ类水质标准，水质状况为优，属于安全饮用水源。与上年相比，常熟尚湖饮用水水源地水质上升一个类别，长江饮用水水源地水质类别保持不变。全市集中式饮用水源地</w:t>
            </w:r>
            <w:r>
              <w:rPr>
                <w:color w:val="000000" w:themeColor="text1"/>
                <w:kern w:val="0"/>
                <w:szCs w:val="21"/>
                <w14:textFill>
                  <w14:solidFill>
                    <w14:schemeClr w14:val="tx1"/>
                  </w14:solidFill>
                </w14:textFill>
              </w:rPr>
              <w:t>80</w:t>
            </w:r>
            <w:r>
              <w:rPr>
                <w:rFonts w:hint="eastAsia"/>
                <w:color w:val="000000" w:themeColor="text1"/>
                <w:kern w:val="0"/>
                <w:szCs w:val="21"/>
                <w14:textFill>
                  <w14:solidFill>
                    <w14:schemeClr w14:val="tx1"/>
                  </w14:solidFill>
                </w14:textFill>
              </w:rPr>
              <w:t>个特定项目均未超标，水质安全稳定。</w:t>
            </w:r>
          </w:p>
          <w:p w14:paraId="57A58E45">
            <w:pPr>
              <w:wordWrap w:val="0"/>
              <w:spacing w:line="360" w:lineRule="auto"/>
              <w:ind w:firstLine="420" w:firstLineChars="200"/>
              <w:rPr>
                <w:rFonts w:hint="eastAsia"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根据</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202</w:t>
            </w: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年度常熟市生态环境质量报告</w:t>
            </w:r>
            <w:r>
              <w:rPr>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可知</w:t>
            </w:r>
            <w:r>
              <w:rPr>
                <w:rFonts w:hint="eastAsia" w:cs="Times New Roman"/>
                <w:color w:val="000000" w:themeColor="text1"/>
                <w:szCs w:val="21"/>
                <w:lang w:val="en-US" w:eastAsia="zh-CN"/>
                <w14:textFill>
                  <w14:solidFill>
                    <w14:schemeClr w14:val="tx1"/>
                  </w14:solidFill>
                </w14:textFill>
              </w:rPr>
              <w:t>：</w:t>
            </w:r>
          </w:p>
          <w:p w14:paraId="14594988">
            <w:pPr>
              <w:wordWrap w:val="0"/>
              <w:spacing w:line="360" w:lineRule="auto"/>
              <w:ind w:firstLine="420" w:firstLineChars="200"/>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2023年常熟市国考地表水断面白宕桥、江边闸、北桥大桥、福山塘闸为Ⅱ类水质，沈家市、江枫桥为Ⅲ类水质，均达到或优于2023年考核目标。</w:t>
            </w:r>
          </w:p>
          <w:p w14:paraId="591B6754">
            <w:pPr>
              <w:wordWrap w:val="0"/>
              <w:spacing w:line="360" w:lineRule="auto"/>
              <w:ind w:firstLine="420" w:firstLineChars="200"/>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2023年常熟市15个省考地表水断面中，达到或优于Ⅲ类水质断面有14个，占93.3%，Ⅳ类水质断面有1个，占6.7%，无Ⅴ类、劣Ⅴ类断面。达到2023年考核目标的断面比例为 100%，其中白宕桥、江边闸、北桥大桥、福山塘闸、官塘、张桥、海洋泾闸、金泾闸、徐六泾闸、耿泾塘耿泾闸断面水质优于考核目标。</w:t>
            </w:r>
          </w:p>
          <w:p w14:paraId="6EEEBA0E">
            <w:pPr>
              <w:adjustRightInd w:val="0"/>
              <w:snapToGrid w:val="0"/>
              <w:spacing w:line="360" w:lineRule="auto"/>
              <w:ind w:firstLine="420" w:firstLineChars="200"/>
              <w:rPr>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2023年常熟市29个市考地表水断面中，达到或优于Ⅲ类水质断面有28个，占96.6%，Ⅳ类水质断面有1个，占3.4%，无Ⅴ类、劣Ⅴ类断面。达到2023年考核目标的断面比例为100%，白宕桥、江边闸、北桥大桥、福山塘闸、官塘、张桥、海洋泾闸、金泾闸、徐六泾闸、耿泾塘耿泾闸、建设大桥、七浦塘大桥、昆承湖西路桥断面水质优于考核目标。</w:t>
            </w:r>
          </w:p>
          <w:p w14:paraId="5547C526">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14:textFill>
                  <w14:solidFill>
                    <w14:schemeClr w14:val="tx1"/>
                  </w14:solidFill>
                </w14:textFill>
              </w:rPr>
              <w:t>污水纳污水体为</w:t>
            </w:r>
            <w:r>
              <w:rPr>
                <w:rFonts w:hint="eastAsia"/>
                <w:color w:val="000000" w:themeColor="text1"/>
                <w:szCs w:val="21"/>
                <w:lang w:val="en-US" w:eastAsia="zh-CN"/>
                <w14:textFill>
                  <w14:solidFill>
                    <w14:schemeClr w14:val="tx1"/>
                  </w14:solidFill>
                </w14:textFill>
              </w:rPr>
              <w:t>大滃</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其</w:t>
            </w:r>
            <w:r>
              <w:rPr>
                <w:color w:val="000000" w:themeColor="text1"/>
                <w:szCs w:val="21"/>
                <w14:textFill>
                  <w14:solidFill>
                    <w14:schemeClr w14:val="tx1"/>
                  </w14:solidFill>
                </w14:textFill>
              </w:rPr>
              <w:t>水质类别为</w:t>
            </w:r>
            <w:r>
              <w:rPr>
                <w:rFonts w:hint="default" w:ascii="Times New Roman" w:hAnsi="Times New Roman" w:cs="Times New Roman"/>
                <w:color w:val="000000" w:themeColor="text1"/>
                <w:szCs w:val="21"/>
                <w:lang w:val="en-US" w:eastAsia="zh-CN"/>
                <w14:textFill>
                  <w14:solidFill>
                    <w14:schemeClr w14:val="tx1"/>
                  </w14:solidFill>
                </w14:textFill>
              </w:rPr>
              <w:t>Ⅲ</w:t>
            </w:r>
            <w:r>
              <w:rPr>
                <w:color w:val="000000" w:themeColor="text1"/>
                <w:szCs w:val="21"/>
                <w14:textFill>
                  <w14:solidFill>
                    <w14:schemeClr w14:val="tx1"/>
                  </w14:solidFill>
                </w14:textFill>
              </w:rPr>
              <w:t>类</w:t>
            </w:r>
            <w:r>
              <w:rPr>
                <w:rFonts w:hint="eastAsia"/>
                <w:color w:val="000000" w:themeColor="text1"/>
                <w:szCs w:val="21"/>
                <w14:textFill>
                  <w14:solidFill>
                    <w14:schemeClr w14:val="tx1"/>
                  </w14:solidFill>
                </w14:textFill>
              </w:rPr>
              <w:t>，本次评价引用</w:t>
            </w:r>
            <w:r>
              <w:rPr>
                <w:color w:val="000000" w:themeColor="text1"/>
                <w:szCs w:val="21"/>
                <w14:textFill>
                  <w14:solidFill>
                    <w14:schemeClr w14:val="tx1"/>
                  </w14:solidFill>
                </w14:textFill>
              </w:rPr>
              <w:t>《202</w:t>
            </w: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年度常熟市</w:t>
            </w:r>
            <w:r>
              <w:rPr>
                <w:rFonts w:hint="eastAsia"/>
                <w:color w:val="000000" w:themeColor="text1"/>
                <w:szCs w:val="21"/>
                <w14:textFill>
                  <w14:solidFill>
                    <w14:schemeClr w14:val="tx1"/>
                  </w14:solidFill>
                </w14:textFill>
              </w:rPr>
              <w:t>生态</w:t>
            </w:r>
            <w:r>
              <w:rPr>
                <w:color w:val="000000" w:themeColor="text1"/>
                <w:szCs w:val="21"/>
                <w14:textFill>
                  <w14:solidFill>
                    <w14:schemeClr w14:val="tx1"/>
                  </w14:solidFill>
                </w14:textFill>
              </w:rPr>
              <w:t>环境质量报告》中的</w:t>
            </w:r>
            <w:r>
              <w:rPr>
                <w:rFonts w:hint="eastAsia"/>
                <w:color w:val="000000" w:themeColor="text1"/>
                <w:szCs w:val="21"/>
                <w14:textFill>
                  <w14:solidFill>
                    <w14:schemeClr w14:val="tx1"/>
                  </w14:solidFill>
                </w14:textFill>
              </w:rPr>
              <w:t>乡区河道</w:t>
            </w:r>
            <w:r>
              <w:rPr>
                <w:color w:val="000000" w:themeColor="text1"/>
                <w:szCs w:val="21"/>
                <w14:textFill>
                  <w14:solidFill>
                    <w14:schemeClr w14:val="tx1"/>
                  </w14:solidFill>
                </w14:textFill>
              </w:rPr>
              <w:t>监测</w:t>
            </w:r>
            <w:r>
              <w:rPr>
                <w:rFonts w:hint="eastAsia"/>
                <w:color w:val="000000" w:themeColor="text1"/>
                <w:szCs w:val="21"/>
                <w14:textFill>
                  <w14:solidFill>
                    <w14:schemeClr w14:val="tx1"/>
                  </w14:solidFill>
                </w14:textFill>
              </w:rPr>
              <w:t>数据，详见下表。</w:t>
            </w:r>
          </w:p>
          <w:p w14:paraId="3D2594A2">
            <w:pPr>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w:t>
            </w:r>
            <w:r>
              <w:rPr>
                <w:color w:val="000000" w:themeColor="text1"/>
                <w:szCs w:val="21"/>
                <w14:textFill>
                  <w14:solidFill>
                    <w14:schemeClr w14:val="tx1"/>
                  </w14:solidFill>
                </w14:textFill>
              </w:rPr>
              <w:t>雨水</w:t>
            </w:r>
            <w:r>
              <w:rPr>
                <w:rFonts w:hint="eastAsia"/>
                <w:color w:val="000000" w:themeColor="text1"/>
                <w:szCs w:val="21"/>
                <w14:textFill>
                  <w14:solidFill>
                    <w14:schemeClr w14:val="tx1"/>
                  </w14:solidFill>
                </w14:textFill>
              </w:rPr>
              <w:t>流入水体为</w:t>
            </w:r>
            <w:r>
              <w:rPr>
                <w:rFonts w:hint="eastAsia"/>
                <w:color w:val="000000" w:themeColor="text1"/>
                <w:szCs w:val="21"/>
                <w:lang w:eastAsia="zh-CN"/>
                <w14:textFill>
                  <w14:solidFill>
                    <w14:schemeClr w14:val="tx1"/>
                  </w14:solidFill>
                </w14:textFill>
              </w:rPr>
              <w:t>附近水体</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其水质类别为Ⅳ类</w:t>
            </w:r>
            <w:r>
              <w:rPr>
                <w:rFonts w:hint="eastAsia"/>
                <w:color w:val="000000" w:themeColor="text1"/>
                <w:szCs w:val="21"/>
                <w14:textFill>
                  <w14:solidFill>
                    <w14:schemeClr w14:val="tx1"/>
                  </w14:solidFill>
                </w14:textFill>
              </w:rPr>
              <w:t>，本次评价引用</w:t>
            </w:r>
            <w:r>
              <w:rPr>
                <w:color w:val="000000" w:themeColor="text1"/>
                <w:szCs w:val="21"/>
                <w14:textFill>
                  <w14:solidFill>
                    <w14:schemeClr w14:val="tx1"/>
                  </w14:solidFill>
                </w14:textFill>
              </w:rPr>
              <w:t>《202</w:t>
            </w: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年度常熟市</w:t>
            </w:r>
            <w:r>
              <w:rPr>
                <w:rFonts w:hint="eastAsia"/>
                <w:color w:val="000000" w:themeColor="text1"/>
                <w:szCs w:val="21"/>
                <w14:textFill>
                  <w14:solidFill>
                    <w14:schemeClr w14:val="tx1"/>
                  </w14:solidFill>
                </w14:textFill>
              </w:rPr>
              <w:t>生态</w:t>
            </w:r>
            <w:r>
              <w:rPr>
                <w:color w:val="000000" w:themeColor="text1"/>
                <w:szCs w:val="21"/>
                <w14:textFill>
                  <w14:solidFill>
                    <w14:schemeClr w14:val="tx1"/>
                  </w14:solidFill>
                </w14:textFill>
              </w:rPr>
              <w:t>环境质量报告》中的</w:t>
            </w:r>
            <w:r>
              <w:rPr>
                <w:rFonts w:hint="eastAsia"/>
                <w:color w:val="000000" w:themeColor="text1"/>
                <w:szCs w:val="21"/>
                <w14:textFill>
                  <w14:solidFill>
                    <w14:schemeClr w14:val="tx1"/>
                  </w14:solidFill>
                </w14:textFill>
              </w:rPr>
              <w:t>乡区河道</w:t>
            </w:r>
            <w:r>
              <w:rPr>
                <w:color w:val="000000" w:themeColor="text1"/>
                <w:szCs w:val="21"/>
                <w14:textFill>
                  <w14:solidFill>
                    <w14:schemeClr w14:val="tx1"/>
                  </w14:solidFill>
                </w14:textFill>
              </w:rPr>
              <w:t>监测数据</w:t>
            </w:r>
            <w:r>
              <w:rPr>
                <w:rFonts w:hint="eastAsia"/>
                <w:color w:val="000000" w:themeColor="text1"/>
                <w:szCs w:val="21"/>
                <w14:textFill>
                  <w14:solidFill>
                    <w14:schemeClr w14:val="tx1"/>
                  </w14:solidFill>
                </w14:textFill>
              </w:rPr>
              <w:t>，详见下表。</w:t>
            </w:r>
          </w:p>
          <w:p w14:paraId="02883820">
            <w:pPr>
              <w:wordWrap w:val="0"/>
              <w:jc w:val="center"/>
              <w:rPr>
                <w:b/>
                <w:bCs/>
                <w:color w:val="000000" w:themeColor="text1"/>
                <w:sz w:val="24"/>
                <w14:textFill>
                  <w14:solidFill>
                    <w14:schemeClr w14:val="tx1"/>
                  </w14:solidFill>
                </w14:textFill>
              </w:rPr>
            </w:pPr>
            <w:r>
              <w:rPr>
                <w:b/>
                <w:bCs/>
                <w:color w:val="000000" w:themeColor="text1"/>
                <w:szCs w:val="21"/>
                <w14:textFill>
                  <w14:solidFill>
                    <w14:schemeClr w14:val="tx1"/>
                  </w14:solidFill>
                </w14:textFill>
              </w:rPr>
              <w:t xml:space="preserve">表3.2-1 </w:t>
            </w:r>
            <w:r>
              <w:rPr>
                <w:rFonts w:hint="eastAsia"/>
                <w:b/>
                <w:bCs/>
                <w:color w:val="000000" w:themeColor="text1"/>
                <w:szCs w:val="21"/>
                <w14:textFill>
                  <w14:solidFill>
                    <w14:schemeClr w14:val="tx1"/>
                  </w14:solidFill>
                </w14:textFill>
              </w:rPr>
              <w:t xml:space="preserve"> 202</w:t>
            </w:r>
            <w:r>
              <w:rPr>
                <w:rFonts w:hint="eastAsia"/>
                <w:b/>
                <w:bCs/>
                <w:color w:val="000000" w:themeColor="text1"/>
                <w:szCs w:val="21"/>
                <w:lang w:val="en-US" w:eastAsia="zh-CN"/>
                <w14:textFill>
                  <w14:solidFill>
                    <w14:schemeClr w14:val="tx1"/>
                  </w14:solidFill>
                </w14:textFill>
              </w:rPr>
              <w:t>3</w:t>
            </w:r>
            <w:r>
              <w:rPr>
                <w:rFonts w:hint="eastAsia"/>
                <w:b/>
                <w:bCs/>
                <w:color w:val="000000" w:themeColor="text1"/>
                <w:szCs w:val="21"/>
                <w14:textFill>
                  <w14:solidFill>
                    <w14:schemeClr w14:val="tx1"/>
                  </w14:solidFill>
                </w14:textFill>
              </w:rPr>
              <w:t>年常熟市</w:t>
            </w:r>
            <w:r>
              <w:rPr>
                <w:b/>
                <w:bCs/>
                <w:color w:val="000000" w:themeColor="text1"/>
                <w:szCs w:val="21"/>
                <w14:textFill>
                  <w14:solidFill>
                    <w14:schemeClr w14:val="tx1"/>
                  </w14:solidFill>
                </w14:textFill>
              </w:rPr>
              <w:t xml:space="preserve">地表水环境质量现状 </w:t>
            </w:r>
            <w:r>
              <w:rPr>
                <w:b/>
                <w:color w:val="000000" w:themeColor="text1"/>
                <w:szCs w:val="21"/>
                <w14:textFill>
                  <w14:solidFill>
                    <w14:schemeClr w14:val="tx1"/>
                  </w14:solidFill>
                </w14:textFill>
              </w:rPr>
              <w:t>（</w:t>
            </w:r>
            <w:r>
              <w:rPr>
                <w:b/>
                <w:color w:val="000000" w:themeColor="text1"/>
                <w:kern w:val="0"/>
                <w:szCs w:val="21"/>
                <w14:textFill>
                  <w14:solidFill>
                    <w14:schemeClr w14:val="tx1"/>
                  </w14:solidFill>
                </w14:textFill>
              </w:rPr>
              <w:t>单位：mg/L）</w:t>
            </w:r>
          </w:p>
          <w:tbl>
            <w:tblPr>
              <w:tblStyle w:val="22"/>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30"/>
              <w:gridCol w:w="747"/>
              <w:gridCol w:w="1344"/>
              <w:gridCol w:w="1189"/>
              <w:gridCol w:w="801"/>
              <w:gridCol w:w="882"/>
              <w:gridCol w:w="1192"/>
              <w:gridCol w:w="819"/>
            </w:tblGrid>
            <w:tr w14:paraId="4E1CF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0" w:type="pct"/>
                  <w:noWrap/>
                  <w:vAlign w:val="center"/>
                </w:tcPr>
                <w:p w14:paraId="6D1B8247">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449" w:type="pct"/>
                  <w:noWrap/>
                  <w:vAlign w:val="center"/>
                </w:tcPr>
                <w:p w14:paraId="210DBEAF">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溶解氧</w:t>
                  </w:r>
                </w:p>
              </w:tc>
              <w:tc>
                <w:tcPr>
                  <w:tcW w:w="809" w:type="pct"/>
                  <w:noWrap/>
                  <w:vAlign w:val="center"/>
                </w:tcPr>
                <w:p w14:paraId="7633A2DB">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高锰酸盐指数</w:t>
                  </w:r>
                </w:p>
              </w:tc>
              <w:tc>
                <w:tcPr>
                  <w:tcW w:w="715" w:type="pct"/>
                  <w:noWrap/>
                  <w:vAlign w:val="center"/>
                </w:tcPr>
                <w:p w14:paraId="27BE7875">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生化需氧量</w:t>
                  </w:r>
                </w:p>
              </w:tc>
              <w:tc>
                <w:tcPr>
                  <w:tcW w:w="482" w:type="pct"/>
                  <w:noWrap/>
                  <w:vAlign w:val="center"/>
                </w:tcPr>
                <w:p w14:paraId="321C16FA">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氨氮</w:t>
                  </w:r>
                </w:p>
              </w:tc>
              <w:tc>
                <w:tcPr>
                  <w:tcW w:w="531" w:type="pct"/>
                  <w:noWrap/>
                  <w:vAlign w:val="center"/>
                </w:tcPr>
                <w:p w14:paraId="66791040">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石油类</w:t>
                  </w:r>
                </w:p>
              </w:tc>
              <w:tc>
                <w:tcPr>
                  <w:tcW w:w="717" w:type="pct"/>
                  <w:noWrap/>
                  <w:vAlign w:val="center"/>
                </w:tcPr>
                <w:p w14:paraId="5BB94135">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化学需氧量</w:t>
                  </w:r>
                </w:p>
              </w:tc>
              <w:tc>
                <w:tcPr>
                  <w:tcW w:w="493" w:type="pct"/>
                  <w:noWrap/>
                  <w:vAlign w:val="center"/>
                </w:tcPr>
                <w:p w14:paraId="3ACC5396">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总磷</w:t>
                  </w:r>
                </w:p>
              </w:tc>
            </w:tr>
            <w:tr w14:paraId="3553A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0" w:type="pct"/>
                  <w:noWrap/>
                  <w:vAlign w:val="center"/>
                </w:tcPr>
                <w:p w14:paraId="7EA6D338">
                  <w:pPr>
                    <w:snapToGrid w:val="0"/>
                    <w:jc w:val="center"/>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乡区河道</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大滃、附近水体</w:t>
                  </w:r>
                  <w:r>
                    <w:rPr>
                      <w:rFonts w:hint="eastAsia"/>
                      <w:color w:val="000000" w:themeColor="text1"/>
                      <w:lang w:eastAsia="zh-CN"/>
                      <w14:textFill>
                        <w14:solidFill>
                          <w14:schemeClr w14:val="tx1"/>
                        </w14:solidFill>
                      </w14:textFill>
                    </w:rPr>
                    <w:t>）</w:t>
                  </w:r>
                </w:p>
              </w:tc>
              <w:tc>
                <w:tcPr>
                  <w:tcW w:w="449" w:type="pct"/>
                  <w:noWrap/>
                  <w:vAlign w:val="center"/>
                </w:tcPr>
                <w:p w14:paraId="7181FE0E">
                  <w:pPr>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7.74</w:t>
                  </w:r>
                </w:p>
              </w:tc>
              <w:tc>
                <w:tcPr>
                  <w:tcW w:w="809" w:type="pct"/>
                  <w:noWrap/>
                  <w:vAlign w:val="center"/>
                </w:tcPr>
                <w:p w14:paraId="3A099F37">
                  <w:pPr>
                    <w:snapToGrid w:val="0"/>
                    <w:jc w:val="center"/>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4</w:t>
                  </w:r>
                </w:p>
              </w:tc>
              <w:tc>
                <w:tcPr>
                  <w:tcW w:w="715" w:type="pct"/>
                  <w:noWrap/>
                  <w:vAlign w:val="center"/>
                </w:tcPr>
                <w:p w14:paraId="591695FA">
                  <w:pPr>
                    <w:snapToGrid w:val="0"/>
                    <w:jc w:val="center"/>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3</w:t>
                  </w:r>
                </w:p>
              </w:tc>
              <w:tc>
                <w:tcPr>
                  <w:tcW w:w="482" w:type="pct"/>
                  <w:noWrap/>
                  <w:vAlign w:val="center"/>
                </w:tcPr>
                <w:p w14:paraId="4F3786E0">
                  <w:pPr>
                    <w:snapToGrid w:val="0"/>
                    <w:jc w:val="center"/>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0.3</w:t>
                  </w:r>
                  <w:r>
                    <w:rPr>
                      <w:rFonts w:hint="eastAsia"/>
                      <w:color w:val="000000" w:themeColor="text1"/>
                      <w:lang w:val="en-US" w:eastAsia="zh-CN"/>
                      <w14:textFill>
                        <w14:solidFill>
                          <w14:schemeClr w14:val="tx1"/>
                        </w14:solidFill>
                      </w14:textFill>
                    </w:rPr>
                    <w:t>5</w:t>
                  </w:r>
                </w:p>
              </w:tc>
              <w:tc>
                <w:tcPr>
                  <w:tcW w:w="531" w:type="pct"/>
                  <w:noWrap/>
                  <w:vAlign w:val="center"/>
                </w:tcPr>
                <w:p w14:paraId="211FFC51">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717" w:type="pct"/>
                  <w:noWrap/>
                  <w:vAlign w:val="center"/>
                </w:tcPr>
                <w:p w14:paraId="3693AFC2">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.5</w:t>
                  </w:r>
                </w:p>
              </w:tc>
              <w:tc>
                <w:tcPr>
                  <w:tcW w:w="493" w:type="pct"/>
                  <w:noWrap/>
                  <w:vAlign w:val="center"/>
                </w:tcPr>
                <w:p w14:paraId="6E92D19C">
                  <w:pPr>
                    <w:snapToGrid w:val="0"/>
                    <w:jc w:val="center"/>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0.10</w:t>
                  </w:r>
                  <w:r>
                    <w:rPr>
                      <w:rFonts w:hint="eastAsia"/>
                      <w:color w:val="000000" w:themeColor="text1"/>
                      <w:lang w:val="en-US" w:eastAsia="zh-CN"/>
                      <w14:textFill>
                        <w14:solidFill>
                          <w14:schemeClr w14:val="tx1"/>
                        </w14:solidFill>
                      </w14:textFill>
                    </w:rPr>
                    <w:t>1</w:t>
                  </w:r>
                </w:p>
              </w:tc>
            </w:tr>
            <w:tr w14:paraId="379303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30" w:type="dxa"/>
                  <w:noWrap/>
                  <w:vAlign w:val="center"/>
                </w:tcPr>
                <w:p w14:paraId="10CC5F9B">
                  <w:pPr>
                    <w:snapToGrid w:val="0"/>
                    <w:jc w:val="center"/>
                    <w:rPr>
                      <w:color w:val="000000" w:themeColor="text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Ⅲ</w:t>
                  </w:r>
                  <w:r>
                    <w:rPr>
                      <w:color w:val="000000" w:themeColor="text1"/>
                      <w:szCs w:val="21"/>
                      <w14:textFill>
                        <w14:solidFill>
                          <w14:schemeClr w14:val="tx1"/>
                        </w14:solidFill>
                      </w14:textFill>
                    </w:rPr>
                    <w:t>类标准限值</w:t>
                  </w:r>
                </w:p>
              </w:tc>
              <w:tc>
                <w:tcPr>
                  <w:tcW w:w="747" w:type="dxa"/>
                  <w:noWrap/>
                  <w:vAlign w:val="center"/>
                </w:tcPr>
                <w:p w14:paraId="157574AB">
                  <w:pPr>
                    <w:snapToGrid w:val="0"/>
                    <w:jc w:val="center"/>
                    <w:rPr>
                      <w:rFonts w:hint="eastAsia" w:eastAsia="宋体"/>
                      <w:color w:val="000000" w:themeColor="text1"/>
                      <w:lang w:val="en-US" w:eastAsia="zh-CN"/>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5</w:t>
                  </w:r>
                </w:p>
              </w:tc>
              <w:tc>
                <w:tcPr>
                  <w:tcW w:w="1344" w:type="dxa"/>
                  <w:noWrap/>
                  <w:vAlign w:val="center"/>
                </w:tcPr>
                <w:p w14:paraId="403DE34F">
                  <w:pPr>
                    <w:snapToGrid w:val="0"/>
                    <w:jc w:val="center"/>
                    <w:rPr>
                      <w:rFonts w:hint="eastAsia" w:eastAsia="宋体"/>
                      <w:color w:val="000000" w:themeColor="text1"/>
                      <w:lang w:eastAsia="zh-CN"/>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6</w:t>
                  </w:r>
                </w:p>
              </w:tc>
              <w:tc>
                <w:tcPr>
                  <w:tcW w:w="1189" w:type="dxa"/>
                  <w:noWrap/>
                  <w:vAlign w:val="center"/>
                </w:tcPr>
                <w:p w14:paraId="40A5C7F1">
                  <w:pPr>
                    <w:snapToGrid w:val="0"/>
                    <w:jc w:val="center"/>
                    <w:rPr>
                      <w:rFonts w:hint="eastAsia" w:eastAsia="宋体"/>
                      <w:color w:val="000000" w:themeColor="text1"/>
                      <w:lang w:eastAsia="zh-CN"/>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4</w:t>
                  </w:r>
                </w:p>
              </w:tc>
              <w:tc>
                <w:tcPr>
                  <w:tcW w:w="801" w:type="dxa"/>
                  <w:noWrap/>
                  <w:vAlign w:val="center"/>
                </w:tcPr>
                <w:p w14:paraId="63C9601E">
                  <w:pPr>
                    <w:snapToGrid w:val="0"/>
                    <w:jc w:val="center"/>
                    <w:rPr>
                      <w:rFonts w:hint="default" w:eastAsia="宋体"/>
                      <w:color w:val="000000" w:themeColor="text1"/>
                      <w:lang w:val="en-US" w:eastAsia="zh-CN"/>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.0</w:t>
                  </w:r>
                </w:p>
              </w:tc>
              <w:tc>
                <w:tcPr>
                  <w:tcW w:w="882" w:type="dxa"/>
                  <w:noWrap/>
                  <w:vAlign w:val="center"/>
                </w:tcPr>
                <w:p w14:paraId="7E457DE4">
                  <w:pPr>
                    <w:snapToGrid w:val="0"/>
                    <w:jc w:val="center"/>
                    <w:rPr>
                      <w:rFonts w:hint="eastAsia"/>
                      <w:color w:val="000000" w:themeColor="text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0</w:t>
                  </w:r>
                  <w:r>
                    <w:rPr>
                      <w:color w:val="000000" w:themeColor="text1"/>
                      <w:szCs w:val="21"/>
                      <w14:textFill>
                        <w14:solidFill>
                          <w14:schemeClr w14:val="tx1"/>
                        </w14:solidFill>
                      </w14:textFill>
                    </w:rPr>
                    <w:t>5</w:t>
                  </w:r>
                </w:p>
              </w:tc>
              <w:tc>
                <w:tcPr>
                  <w:tcW w:w="1192" w:type="dxa"/>
                  <w:noWrap/>
                  <w:vAlign w:val="center"/>
                </w:tcPr>
                <w:p w14:paraId="252D4926">
                  <w:pPr>
                    <w:snapToGrid w:val="0"/>
                    <w:jc w:val="center"/>
                    <w:rPr>
                      <w:rFonts w:hint="eastAsia"/>
                      <w:color w:val="000000" w:themeColor="text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2</w:t>
                  </w:r>
                  <w:r>
                    <w:rPr>
                      <w:color w:val="000000" w:themeColor="text1"/>
                      <w:szCs w:val="21"/>
                      <w14:textFill>
                        <w14:solidFill>
                          <w14:schemeClr w14:val="tx1"/>
                        </w14:solidFill>
                      </w14:textFill>
                    </w:rPr>
                    <w:t>0</w:t>
                  </w:r>
                </w:p>
              </w:tc>
              <w:tc>
                <w:tcPr>
                  <w:tcW w:w="819" w:type="dxa"/>
                  <w:noWrap/>
                  <w:vAlign w:val="center"/>
                </w:tcPr>
                <w:p w14:paraId="3DA96CDD">
                  <w:pPr>
                    <w:snapToGrid w:val="0"/>
                    <w:jc w:val="center"/>
                    <w:rPr>
                      <w:rFonts w:hint="eastAsia" w:eastAsia="宋体"/>
                      <w:color w:val="000000" w:themeColor="text1"/>
                      <w:lang w:eastAsia="zh-CN"/>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2</w:t>
                  </w:r>
                </w:p>
              </w:tc>
            </w:tr>
            <w:tr w14:paraId="28ED0F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0" w:type="pct"/>
                  <w:noWrap/>
                  <w:vAlign w:val="center"/>
                </w:tcPr>
                <w:p w14:paraId="65FB78F3">
                  <w:pPr>
                    <w:snapToGrid w:val="0"/>
                    <w:jc w:val="center"/>
                    <w:rPr>
                      <w:color w:val="000000" w:themeColor="text1"/>
                      <w14:textFill>
                        <w14:solidFill>
                          <w14:schemeClr w14:val="tx1"/>
                        </w14:solidFill>
                      </w14:textFill>
                    </w:rPr>
                  </w:pPr>
                  <w:r>
                    <w:rPr>
                      <w:color w:val="000000" w:themeColor="text1"/>
                      <w:szCs w:val="21"/>
                      <w14:textFill>
                        <w14:solidFill>
                          <w14:schemeClr w14:val="tx1"/>
                        </w14:solidFill>
                      </w14:textFill>
                    </w:rPr>
                    <w:t>Ⅳ类标准限值</w:t>
                  </w:r>
                </w:p>
              </w:tc>
              <w:tc>
                <w:tcPr>
                  <w:tcW w:w="449" w:type="pct"/>
                  <w:noWrap/>
                  <w:vAlign w:val="center"/>
                </w:tcPr>
                <w:p w14:paraId="64BFF22D">
                  <w:pPr>
                    <w:snapToGrid w:val="0"/>
                    <w:jc w:val="center"/>
                    <w:rPr>
                      <w:color w:val="000000" w:themeColor="text1"/>
                      <w14:textFill>
                        <w14:solidFill>
                          <w14:schemeClr w14:val="tx1"/>
                        </w14:solidFill>
                      </w14:textFill>
                    </w:rPr>
                  </w:pPr>
                  <w:r>
                    <w:rPr>
                      <w:color w:val="000000" w:themeColor="text1"/>
                      <w:szCs w:val="21"/>
                      <w14:textFill>
                        <w14:solidFill>
                          <w14:schemeClr w14:val="tx1"/>
                        </w14:solidFill>
                      </w14:textFill>
                    </w:rPr>
                    <w:t>≥3</w:t>
                  </w:r>
                </w:p>
              </w:tc>
              <w:tc>
                <w:tcPr>
                  <w:tcW w:w="809" w:type="pct"/>
                  <w:noWrap/>
                  <w:vAlign w:val="center"/>
                </w:tcPr>
                <w:p w14:paraId="71D4754C">
                  <w:pPr>
                    <w:snapToGrid w:val="0"/>
                    <w:jc w:val="center"/>
                    <w:rPr>
                      <w:color w:val="000000" w:themeColor="text1"/>
                      <w14:textFill>
                        <w14:solidFill>
                          <w14:schemeClr w14:val="tx1"/>
                        </w14:solidFill>
                      </w14:textFill>
                    </w:rPr>
                  </w:pPr>
                  <w:r>
                    <w:rPr>
                      <w:color w:val="000000" w:themeColor="text1"/>
                      <w:szCs w:val="21"/>
                      <w14:textFill>
                        <w14:solidFill>
                          <w14:schemeClr w14:val="tx1"/>
                        </w14:solidFill>
                      </w14:textFill>
                    </w:rPr>
                    <w:t>≤10</w:t>
                  </w:r>
                </w:p>
              </w:tc>
              <w:tc>
                <w:tcPr>
                  <w:tcW w:w="715" w:type="pct"/>
                  <w:noWrap/>
                  <w:vAlign w:val="center"/>
                </w:tcPr>
                <w:p w14:paraId="455BE839">
                  <w:pPr>
                    <w:snapToGrid w:val="0"/>
                    <w:jc w:val="center"/>
                    <w:rPr>
                      <w:color w:val="000000" w:themeColor="text1"/>
                      <w14:textFill>
                        <w14:solidFill>
                          <w14:schemeClr w14:val="tx1"/>
                        </w14:solidFill>
                      </w14:textFill>
                    </w:rPr>
                  </w:pPr>
                  <w:r>
                    <w:rPr>
                      <w:color w:val="000000" w:themeColor="text1"/>
                      <w:szCs w:val="21"/>
                      <w14:textFill>
                        <w14:solidFill>
                          <w14:schemeClr w14:val="tx1"/>
                        </w14:solidFill>
                      </w14:textFill>
                    </w:rPr>
                    <w:t>≤6</w:t>
                  </w:r>
                </w:p>
              </w:tc>
              <w:tc>
                <w:tcPr>
                  <w:tcW w:w="482" w:type="pct"/>
                  <w:noWrap/>
                  <w:vAlign w:val="center"/>
                </w:tcPr>
                <w:p w14:paraId="38AA63C7">
                  <w:pPr>
                    <w:snapToGrid w:val="0"/>
                    <w:jc w:val="center"/>
                    <w:rPr>
                      <w:color w:val="000000" w:themeColor="text1"/>
                      <w14:textFill>
                        <w14:solidFill>
                          <w14:schemeClr w14:val="tx1"/>
                        </w14:solidFill>
                      </w14:textFill>
                    </w:rPr>
                  </w:pPr>
                  <w:r>
                    <w:rPr>
                      <w:color w:val="000000" w:themeColor="text1"/>
                      <w:szCs w:val="21"/>
                      <w14:textFill>
                        <w14:solidFill>
                          <w14:schemeClr w14:val="tx1"/>
                        </w14:solidFill>
                      </w14:textFill>
                    </w:rPr>
                    <w:t>≤1.5</w:t>
                  </w:r>
                </w:p>
              </w:tc>
              <w:tc>
                <w:tcPr>
                  <w:tcW w:w="531" w:type="pct"/>
                  <w:noWrap/>
                  <w:vAlign w:val="center"/>
                </w:tcPr>
                <w:p w14:paraId="6493BC5F">
                  <w:pPr>
                    <w:snapToGrid w:val="0"/>
                    <w:jc w:val="center"/>
                    <w:rPr>
                      <w:color w:val="000000" w:themeColor="text1"/>
                      <w14:textFill>
                        <w14:solidFill>
                          <w14:schemeClr w14:val="tx1"/>
                        </w14:solidFill>
                      </w14:textFill>
                    </w:rPr>
                  </w:pPr>
                  <w:r>
                    <w:rPr>
                      <w:color w:val="000000" w:themeColor="text1"/>
                      <w:szCs w:val="21"/>
                      <w14:textFill>
                        <w14:solidFill>
                          <w14:schemeClr w14:val="tx1"/>
                        </w14:solidFill>
                      </w14:textFill>
                    </w:rPr>
                    <w:t>≤0.5</w:t>
                  </w:r>
                </w:p>
              </w:tc>
              <w:tc>
                <w:tcPr>
                  <w:tcW w:w="717" w:type="pct"/>
                  <w:noWrap/>
                  <w:vAlign w:val="center"/>
                </w:tcPr>
                <w:p w14:paraId="69F36573">
                  <w:pPr>
                    <w:snapToGrid w:val="0"/>
                    <w:jc w:val="center"/>
                    <w:rPr>
                      <w:color w:val="000000" w:themeColor="text1"/>
                      <w14:textFill>
                        <w14:solidFill>
                          <w14:schemeClr w14:val="tx1"/>
                        </w14:solidFill>
                      </w14:textFill>
                    </w:rPr>
                  </w:pPr>
                  <w:r>
                    <w:rPr>
                      <w:color w:val="000000" w:themeColor="text1"/>
                      <w:szCs w:val="21"/>
                      <w14:textFill>
                        <w14:solidFill>
                          <w14:schemeClr w14:val="tx1"/>
                        </w14:solidFill>
                      </w14:textFill>
                    </w:rPr>
                    <w:t>≤30</w:t>
                  </w:r>
                </w:p>
              </w:tc>
              <w:tc>
                <w:tcPr>
                  <w:tcW w:w="493" w:type="pct"/>
                  <w:noWrap/>
                  <w:vAlign w:val="center"/>
                </w:tcPr>
                <w:p w14:paraId="21712EED">
                  <w:pPr>
                    <w:snapToGrid w:val="0"/>
                    <w:jc w:val="center"/>
                    <w:rPr>
                      <w:color w:val="000000" w:themeColor="text1"/>
                      <w14:textFill>
                        <w14:solidFill>
                          <w14:schemeClr w14:val="tx1"/>
                        </w14:solidFill>
                      </w14:textFill>
                    </w:rPr>
                  </w:pPr>
                  <w:r>
                    <w:rPr>
                      <w:color w:val="000000" w:themeColor="text1"/>
                      <w:szCs w:val="21"/>
                      <w14:textFill>
                        <w14:solidFill>
                          <w14:schemeClr w14:val="tx1"/>
                        </w14:solidFill>
                      </w14:textFill>
                    </w:rPr>
                    <w:t>≤0.3</w:t>
                  </w:r>
                </w:p>
              </w:tc>
            </w:tr>
          </w:tbl>
          <w:p w14:paraId="248F4382">
            <w:pPr>
              <w:adjustRightInd w:val="0"/>
              <w:snapToGrid w:val="0"/>
              <w:spacing w:line="360" w:lineRule="auto"/>
              <w:ind w:firstLine="420" w:firstLineChars="200"/>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根据上表，</w:t>
            </w:r>
            <w:r>
              <w:rPr>
                <w:rFonts w:hint="eastAsia"/>
                <w:color w:val="000000" w:themeColor="text1"/>
                <w:szCs w:val="21"/>
                <w14:textFill>
                  <w14:solidFill>
                    <w14:schemeClr w14:val="tx1"/>
                  </w14:solidFill>
                </w14:textFill>
              </w:rPr>
              <w:t>本项目</w:t>
            </w:r>
            <w:r>
              <w:rPr>
                <w:color w:val="000000" w:themeColor="text1"/>
                <w:szCs w:val="21"/>
                <w14:textFill>
                  <w14:solidFill>
                    <w14:schemeClr w14:val="tx1"/>
                  </w14:solidFill>
                </w14:textFill>
              </w:rPr>
              <w:t>污水纳污水体</w:t>
            </w:r>
            <w:r>
              <w:rPr>
                <w:rFonts w:hint="eastAsia"/>
                <w:color w:val="000000" w:themeColor="text1"/>
                <w:szCs w:val="21"/>
                <w:lang w:val="en-US" w:eastAsia="zh-CN"/>
                <w14:textFill>
                  <w14:solidFill>
                    <w14:schemeClr w14:val="tx1"/>
                  </w14:solidFill>
                </w14:textFill>
              </w:rPr>
              <w:t>大滃</w:t>
            </w:r>
            <w:r>
              <w:rPr>
                <w:color w:val="000000" w:themeColor="text1"/>
                <w:szCs w:val="21"/>
                <w14:textFill>
                  <w14:solidFill>
                    <w14:schemeClr w14:val="tx1"/>
                  </w14:solidFill>
                </w14:textFill>
              </w:rPr>
              <w:t>的各污染因子达到《地表水环境质量标准》（GB3838-2002</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Ⅲ</w:t>
            </w:r>
            <w:r>
              <w:rPr>
                <w:color w:val="000000" w:themeColor="text1"/>
                <w:szCs w:val="21"/>
                <w14:textFill>
                  <w14:solidFill>
                    <w14:schemeClr w14:val="tx1"/>
                  </w14:solidFill>
                </w14:textFill>
              </w:rPr>
              <w:t>类标准</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雨水流入水体</w:t>
            </w:r>
            <w:r>
              <w:rPr>
                <w:rFonts w:hint="eastAsia"/>
                <w:color w:val="000000" w:themeColor="text1"/>
                <w:szCs w:val="21"/>
                <w:lang w:eastAsia="zh-CN"/>
                <w14:textFill>
                  <w14:solidFill>
                    <w14:schemeClr w14:val="tx1"/>
                  </w14:solidFill>
                </w14:textFill>
              </w:rPr>
              <w:t>附近水体</w:t>
            </w:r>
            <w:r>
              <w:rPr>
                <w:color w:val="000000" w:themeColor="text1"/>
                <w:szCs w:val="21"/>
                <w14:textFill>
                  <w14:solidFill>
                    <w14:schemeClr w14:val="tx1"/>
                  </w14:solidFill>
                </w14:textFill>
              </w:rPr>
              <w:t>的各污染因子达到《地表水环境质量标准》（GB3838-2002）Ⅳ类标准。</w:t>
            </w:r>
          </w:p>
          <w:p w14:paraId="350BDEB9">
            <w:pPr>
              <w:adjustRightInd w:val="0"/>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3.3声环境质量状况</w:t>
            </w:r>
          </w:p>
          <w:p w14:paraId="5F16FF83">
            <w:pPr>
              <w:pStyle w:val="9"/>
              <w:spacing w:after="0" w:line="360" w:lineRule="auto"/>
              <w:ind w:left="0" w:leftChars="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根据</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2023年度常熟市生态环境质量公报</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2023年常熟市区域环境噪声昼间等效声级均值为53.7</w:t>
            </w:r>
            <w:r>
              <w:rPr>
                <w:rFonts w:hint="eastAsia"/>
                <w:color w:val="000000" w:themeColor="text1"/>
                <w:sz w:val="21"/>
                <w:szCs w:val="21"/>
                <w14:textFill>
                  <w14:solidFill>
                    <w14:schemeClr w14:val="tx1"/>
                  </w14:solidFill>
                </w14:textFill>
              </w:rPr>
              <w:t>分贝</w:t>
            </w:r>
            <w:r>
              <w:rPr>
                <w:color w:val="000000" w:themeColor="text1"/>
                <w:sz w:val="21"/>
                <w:szCs w:val="21"/>
                <w14:textFill>
                  <w14:solidFill>
                    <w14:schemeClr w14:val="tx1"/>
                  </w14:solidFill>
                </w14:textFill>
              </w:rPr>
              <w:t>(A)</w:t>
            </w:r>
            <w:r>
              <w:rPr>
                <w:rFonts w:hint="eastAsia"/>
                <w:color w:val="000000" w:themeColor="text1"/>
                <w:sz w:val="21"/>
                <w:szCs w:val="21"/>
                <w14:textFill>
                  <w14:solidFill>
                    <w14:schemeClr w14:val="tx1"/>
                  </w14:solidFill>
                </w14:textFill>
              </w:rPr>
              <w:t>，与上年相比上升了</w:t>
            </w:r>
            <w:r>
              <w:rPr>
                <w:color w:val="000000" w:themeColor="text1"/>
                <w:sz w:val="21"/>
                <w:szCs w:val="21"/>
                <w14:textFill>
                  <w14:solidFill>
                    <w14:schemeClr w14:val="tx1"/>
                  </w14:solidFill>
                </w14:textFill>
              </w:rPr>
              <w:t>1.1</w:t>
            </w:r>
            <w:r>
              <w:rPr>
                <w:rFonts w:hint="eastAsia"/>
                <w:color w:val="000000" w:themeColor="text1"/>
                <w:sz w:val="21"/>
                <w:szCs w:val="21"/>
                <w14:textFill>
                  <w14:solidFill>
                    <w14:schemeClr w14:val="tx1"/>
                  </w14:solidFill>
                </w14:textFill>
              </w:rPr>
              <w:t>分贝</w:t>
            </w:r>
            <w:r>
              <w:rPr>
                <w:color w:val="000000" w:themeColor="text1"/>
                <w:sz w:val="21"/>
                <w:szCs w:val="21"/>
                <w14:textFill>
                  <w14:solidFill>
                    <w14:schemeClr w14:val="tx1"/>
                  </w14:solidFill>
                </w14:textFill>
              </w:rPr>
              <w:t>(A)</w:t>
            </w:r>
            <w:r>
              <w:rPr>
                <w:rFonts w:hint="eastAsia"/>
                <w:color w:val="000000" w:themeColor="text1"/>
                <w:sz w:val="21"/>
                <w:szCs w:val="21"/>
                <w14:textFill>
                  <w14:solidFill>
                    <w14:schemeClr w14:val="tx1"/>
                  </w14:solidFill>
                </w14:textFill>
              </w:rPr>
              <w:t xml:space="preserve">；噪声水平等级为二级，同比保持不 </w:t>
            </w:r>
          </w:p>
          <w:p w14:paraId="722832B8">
            <w:pPr>
              <w:pStyle w:val="9"/>
              <w:spacing w:after="0" w:line="360" w:lineRule="auto"/>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变。区域环境噪声夜间等效声级均值为</w:t>
            </w:r>
            <w:r>
              <w:rPr>
                <w:color w:val="000000" w:themeColor="text1"/>
                <w:sz w:val="21"/>
                <w:szCs w:val="21"/>
                <w14:textFill>
                  <w14:solidFill>
                    <w14:schemeClr w14:val="tx1"/>
                  </w14:solidFill>
                </w14:textFill>
              </w:rPr>
              <w:t>46.3</w:t>
            </w:r>
            <w:r>
              <w:rPr>
                <w:rFonts w:hint="eastAsia"/>
                <w:color w:val="000000" w:themeColor="text1"/>
                <w:sz w:val="21"/>
                <w:szCs w:val="21"/>
                <w14:textFill>
                  <w14:solidFill>
                    <w14:schemeClr w14:val="tx1"/>
                  </w14:solidFill>
                </w14:textFill>
              </w:rPr>
              <w:t>分贝</w:t>
            </w:r>
            <w:r>
              <w:rPr>
                <w:color w:val="000000" w:themeColor="text1"/>
                <w:sz w:val="21"/>
                <w:szCs w:val="21"/>
                <w14:textFill>
                  <w14:solidFill>
                    <w14:schemeClr w14:val="tx1"/>
                  </w14:solidFill>
                </w14:textFill>
              </w:rPr>
              <w:t>(A)</w:t>
            </w:r>
            <w:r>
              <w:rPr>
                <w:rFonts w:hint="eastAsia"/>
                <w:color w:val="000000" w:themeColor="text1"/>
                <w:sz w:val="21"/>
                <w:szCs w:val="21"/>
                <w14:textFill>
                  <w14:solidFill>
                    <w14:schemeClr w14:val="tx1"/>
                  </w14:solidFill>
                </w14:textFill>
              </w:rPr>
              <w:t>，与</w:t>
            </w:r>
            <w:r>
              <w:rPr>
                <w:color w:val="000000" w:themeColor="text1"/>
                <w:sz w:val="21"/>
                <w:szCs w:val="21"/>
                <w14:textFill>
                  <w14:solidFill>
                    <w14:schemeClr w14:val="tx1"/>
                  </w14:solidFill>
                </w14:textFill>
              </w:rPr>
              <w:t>2018</w:t>
            </w:r>
            <w:r>
              <w:rPr>
                <w:rFonts w:hint="eastAsia"/>
                <w:color w:val="000000" w:themeColor="text1"/>
                <w:sz w:val="21"/>
                <w:szCs w:val="21"/>
                <w14:textFill>
                  <w14:solidFill>
                    <w14:schemeClr w14:val="tx1"/>
                  </w14:solidFill>
                </w14:textFill>
              </w:rPr>
              <w:t>年相比上升了</w:t>
            </w:r>
            <w:r>
              <w:rPr>
                <w:color w:val="000000" w:themeColor="text1"/>
                <w:sz w:val="21"/>
                <w:szCs w:val="21"/>
                <w14:textFill>
                  <w14:solidFill>
                    <w14:schemeClr w14:val="tx1"/>
                  </w14:solidFill>
                </w14:textFill>
              </w:rPr>
              <w:t>6.2</w:t>
            </w:r>
            <w:r>
              <w:rPr>
                <w:rFonts w:hint="eastAsia"/>
                <w:color w:val="000000" w:themeColor="text1"/>
                <w:sz w:val="21"/>
                <w:szCs w:val="21"/>
                <w14:textFill>
                  <w14:solidFill>
                    <w14:schemeClr w14:val="tx1"/>
                  </w14:solidFill>
                </w14:textFill>
              </w:rPr>
              <w:t>分贝</w:t>
            </w:r>
            <w:r>
              <w:rPr>
                <w:color w:val="000000" w:themeColor="text1"/>
                <w:sz w:val="21"/>
                <w:szCs w:val="21"/>
                <w14:textFill>
                  <w14:solidFill>
                    <w14:schemeClr w14:val="tx1"/>
                  </w14:solidFill>
                </w14:textFill>
              </w:rPr>
              <w:t>(A)</w:t>
            </w:r>
            <w:r>
              <w:rPr>
                <w:rFonts w:hint="eastAsia"/>
                <w:color w:val="000000" w:themeColor="text1"/>
                <w:sz w:val="21"/>
                <w:szCs w:val="21"/>
                <w14:textFill>
                  <w14:solidFill>
                    <w14:schemeClr w14:val="tx1"/>
                  </w14:solidFill>
                </w14:textFill>
              </w:rPr>
              <w:t>；噪声水平等级为三级，较</w:t>
            </w:r>
            <w:r>
              <w:rPr>
                <w:color w:val="000000" w:themeColor="text1"/>
                <w:sz w:val="21"/>
                <w:szCs w:val="21"/>
                <w14:textFill>
                  <w14:solidFill>
                    <w14:schemeClr w14:val="tx1"/>
                  </w14:solidFill>
                </w14:textFill>
              </w:rPr>
              <w:t>2018</w:t>
            </w:r>
            <w:r>
              <w:rPr>
                <w:rFonts w:hint="eastAsia"/>
                <w:color w:val="000000" w:themeColor="text1"/>
                <w:sz w:val="21"/>
                <w:szCs w:val="21"/>
                <w14:textFill>
                  <w14:solidFill>
                    <w14:schemeClr w14:val="tx1"/>
                  </w14:solidFill>
                </w14:textFill>
              </w:rPr>
              <w:t>年下降一级，污染程度明显加重。从声源结构来看，影响常熟市区域声环境质量的主要是 生活噪声和工业噪声。从声源强度来看，昼间、夜间区域噪声声源强度从高到低依次为交通噪声、工业噪声、施工噪声、生活噪声。</w:t>
            </w:r>
          </w:p>
          <w:p w14:paraId="201EBD6D">
            <w:pPr>
              <w:pStyle w:val="9"/>
              <w:spacing w:after="0" w:line="360" w:lineRule="auto"/>
              <w:ind w:left="0" w:leftChars="0" w:firstLine="420" w:firstLineChars="200"/>
              <w:rPr>
                <w:color w:val="000000" w:themeColor="text1"/>
                <w14:textFill>
                  <w14:solidFill>
                    <w14:schemeClr w14:val="tx1"/>
                  </w14:solidFill>
                </w14:textFill>
              </w:rPr>
            </w:pPr>
            <w:r>
              <w:rPr>
                <w:color w:val="000000" w:themeColor="text1"/>
                <w:sz w:val="21"/>
                <w:szCs w:val="21"/>
                <w14:textFill>
                  <w14:solidFill>
                    <w14:schemeClr w14:val="tx1"/>
                  </w14:solidFill>
                </w14:textFill>
              </w:rPr>
              <w:t>2023</w:t>
            </w:r>
            <w:r>
              <w:rPr>
                <w:rFonts w:hint="eastAsia"/>
                <w:color w:val="000000" w:themeColor="text1"/>
                <w:sz w:val="21"/>
                <w:szCs w:val="21"/>
                <w14:textFill>
                  <w14:solidFill>
                    <w14:schemeClr w14:val="tx1"/>
                  </w14:solidFill>
                </w14:textFill>
              </w:rPr>
              <w:t>年常熟市</w:t>
            </w:r>
            <w:r>
              <w:rPr>
                <w:color w:val="000000" w:themeColor="text1"/>
                <w:sz w:val="21"/>
                <w:szCs w:val="21"/>
                <w14:textFill>
                  <w14:solidFill>
                    <w14:schemeClr w14:val="tx1"/>
                  </w14:solidFill>
                </w14:textFill>
              </w:rPr>
              <w:t>4</w:t>
            </w:r>
            <w:r>
              <w:rPr>
                <w:rFonts w:hint="eastAsia"/>
                <w:color w:val="000000" w:themeColor="text1"/>
                <w:sz w:val="21"/>
                <w:szCs w:val="21"/>
                <w14:textFill>
                  <w14:solidFill>
                    <w14:schemeClr w14:val="tx1"/>
                  </w14:solidFill>
                </w14:textFill>
              </w:rPr>
              <w:t>类功能区昼间、夜间噪声年均值均达到对应环境噪声等效声级限值。</w:t>
            </w:r>
            <w:r>
              <w:rPr>
                <w:color w:val="000000" w:themeColor="text1"/>
                <w:sz w:val="21"/>
                <w:szCs w:val="21"/>
                <w14:textFill>
                  <w14:solidFill>
                    <w14:schemeClr w14:val="tx1"/>
                  </w14:solidFill>
                </w14:textFill>
              </w:rPr>
              <w:t>Ⅰ</w:t>
            </w:r>
            <w:r>
              <w:rPr>
                <w:rFonts w:hint="eastAsia"/>
                <w:color w:val="000000" w:themeColor="text1"/>
                <w:sz w:val="21"/>
                <w:szCs w:val="21"/>
                <w14:textFill>
                  <w14:solidFill>
                    <w14:schemeClr w14:val="tx1"/>
                  </w14:solidFill>
                </w14:textFill>
              </w:rPr>
              <w:t>类区（居民文教区），</w:t>
            </w:r>
            <w:r>
              <w:rPr>
                <w:color w:val="000000" w:themeColor="text1"/>
                <w:sz w:val="21"/>
                <w:szCs w:val="21"/>
                <w14:textFill>
                  <w14:solidFill>
                    <w14:schemeClr w14:val="tx1"/>
                  </w14:solidFill>
                </w14:textFill>
              </w:rPr>
              <w:t>Ⅱ</w:t>
            </w:r>
            <w:r>
              <w:rPr>
                <w:rFonts w:hint="eastAsia"/>
                <w:color w:val="000000" w:themeColor="text1"/>
                <w:sz w:val="21"/>
                <w:szCs w:val="21"/>
                <w14:textFill>
                  <w14:solidFill>
                    <w14:schemeClr w14:val="tx1"/>
                  </w14:solidFill>
                </w14:textFill>
              </w:rPr>
              <w:t>类区（居住、工商混合区），</w:t>
            </w:r>
            <w:r>
              <w:rPr>
                <w:color w:val="000000" w:themeColor="text1"/>
                <w:sz w:val="21"/>
                <w:szCs w:val="21"/>
                <w14:textFill>
                  <w14:solidFill>
                    <w14:schemeClr w14:val="tx1"/>
                  </w14:solidFill>
                </w14:textFill>
              </w:rPr>
              <w:t>Ⅲ</w:t>
            </w:r>
            <w:r>
              <w:rPr>
                <w:rFonts w:hint="eastAsia"/>
                <w:color w:val="000000" w:themeColor="text1"/>
                <w:sz w:val="21"/>
                <w:szCs w:val="21"/>
                <w14:textFill>
                  <w14:solidFill>
                    <w14:schemeClr w14:val="tx1"/>
                  </w14:solidFill>
                </w14:textFill>
              </w:rPr>
              <w:t>类区（工业区），</w:t>
            </w:r>
            <w:r>
              <w:rPr>
                <w:color w:val="000000" w:themeColor="text1"/>
                <w:sz w:val="21"/>
                <w:szCs w:val="21"/>
                <w14:textFill>
                  <w14:solidFill>
                    <w14:schemeClr w14:val="tx1"/>
                  </w14:solidFill>
                </w14:textFill>
              </w:rPr>
              <w:t>Ⅳ</w:t>
            </w:r>
            <w:r>
              <w:rPr>
                <w:rFonts w:hint="eastAsia"/>
                <w:color w:val="000000" w:themeColor="text1"/>
                <w:sz w:val="21"/>
                <w:szCs w:val="21"/>
                <w14:textFill>
                  <w14:solidFill>
                    <w14:schemeClr w14:val="tx1"/>
                  </w14:solidFill>
                </w14:textFill>
              </w:rPr>
              <w:t>类区（交通干线两侧区）昼间年均等效声级值依次为</w:t>
            </w:r>
            <w:r>
              <w:rPr>
                <w:color w:val="000000" w:themeColor="text1"/>
                <w:sz w:val="21"/>
                <w:szCs w:val="21"/>
                <w14:textFill>
                  <w14:solidFill>
                    <w14:schemeClr w14:val="tx1"/>
                  </w14:solidFill>
                </w14:textFill>
              </w:rPr>
              <w:t>49.0</w:t>
            </w:r>
            <w:r>
              <w:rPr>
                <w:rFonts w:hint="eastAsia"/>
                <w:color w:val="000000" w:themeColor="text1"/>
                <w:sz w:val="21"/>
                <w:szCs w:val="21"/>
                <w14:textFill>
                  <w14:solidFill>
                    <w14:schemeClr w14:val="tx1"/>
                  </w14:solidFill>
                </w14:textFill>
              </w:rPr>
              <w:t>分贝</w:t>
            </w:r>
            <w:r>
              <w:rPr>
                <w:color w:val="000000" w:themeColor="text1"/>
                <w:sz w:val="21"/>
                <w:szCs w:val="21"/>
                <w14:textFill>
                  <w14:solidFill>
                    <w14:schemeClr w14:val="tx1"/>
                  </w14:solidFill>
                </w14:textFill>
              </w:rPr>
              <w:t>(A)</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51.0</w:t>
            </w:r>
            <w:r>
              <w:rPr>
                <w:rFonts w:hint="eastAsia"/>
                <w:color w:val="000000" w:themeColor="text1"/>
                <w:sz w:val="21"/>
                <w:szCs w:val="21"/>
                <w14:textFill>
                  <w14:solidFill>
                    <w14:schemeClr w14:val="tx1"/>
                  </w14:solidFill>
                </w14:textFill>
              </w:rPr>
              <w:t>分贝</w:t>
            </w:r>
            <w:r>
              <w:rPr>
                <w:color w:val="000000" w:themeColor="text1"/>
                <w:sz w:val="21"/>
                <w:szCs w:val="21"/>
                <w14:textFill>
                  <w14:solidFill>
                    <w14:schemeClr w14:val="tx1"/>
                  </w14:solidFill>
                </w14:textFill>
              </w:rPr>
              <w:t>(A)</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52.8</w:t>
            </w:r>
            <w:r>
              <w:rPr>
                <w:rFonts w:hint="eastAsia"/>
                <w:color w:val="000000" w:themeColor="text1"/>
                <w:sz w:val="21"/>
                <w:szCs w:val="21"/>
                <w14:textFill>
                  <w14:solidFill>
                    <w14:schemeClr w14:val="tx1"/>
                  </w14:solidFill>
                </w14:textFill>
              </w:rPr>
              <w:t>分贝</w:t>
            </w:r>
            <w:r>
              <w:rPr>
                <w:color w:val="000000" w:themeColor="text1"/>
                <w:sz w:val="21"/>
                <w:szCs w:val="21"/>
                <w14:textFill>
                  <w14:solidFill>
                    <w14:schemeClr w14:val="tx1"/>
                  </w14:solidFill>
                </w14:textFill>
              </w:rPr>
              <w:t>(A)</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57.6</w:t>
            </w:r>
            <w:r>
              <w:rPr>
                <w:rFonts w:hint="eastAsia"/>
                <w:color w:val="000000" w:themeColor="text1"/>
                <w:sz w:val="21"/>
                <w:szCs w:val="21"/>
                <w14:textFill>
                  <w14:solidFill>
                    <w14:schemeClr w14:val="tx1"/>
                  </w14:solidFill>
                </w14:textFill>
              </w:rPr>
              <w:t>分贝</w:t>
            </w:r>
            <w:r>
              <w:rPr>
                <w:color w:val="000000" w:themeColor="text1"/>
                <w:sz w:val="21"/>
                <w:szCs w:val="21"/>
                <w14:textFill>
                  <w14:solidFill>
                    <w14:schemeClr w14:val="tx1"/>
                  </w14:solidFill>
                </w14:textFill>
              </w:rPr>
              <w:t>(A)</w:t>
            </w:r>
            <w:r>
              <w:rPr>
                <w:rFonts w:hint="eastAsia"/>
                <w:color w:val="000000" w:themeColor="text1"/>
                <w:sz w:val="21"/>
                <w:szCs w:val="21"/>
                <w14:textFill>
                  <w14:solidFill>
                    <w14:schemeClr w14:val="tx1"/>
                  </w14:solidFill>
                </w14:textFill>
              </w:rPr>
              <w:t>；夜间年均等效声级值依次为</w:t>
            </w:r>
            <w:r>
              <w:rPr>
                <w:color w:val="000000" w:themeColor="text1"/>
                <w:sz w:val="21"/>
                <w:szCs w:val="21"/>
                <w14:textFill>
                  <w14:solidFill>
                    <w14:schemeClr w14:val="tx1"/>
                  </w14:solidFill>
                </w14:textFill>
              </w:rPr>
              <w:t>39.2</w:t>
            </w:r>
            <w:r>
              <w:rPr>
                <w:rFonts w:hint="eastAsia"/>
                <w:color w:val="000000" w:themeColor="text1"/>
                <w:sz w:val="21"/>
                <w:szCs w:val="21"/>
                <w14:textFill>
                  <w14:solidFill>
                    <w14:schemeClr w14:val="tx1"/>
                  </w14:solidFill>
                </w14:textFill>
              </w:rPr>
              <w:t>分贝</w:t>
            </w:r>
            <w:r>
              <w:rPr>
                <w:color w:val="000000" w:themeColor="text1"/>
                <w:sz w:val="21"/>
                <w:szCs w:val="21"/>
                <w14:textFill>
                  <w14:solidFill>
                    <w14:schemeClr w14:val="tx1"/>
                  </w14:solidFill>
                </w14:textFill>
              </w:rPr>
              <w:t>(A)</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43.2</w:t>
            </w:r>
            <w:r>
              <w:rPr>
                <w:rFonts w:hint="eastAsia"/>
                <w:color w:val="000000" w:themeColor="text1"/>
                <w:sz w:val="21"/>
                <w:szCs w:val="21"/>
                <w14:textFill>
                  <w14:solidFill>
                    <w14:schemeClr w14:val="tx1"/>
                  </w14:solidFill>
                </w14:textFill>
              </w:rPr>
              <w:t>分贝</w:t>
            </w:r>
            <w:r>
              <w:rPr>
                <w:color w:val="000000" w:themeColor="text1"/>
                <w:sz w:val="21"/>
                <w:szCs w:val="21"/>
                <w14:textFill>
                  <w14:solidFill>
                    <w14:schemeClr w14:val="tx1"/>
                  </w14:solidFill>
                </w14:textFill>
              </w:rPr>
              <w:t>(A)</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47.4</w:t>
            </w:r>
            <w:r>
              <w:rPr>
                <w:rFonts w:hint="eastAsia"/>
                <w:color w:val="000000" w:themeColor="text1"/>
                <w:sz w:val="21"/>
                <w:szCs w:val="21"/>
                <w14:textFill>
                  <w14:solidFill>
                    <w14:schemeClr w14:val="tx1"/>
                  </w14:solidFill>
                </w14:textFill>
              </w:rPr>
              <w:t>分贝</w:t>
            </w:r>
            <w:r>
              <w:rPr>
                <w:color w:val="000000" w:themeColor="text1"/>
                <w:sz w:val="21"/>
                <w:szCs w:val="21"/>
                <w14:textFill>
                  <w14:solidFill>
                    <w14:schemeClr w14:val="tx1"/>
                  </w14:solidFill>
                </w14:textFill>
              </w:rPr>
              <w:t>(A)</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49.3</w:t>
            </w:r>
            <w:r>
              <w:rPr>
                <w:rFonts w:hint="eastAsia"/>
                <w:color w:val="000000" w:themeColor="text1"/>
                <w:sz w:val="21"/>
                <w:szCs w:val="21"/>
                <w14:textFill>
                  <w14:solidFill>
                    <w14:schemeClr w14:val="tx1"/>
                  </w14:solidFill>
                </w14:textFill>
              </w:rPr>
              <w:t>分贝</w:t>
            </w:r>
            <w:r>
              <w:rPr>
                <w:color w:val="000000" w:themeColor="text1"/>
                <w:sz w:val="21"/>
                <w:szCs w:val="21"/>
                <w14:textFill>
                  <w14:solidFill>
                    <w14:schemeClr w14:val="tx1"/>
                  </w14:solidFill>
                </w14:textFill>
              </w:rPr>
              <w:t>(A)</w:t>
            </w:r>
            <w:r>
              <w:rPr>
                <w:rFonts w:hint="eastAsia"/>
                <w:color w:val="000000" w:themeColor="text1"/>
                <w:sz w:val="21"/>
                <w:szCs w:val="21"/>
                <w14:textFill>
                  <w14:solidFill>
                    <w14:schemeClr w14:val="tx1"/>
                  </w14:solidFill>
                </w14:textFill>
              </w:rPr>
              <w:t>；与上年相比，除了</w:t>
            </w:r>
            <w:r>
              <w:rPr>
                <w:color w:val="000000" w:themeColor="text1"/>
                <w:sz w:val="21"/>
                <w:szCs w:val="21"/>
                <w14:textFill>
                  <w14:solidFill>
                    <w14:schemeClr w14:val="tx1"/>
                  </w14:solidFill>
                </w14:textFill>
              </w:rPr>
              <w:t>I</w:t>
            </w:r>
            <w:r>
              <w:rPr>
                <w:rFonts w:hint="eastAsia"/>
                <w:color w:val="000000" w:themeColor="text1"/>
                <w:sz w:val="21"/>
                <w:szCs w:val="21"/>
                <w14:textFill>
                  <w14:solidFill>
                    <w14:schemeClr w14:val="tx1"/>
                  </w14:solidFill>
                </w14:textFill>
              </w:rPr>
              <w:t>类区域（居民文教区）昼间噪声年均值有所上升，污染程度略有加重以外，其余三类功能区昼间噪声及各类功能区夜间噪声污染程度均基本保持稳定或有所改善。各测点昼间噪声达标率为</w:t>
            </w:r>
            <w:r>
              <w:rPr>
                <w:color w:val="000000" w:themeColor="text1"/>
                <w:sz w:val="21"/>
                <w:szCs w:val="21"/>
                <w14:textFill>
                  <w14:solidFill>
                    <w14:schemeClr w14:val="tx1"/>
                  </w14:solidFill>
                </w14:textFill>
              </w:rPr>
              <w:t>100%</w:t>
            </w:r>
            <w:r>
              <w:rPr>
                <w:rFonts w:hint="eastAsia"/>
                <w:color w:val="000000" w:themeColor="text1"/>
                <w:sz w:val="21"/>
                <w:szCs w:val="21"/>
                <w14:textFill>
                  <w14:solidFill>
                    <w14:schemeClr w14:val="tx1"/>
                  </w14:solidFill>
                </w14:textFill>
              </w:rPr>
              <w:t>，与上年持平；夜间噪声达标率为</w:t>
            </w:r>
            <w:r>
              <w:rPr>
                <w:color w:val="000000" w:themeColor="text1"/>
                <w:sz w:val="21"/>
                <w:szCs w:val="21"/>
                <w14:textFill>
                  <w14:solidFill>
                    <w14:schemeClr w14:val="tx1"/>
                  </w14:solidFill>
                </w14:textFill>
              </w:rPr>
              <w:t>100%</w:t>
            </w:r>
            <w:r>
              <w:rPr>
                <w:rFonts w:hint="eastAsia"/>
                <w:color w:val="000000" w:themeColor="text1"/>
                <w:sz w:val="21"/>
                <w:szCs w:val="21"/>
                <w14:textFill>
                  <w14:solidFill>
                    <w14:schemeClr w14:val="tx1"/>
                  </w14:solidFill>
                </w14:textFill>
              </w:rPr>
              <w:t>，与上年相比上升了</w:t>
            </w:r>
            <w:r>
              <w:rPr>
                <w:color w:val="000000" w:themeColor="text1"/>
                <w:sz w:val="21"/>
                <w:szCs w:val="21"/>
                <w14:textFill>
                  <w14:solidFill>
                    <w14:schemeClr w14:val="tx1"/>
                  </w14:solidFill>
                </w14:textFill>
              </w:rPr>
              <w:t>5.0</w:t>
            </w:r>
            <w:r>
              <w:rPr>
                <w:rFonts w:hint="eastAsia"/>
                <w:color w:val="000000" w:themeColor="text1"/>
                <w:sz w:val="21"/>
                <w:szCs w:val="21"/>
                <w14:textFill>
                  <w14:solidFill>
                    <w14:schemeClr w14:val="tx1"/>
                  </w14:solidFill>
                </w14:textFill>
              </w:rPr>
              <w:t>个百分点。</w:t>
            </w:r>
            <w:r>
              <w:rPr>
                <w:color w:val="000000" w:themeColor="text1"/>
                <w:sz w:val="28"/>
                <w:szCs w:val="28"/>
                <w14:textFill>
                  <w14:solidFill>
                    <w14:schemeClr w14:val="tx1"/>
                  </w14:solidFill>
                </w14:textFill>
              </w:rPr>
              <w:t xml:space="preserve"> </w:t>
            </w:r>
          </w:p>
          <w:p w14:paraId="66B46638">
            <w:pPr>
              <w:pStyle w:val="9"/>
              <w:spacing w:after="0" w:line="360" w:lineRule="auto"/>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  本项目厂界外50m范围内无声环境保护目标，不进行声环境现状监测。</w:t>
            </w:r>
          </w:p>
          <w:p w14:paraId="56D57FF4">
            <w:pPr>
              <w:adjustRightInd w:val="0"/>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3.4生态环境质量状况 </w:t>
            </w:r>
          </w:p>
          <w:p w14:paraId="5A500409">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14:textFill>
                  <w14:solidFill>
                    <w14:schemeClr w14:val="tx1"/>
                  </w14:solidFill>
                </w14:textFill>
              </w:rPr>
              <w:t>位于产业园区内</w:t>
            </w:r>
            <w:r>
              <w:rPr>
                <w:color w:val="000000" w:themeColor="text1"/>
                <w:szCs w:val="21"/>
                <w14:textFill>
                  <w14:solidFill>
                    <w14:schemeClr w14:val="tx1"/>
                  </w14:solidFill>
                </w14:textFill>
              </w:rPr>
              <w:t>，用地范围内无生态环境保护目标，</w:t>
            </w:r>
            <w:r>
              <w:rPr>
                <w:rFonts w:hint="eastAsia"/>
                <w:color w:val="000000" w:themeColor="text1"/>
                <w:szCs w:val="21"/>
                <w14:textFill>
                  <w14:solidFill>
                    <w14:schemeClr w14:val="tx1"/>
                  </w14:solidFill>
                </w14:textFill>
              </w:rPr>
              <w:t>不</w:t>
            </w:r>
            <w:r>
              <w:rPr>
                <w:color w:val="000000" w:themeColor="text1"/>
                <w:szCs w:val="21"/>
                <w14:textFill>
                  <w14:solidFill>
                    <w14:schemeClr w14:val="tx1"/>
                  </w14:solidFill>
                </w14:textFill>
              </w:rPr>
              <w:t>进行生态环境现状调查。</w:t>
            </w:r>
          </w:p>
          <w:p w14:paraId="3AB542C1">
            <w:pPr>
              <w:adjustRightInd w:val="0"/>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3.5</w:t>
            </w:r>
            <w:r>
              <w:rPr>
                <w:b/>
                <w:color w:val="000000" w:themeColor="text1"/>
                <w14:textFill>
                  <w14:solidFill>
                    <w14:schemeClr w14:val="tx1"/>
                  </w14:solidFill>
                </w14:textFill>
              </w:rPr>
              <w:t>地下水</w:t>
            </w:r>
            <w:r>
              <w:rPr>
                <w:rFonts w:hint="eastAsia"/>
                <w:b/>
                <w:color w:val="000000" w:themeColor="text1"/>
                <w14:textFill>
                  <w14:solidFill>
                    <w14:schemeClr w14:val="tx1"/>
                  </w14:solidFill>
                </w14:textFill>
              </w:rPr>
              <w:t>、土壤</w:t>
            </w:r>
            <w:r>
              <w:rPr>
                <w:rStyle w:val="32"/>
                <w:rFonts w:hint="eastAsia"/>
                <w:b/>
                <w:bCs/>
                <w:color w:val="000000" w:themeColor="text1"/>
                <w:kern w:val="0"/>
                <w:szCs w:val="20"/>
                <w14:textFill>
                  <w14:solidFill>
                    <w14:schemeClr w14:val="tx1"/>
                  </w14:solidFill>
                </w14:textFill>
              </w:rPr>
              <w:t>及电磁辐射</w:t>
            </w:r>
            <w:r>
              <w:rPr>
                <w:b/>
                <w:color w:val="000000" w:themeColor="text1"/>
                <w14:textFill>
                  <w14:solidFill>
                    <w14:schemeClr w14:val="tx1"/>
                  </w14:solidFill>
                </w14:textFill>
              </w:rPr>
              <w:t>环境质量状况</w:t>
            </w:r>
          </w:p>
          <w:p w14:paraId="7C7DC5E5">
            <w:pPr>
              <w:pStyle w:val="9"/>
              <w:spacing w:after="0" w:line="360" w:lineRule="auto"/>
              <w:ind w:left="0" w:leftChars="0" w:firstLine="420" w:firstLineChars="200"/>
              <w:rPr>
                <w:rFonts w:eastAsia="仿宋"/>
                <w:color w:val="000000" w:themeColor="text1"/>
                <w:sz w:val="30"/>
                <w:szCs w:val="30"/>
                <w14:textFill>
                  <w14:solidFill>
                    <w14:schemeClr w14:val="tx1"/>
                  </w14:solidFill>
                </w14:textFill>
              </w:rPr>
            </w:pPr>
            <w:r>
              <w:rPr>
                <w:rFonts w:hint="eastAsia"/>
                <w:color w:val="000000" w:themeColor="text1"/>
                <w:sz w:val="21"/>
                <w:szCs w:val="21"/>
                <w14:textFill>
                  <w14:solidFill>
                    <w14:schemeClr w14:val="tx1"/>
                  </w14:solidFill>
                </w14:textFill>
              </w:rPr>
              <w:t>建设单位</w:t>
            </w:r>
            <w:r>
              <w:rPr>
                <w:color w:val="000000" w:themeColor="text1"/>
                <w:sz w:val="21"/>
                <w:szCs w:val="21"/>
                <w14:textFill>
                  <w14:solidFill>
                    <w14:schemeClr w14:val="tx1"/>
                  </w14:solidFill>
                </w14:textFill>
              </w:rPr>
              <w:t>在做好防渗分区和管理的情况下，基本不会污染土壤和地下水，不会通过垂直入渗、地面漫流等途径对土壤、地下水产生影响。因此，本项目</w:t>
            </w:r>
            <w:r>
              <w:rPr>
                <w:rFonts w:hint="eastAsia"/>
                <w:color w:val="000000" w:themeColor="text1"/>
                <w:sz w:val="21"/>
                <w:szCs w:val="21"/>
                <w14:textFill>
                  <w14:solidFill>
                    <w14:schemeClr w14:val="tx1"/>
                  </w14:solidFill>
                </w14:textFill>
              </w:rPr>
              <w:t>不</w:t>
            </w:r>
            <w:r>
              <w:rPr>
                <w:color w:val="000000" w:themeColor="text1"/>
                <w:sz w:val="21"/>
                <w:szCs w:val="21"/>
                <w14:textFill>
                  <w14:solidFill>
                    <w14:schemeClr w14:val="tx1"/>
                  </w14:solidFill>
                </w14:textFill>
              </w:rPr>
              <w:t>开展地下水及土壤现状调查</w:t>
            </w:r>
            <w:r>
              <w:rPr>
                <w:rFonts w:hint="eastAsia"/>
                <w:color w:val="000000" w:themeColor="text1"/>
                <w:sz w:val="21"/>
                <w:szCs w:val="21"/>
                <w14:textFill>
                  <w14:solidFill>
                    <w14:schemeClr w14:val="tx1"/>
                  </w14:solidFill>
                </w14:textFill>
              </w:rPr>
              <w:t>。</w:t>
            </w:r>
          </w:p>
        </w:tc>
      </w:tr>
      <w:tr w14:paraId="79F7ED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0" w:hRule="atLeast"/>
          <w:jc w:val="center"/>
        </w:trPr>
        <w:tc>
          <w:tcPr>
            <w:tcW w:w="294" w:type="pct"/>
            <w:noWrap/>
            <w:vAlign w:val="center"/>
          </w:tcPr>
          <w:p w14:paraId="669808BE">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w:t>
            </w:r>
          </w:p>
          <w:p w14:paraId="76731424">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保护</w:t>
            </w:r>
          </w:p>
          <w:p w14:paraId="4591A2E0">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目标</w:t>
            </w:r>
          </w:p>
        </w:tc>
        <w:tc>
          <w:tcPr>
            <w:tcW w:w="4705" w:type="pct"/>
            <w:noWrap/>
            <w:vAlign w:val="center"/>
          </w:tcPr>
          <w:p w14:paraId="551EB99D">
            <w:pPr>
              <w:pStyle w:val="9"/>
              <w:spacing w:after="0" w:line="360" w:lineRule="auto"/>
              <w:ind w:left="0" w:leftChars="0" w:firstLine="422" w:firstLineChars="20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3.</w:t>
            </w:r>
            <w:r>
              <w:rPr>
                <w:rFonts w:hint="eastAsia"/>
                <w:b/>
                <w:bCs/>
                <w:color w:val="000000" w:themeColor="text1"/>
                <w:sz w:val="21"/>
                <w:szCs w:val="21"/>
                <w14:textFill>
                  <w14:solidFill>
                    <w14:schemeClr w14:val="tx1"/>
                  </w14:solidFill>
                </w14:textFill>
              </w:rPr>
              <w:t>6</w:t>
            </w:r>
            <w:r>
              <w:rPr>
                <w:b/>
                <w:bCs/>
                <w:color w:val="000000" w:themeColor="text1"/>
                <w:sz w:val="21"/>
                <w:szCs w:val="21"/>
                <w14:textFill>
                  <w14:solidFill>
                    <w14:schemeClr w14:val="tx1"/>
                  </w14:solidFill>
                </w14:textFill>
              </w:rPr>
              <w:t>环境保护目标</w:t>
            </w:r>
          </w:p>
          <w:p w14:paraId="329F4D35">
            <w:pPr>
              <w:pStyle w:val="9"/>
              <w:spacing w:after="0" w:line="360" w:lineRule="auto"/>
              <w:ind w:left="0" w:leftChars="0" w:firstLine="420" w:firstLineChars="200"/>
              <w:rPr>
                <w:b/>
                <w:color w:val="000000" w:themeColor="text1"/>
                <w:sz w:val="21"/>
                <w:szCs w:val="16"/>
                <w14:textFill>
                  <w14:solidFill>
                    <w14:schemeClr w14:val="tx1"/>
                  </w14:solidFill>
                </w14:textFill>
              </w:rPr>
            </w:pPr>
            <w:r>
              <w:rPr>
                <w:rFonts w:hint="eastAsia"/>
                <w:color w:val="000000" w:themeColor="text1"/>
                <w:sz w:val="21"/>
                <w:szCs w:val="21"/>
                <w14:textFill>
                  <w14:solidFill>
                    <w14:schemeClr w14:val="tx1"/>
                  </w14:solidFill>
                </w14:textFill>
              </w:rPr>
              <w:t>大气环境：本项目大气环境保护目标见下表。</w:t>
            </w:r>
          </w:p>
          <w:p w14:paraId="732C0E8A">
            <w:pPr>
              <w:pStyle w:val="9"/>
              <w:spacing w:after="0"/>
              <w:ind w:left="0" w:leftChars="0"/>
              <w:jc w:val="center"/>
              <w:rPr>
                <w:b/>
                <w:color w:val="000000" w:themeColor="text1"/>
                <w:highlight w:val="none"/>
                <w14:textFill>
                  <w14:solidFill>
                    <w14:schemeClr w14:val="tx1"/>
                  </w14:solidFill>
                </w14:textFill>
              </w:rPr>
            </w:pPr>
            <w:r>
              <w:rPr>
                <w:b/>
                <w:color w:val="000000" w:themeColor="text1"/>
                <w:sz w:val="21"/>
                <w:szCs w:val="16"/>
                <w:highlight w:val="none"/>
                <w14:textFill>
                  <w14:solidFill>
                    <w14:schemeClr w14:val="tx1"/>
                  </w14:solidFill>
                </w14:textFill>
              </w:rPr>
              <w:t>表3.</w:t>
            </w:r>
            <w:r>
              <w:rPr>
                <w:rFonts w:hint="eastAsia"/>
                <w:b/>
                <w:color w:val="000000" w:themeColor="text1"/>
                <w:sz w:val="21"/>
                <w:szCs w:val="16"/>
                <w:highlight w:val="none"/>
                <w14:textFill>
                  <w14:solidFill>
                    <w14:schemeClr w14:val="tx1"/>
                  </w14:solidFill>
                </w14:textFill>
              </w:rPr>
              <w:t>6</w:t>
            </w:r>
            <w:r>
              <w:rPr>
                <w:b/>
                <w:color w:val="000000" w:themeColor="text1"/>
                <w:sz w:val="21"/>
                <w:szCs w:val="16"/>
                <w:highlight w:val="none"/>
                <w14:textFill>
                  <w14:solidFill>
                    <w14:schemeClr w14:val="tx1"/>
                  </w14:solidFill>
                </w14:textFill>
              </w:rPr>
              <w:t>-</w:t>
            </w:r>
            <w:r>
              <w:rPr>
                <w:rFonts w:hint="eastAsia"/>
                <w:b/>
                <w:color w:val="000000" w:themeColor="text1"/>
                <w:sz w:val="21"/>
                <w:szCs w:val="16"/>
                <w:highlight w:val="none"/>
                <w14:textFill>
                  <w14:solidFill>
                    <w14:schemeClr w14:val="tx1"/>
                  </w14:solidFill>
                </w14:textFill>
              </w:rPr>
              <w:t>1</w:t>
            </w:r>
            <w:r>
              <w:rPr>
                <w:b/>
                <w:color w:val="000000" w:themeColor="text1"/>
                <w:sz w:val="21"/>
                <w:szCs w:val="16"/>
                <w:highlight w:val="none"/>
                <w14:textFill>
                  <w14:solidFill>
                    <w14:schemeClr w14:val="tx1"/>
                  </w14:solidFill>
                </w14:textFill>
              </w:rPr>
              <w:t xml:space="preserve">  </w:t>
            </w:r>
            <w:r>
              <w:rPr>
                <w:rFonts w:hint="eastAsia"/>
                <w:b/>
                <w:color w:val="000000" w:themeColor="text1"/>
                <w:sz w:val="21"/>
                <w:szCs w:val="16"/>
                <w:highlight w:val="none"/>
                <w14:textFill>
                  <w14:solidFill>
                    <w14:schemeClr w14:val="tx1"/>
                  </w14:solidFill>
                </w14:textFill>
              </w:rPr>
              <w:t>大气</w:t>
            </w:r>
            <w:r>
              <w:rPr>
                <w:b/>
                <w:color w:val="000000" w:themeColor="text1"/>
                <w:sz w:val="21"/>
                <w:szCs w:val="16"/>
                <w:highlight w:val="none"/>
                <w14:textFill>
                  <w14:solidFill>
                    <w14:schemeClr w14:val="tx1"/>
                  </w14:solidFill>
                </w14:textFill>
              </w:rPr>
              <w:t>环境保护敏感目标</w:t>
            </w:r>
            <w:r>
              <w:rPr>
                <w:rFonts w:hint="eastAsia"/>
                <w:b/>
                <w:color w:val="000000" w:themeColor="text1"/>
                <w:sz w:val="21"/>
                <w:szCs w:val="16"/>
                <w:highlight w:val="none"/>
                <w14:textFill>
                  <w14:solidFill>
                    <w14:schemeClr w14:val="tx1"/>
                  </w14:solidFill>
                </w14:textFill>
              </w:rPr>
              <w:t>一览</w:t>
            </w:r>
            <w:r>
              <w:rPr>
                <w:b/>
                <w:color w:val="000000" w:themeColor="text1"/>
                <w:sz w:val="21"/>
                <w:szCs w:val="16"/>
                <w:highlight w:val="none"/>
                <w14:textFill>
                  <w14:solidFill>
                    <w14:schemeClr w14:val="tx1"/>
                  </w14:solidFill>
                </w14:textFill>
              </w:rPr>
              <w:t>表</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474"/>
              <w:gridCol w:w="1380"/>
              <w:gridCol w:w="897"/>
              <w:gridCol w:w="829"/>
              <w:gridCol w:w="912"/>
              <w:gridCol w:w="859"/>
              <w:gridCol w:w="864"/>
            </w:tblGrid>
            <w:tr w14:paraId="57D27D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9" w:type="dxa"/>
                  <w:vAlign w:val="center"/>
                </w:tcPr>
                <w:p w14:paraId="2CAC390F">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名称</w:t>
                  </w:r>
                </w:p>
              </w:tc>
              <w:tc>
                <w:tcPr>
                  <w:tcW w:w="2854" w:type="dxa"/>
                  <w:gridSpan w:val="2"/>
                  <w:vAlign w:val="center"/>
                </w:tcPr>
                <w:p w14:paraId="22B07590">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坐标/</w:t>
                  </w:r>
                  <w:r>
                    <w:rPr>
                      <w:rFonts w:hint="eastAsia"/>
                      <w:b/>
                      <w:bCs/>
                      <w:color w:val="000000" w:themeColor="text1"/>
                      <w:highlight w:val="none"/>
                      <w14:textFill>
                        <w14:solidFill>
                          <w14:schemeClr w14:val="tx1"/>
                        </w14:solidFill>
                      </w14:textFill>
                    </w:rPr>
                    <w:t>m</w:t>
                  </w:r>
                </w:p>
              </w:tc>
              <w:tc>
                <w:tcPr>
                  <w:tcW w:w="897" w:type="dxa"/>
                  <w:vAlign w:val="center"/>
                </w:tcPr>
                <w:p w14:paraId="156610B3">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保护</w:t>
                  </w:r>
                </w:p>
                <w:p w14:paraId="6438FEC1">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对象</w:t>
                  </w:r>
                </w:p>
              </w:tc>
              <w:tc>
                <w:tcPr>
                  <w:tcW w:w="829" w:type="dxa"/>
                  <w:vAlign w:val="center"/>
                </w:tcPr>
                <w:p w14:paraId="3240536C">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保护</w:t>
                  </w:r>
                </w:p>
                <w:p w14:paraId="23D78793">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内容</w:t>
                  </w:r>
                </w:p>
              </w:tc>
              <w:tc>
                <w:tcPr>
                  <w:tcW w:w="912" w:type="dxa"/>
                  <w:vAlign w:val="center"/>
                </w:tcPr>
                <w:p w14:paraId="4C36660A">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环境功能区</w:t>
                  </w:r>
                </w:p>
              </w:tc>
              <w:tc>
                <w:tcPr>
                  <w:tcW w:w="859" w:type="dxa"/>
                  <w:vAlign w:val="center"/>
                </w:tcPr>
                <w:p w14:paraId="519ABCAF">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相对厂址方位</w:t>
                  </w:r>
                </w:p>
              </w:tc>
              <w:tc>
                <w:tcPr>
                  <w:tcW w:w="864" w:type="dxa"/>
                  <w:vAlign w:val="center"/>
                </w:tcPr>
                <w:p w14:paraId="1E3476FD">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相对厂界距离</w:t>
                  </w:r>
                </w:p>
              </w:tc>
            </w:tr>
            <w:tr w14:paraId="14F6D5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9" w:type="dxa"/>
                  <w:vAlign w:val="center"/>
                </w:tcPr>
                <w:p w14:paraId="3BE70192">
                  <w:pPr>
                    <w:jc w:val="center"/>
                    <w:rPr>
                      <w:rFonts w:hint="default" w:eastAsia="宋体"/>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银环苑</w:t>
                  </w:r>
                </w:p>
              </w:tc>
              <w:tc>
                <w:tcPr>
                  <w:tcW w:w="1474" w:type="dxa"/>
                  <w:vAlign w:val="center"/>
                </w:tcPr>
                <w:p w14:paraId="2D638B7C">
                  <w:pPr>
                    <w:jc w:val="center"/>
                    <w:rPr>
                      <w:rFonts w:hint="default" w:eastAsia="宋体"/>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54</w:t>
                  </w:r>
                </w:p>
              </w:tc>
              <w:tc>
                <w:tcPr>
                  <w:tcW w:w="1380" w:type="dxa"/>
                  <w:vAlign w:val="center"/>
                </w:tcPr>
                <w:p w14:paraId="40A448CD">
                  <w:pPr>
                    <w:jc w:val="center"/>
                    <w:rPr>
                      <w:rFonts w:hint="default" w:eastAsia="宋体"/>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291</w:t>
                  </w:r>
                </w:p>
              </w:tc>
              <w:tc>
                <w:tcPr>
                  <w:tcW w:w="897" w:type="dxa"/>
                  <w:vAlign w:val="center"/>
                </w:tcPr>
                <w:p w14:paraId="5DA9F1E2">
                  <w:pPr>
                    <w:jc w:val="center"/>
                    <w:rPr>
                      <w:rFonts w:hint="eastAsia"/>
                      <w:b w:val="0"/>
                      <w:bCs w:val="0"/>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居住区</w:t>
                  </w:r>
                </w:p>
              </w:tc>
              <w:tc>
                <w:tcPr>
                  <w:tcW w:w="829" w:type="dxa"/>
                  <w:vAlign w:val="center"/>
                </w:tcPr>
                <w:p w14:paraId="63774FA2">
                  <w:pPr>
                    <w:jc w:val="center"/>
                    <w:rPr>
                      <w:rFonts w:hint="eastAsia"/>
                      <w:b w:val="0"/>
                      <w:bCs w:val="0"/>
                      <w:color w:val="000000" w:themeColor="text1"/>
                      <w:szCs w:val="2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900</w:t>
                  </w:r>
                  <w:r>
                    <w:rPr>
                      <w:rFonts w:hint="eastAsia"/>
                      <w:color w:val="000000" w:themeColor="text1"/>
                      <w:highlight w:val="none"/>
                      <w14:textFill>
                        <w14:solidFill>
                          <w14:schemeClr w14:val="tx1"/>
                        </w14:solidFill>
                      </w14:textFill>
                    </w:rPr>
                    <w:t>人</w:t>
                  </w:r>
                </w:p>
              </w:tc>
              <w:tc>
                <w:tcPr>
                  <w:tcW w:w="912" w:type="dxa"/>
                  <w:vAlign w:val="center"/>
                </w:tcPr>
                <w:p w14:paraId="65D04350">
                  <w:pPr>
                    <w:jc w:val="center"/>
                    <w:rPr>
                      <w:rFonts w:hint="eastAsia"/>
                      <w:b w:val="0"/>
                      <w:bCs w:val="0"/>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二类区</w:t>
                  </w:r>
                </w:p>
              </w:tc>
              <w:tc>
                <w:tcPr>
                  <w:tcW w:w="859" w:type="dxa"/>
                  <w:vAlign w:val="center"/>
                </w:tcPr>
                <w:p w14:paraId="256EEF23">
                  <w:pPr>
                    <w:jc w:val="center"/>
                    <w:rPr>
                      <w:rFonts w:hint="default" w:eastAsia="宋体"/>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北</w:t>
                  </w:r>
                </w:p>
              </w:tc>
              <w:tc>
                <w:tcPr>
                  <w:tcW w:w="864" w:type="dxa"/>
                  <w:vAlign w:val="center"/>
                </w:tcPr>
                <w:p w14:paraId="7C33587B">
                  <w:pPr>
                    <w:jc w:val="center"/>
                    <w:rPr>
                      <w:rFonts w:hint="default" w:eastAsia="宋体"/>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252m</w:t>
                  </w:r>
                </w:p>
              </w:tc>
            </w:tr>
            <w:tr w14:paraId="35DBE1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9" w:type="dxa"/>
                  <w:vAlign w:val="center"/>
                </w:tcPr>
                <w:p w14:paraId="7C5B398D">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渠中村</w:t>
                  </w:r>
                </w:p>
              </w:tc>
              <w:tc>
                <w:tcPr>
                  <w:tcW w:w="1474" w:type="dxa"/>
                  <w:vAlign w:val="center"/>
                </w:tcPr>
                <w:p w14:paraId="5510E1D9">
                  <w:pPr>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-334</w:t>
                  </w:r>
                </w:p>
              </w:tc>
              <w:tc>
                <w:tcPr>
                  <w:tcW w:w="1380" w:type="dxa"/>
                  <w:vAlign w:val="center"/>
                </w:tcPr>
                <w:p w14:paraId="1E7BF93E">
                  <w:pPr>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25</w:t>
                  </w:r>
                </w:p>
              </w:tc>
              <w:tc>
                <w:tcPr>
                  <w:tcW w:w="897" w:type="dxa"/>
                  <w:vAlign w:val="center"/>
                </w:tcPr>
                <w:p w14:paraId="17D526F9">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居住区</w:t>
                  </w:r>
                </w:p>
              </w:tc>
              <w:tc>
                <w:tcPr>
                  <w:tcW w:w="829" w:type="dxa"/>
                  <w:vAlign w:val="center"/>
                </w:tcPr>
                <w:p w14:paraId="601A608B">
                  <w:pPr>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300</w:t>
                  </w:r>
                  <w:r>
                    <w:rPr>
                      <w:rFonts w:hint="eastAsia"/>
                      <w:color w:val="000000" w:themeColor="text1"/>
                      <w:highlight w:val="none"/>
                      <w14:textFill>
                        <w14:solidFill>
                          <w14:schemeClr w14:val="tx1"/>
                        </w14:solidFill>
                      </w14:textFill>
                    </w:rPr>
                    <w:t>人</w:t>
                  </w:r>
                </w:p>
              </w:tc>
              <w:tc>
                <w:tcPr>
                  <w:tcW w:w="912" w:type="dxa"/>
                  <w:vAlign w:val="center"/>
                </w:tcPr>
                <w:p w14:paraId="1B07EF2D">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二类区</w:t>
                  </w:r>
                </w:p>
              </w:tc>
              <w:tc>
                <w:tcPr>
                  <w:tcW w:w="859" w:type="dxa"/>
                  <w:vAlign w:val="center"/>
                </w:tcPr>
                <w:p w14:paraId="65D294B7">
                  <w:pPr>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西</w:t>
                  </w:r>
                </w:p>
              </w:tc>
              <w:tc>
                <w:tcPr>
                  <w:tcW w:w="864" w:type="dxa"/>
                  <w:vAlign w:val="center"/>
                </w:tcPr>
                <w:p w14:paraId="511D44E2">
                  <w:pPr>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343</w:t>
                  </w:r>
                  <w:r>
                    <w:rPr>
                      <w:rFonts w:hint="eastAsia"/>
                      <w:color w:val="000000" w:themeColor="text1"/>
                      <w:highlight w:val="none"/>
                      <w14:textFill>
                        <w14:solidFill>
                          <w14:schemeClr w14:val="tx1"/>
                        </w14:solidFill>
                      </w14:textFill>
                    </w:rPr>
                    <w:t>m</w:t>
                  </w:r>
                </w:p>
              </w:tc>
            </w:tr>
            <w:tr w14:paraId="0C8A64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9" w:type="dxa"/>
                  <w:vAlign w:val="center"/>
                </w:tcPr>
                <w:p w14:paraId="39696C12">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渔乐新</w:t>
                  </w:r>
                  <w:r>
                    <w:rPr>
                      <w:rFonts w:hint="eastAsia"/>
                      <w:color w:val="000000" w:themeColor="text1"/>
                      <w:szCs w:val="21"/>
                      <w:highlight w:val="none"/>
                      <w14:textFill>
                        <w14:solidFill>
                          <w14:schemeClr w14:val="tx1"/>
                        </w14:solidFill>
                      </w14:textFill>
                    </w:rPr>
                    <w:t>村</w:t>
                  </w:r>
                </w:p>
              </w:tc>
              <w:tc>
                <w:tcPr>
                  <w:tcW w:w="1474" w:type="dxa"/>
                  <w:vAlign w:val="center"/>
                </w:tcPr>
                <w:p w14:paraId="769CA10F">
                  <w:pPr>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-75</w:t>
                  </w:r>
                </w:p>
              </w:tc>
              <w:tc>
                <w:tcPr>
                  <w:tcW w:w="1380" w:type="dxa"/>
                  <w:vAlign w:val="center"/>
                </w:tcPr>
                <w:p w14:paraId="7A01ACB2">
                  <w:pPr>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14</w:t>
                  </w:r>
                </w:p>
              </w:tc>
              <w:tc>
                <w:tcPr>
                  <w:tcW w:w="897" w:type="dxa"/>
                  <w:vAlign w:val="center"/>
                </w:tcPr>
                <w:p w14:paraId="3983E208">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居住区</w:t>
                  </w:r>
                </w:p>
              </w:tc>
              <w:tc>
                <w:tcPr>
                  <w:tcW w:w="829" w:type="dxa"/>
                  <w:vAlign w:val="center"/>
                </w:tcPr>
                <w:p w14:paraId="7E1FD5E2">
                  <w:pPr>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80</w:t>
                  </w:r>
                  <w:r>
                    <w:rPr>
                      <w:rFonts w:hint="eastAsia"/>
                      <w:color w:val="000000" w:themeColor="text1"/>
                      <w:highlight w:val="none"/>
                      <w14:textFill>
                        <w14:solidFill>
                          <w14:schemeClr w14:val="tx1"/>
                        </w14:solidFill>
                      </w14:textFill>
                    </w:rPr>
                    <w:t>人</w:t>
                  </w:r>
                </w:p>
              </w:tc>
              <w:tc>
                <w:tcPr>
                  <w:tcW w:w="912" w:type="dxa"/>
                  <w:vAlign w:val="center"/>
                </w:tcPr>
                <w:p w14:paraId="481117B6">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二类区</w:t>
                  </w:r>
                </w:p>
              </w:tc>
              <w:tc>
                <w:tcPr>
                  <w:tcW w:w="859" w:type="dxa"/>
                  <w:vAlign w:val="center"/>
                </w:tcPr>
                <w:p w14:paraId="1FDD8B57">
                  <w:pPr>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西南</w:t>
                  </w:r>
                </w:p>
              </w:tc>
              <w:tc>
                <w:tcPr>
                  <w:tcW w:w="864" w:type="dxa"/>
                  <w:vAlign w:val="center"/>
                </w:tcPr>
                <w:p w14:paraId="65D2A674">
                  <w:pPr>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439</w:t>
                  </w:r>
                  <w:r>
                    <w:rPr>
                      <w:rFonts w:hint="eastAsia"/>
                      <w:color w:val="000000" w:themeColor="text1"/>
                      <w:highlight w:val="none"/>
                      <w14:textFill>
                        <w14:solidFill>
                          <w14:schemeClr w14:val="tx1"/>
                        </w14:solidFill>
                      </w14:textFill>
                    </w:rPr>
                    <w:t>m</w:t>
                  </w:r>
                </w:p>
              </w:tc>
            </w:tr>
          </w:tbl>
          <w:p w14:paraId="0A1F68E5">
            <w:pPr>
              <w:pStyle w:val="9"/>
              <w:spacing w:after="0" w:line="360" w:lineRule="auto"/>
              <w:ind w:left="0" w:leftChars="0"/>
              <w:jc w:val="left"/>
              <w:rPr>
                <w:rFonts w:hint="eastAsia" w:eastAsia="宋体"/>
                <w:b/>
                <w:bCs w:val="0"/>
                <w:color w:val="000000" w:themeColor="text1"/>
                <w:sz w:val="21"/>
                <w:szCs w:val="21"/>
                <w:highlight w:val="none"/>
                <w:lang w:val="en-US" w:eastAsia="zh-CN"/>
                <w14:textFill>
                  <w14:solidFill>
                    <w14:schemeClr w14:val="tx1"/>
                  </w14:solidFill>
                </w14:textFill>
              </w:rPr>
            </w:pPr>
            <w:r>
              <w:rPr>
                <w:rFonts w:hint="eastAsia"/>
                <w:b/>
                <w:bCs w:val="0"/>
                <w:color w:val="000000" w:themeColor="text1"/>
                <w:sz w:val="21"/>
                <w:szCs w:val="16"/>
                <w:highlight w:val="none"/>
                <w14:textFill>
                  <w14:solidFill>
                    <w14:schemeClr w14:val="tx1"/>
                  </w14:solidFill>
                </w14:textFill>
              </w:rPr>
              <w:t>注：以厂区西南角边界为坐标原点</w:t>
            </w:r>
            <w:r>
              <w:rPr>
                <w:rFonts w:hint="eastAsia"/>
                <w:b/>
                <w:bCs w:val="0"/>
                <w:color w:val="000000" w:themeColor="text1"/>
                <w:sz w:val="21"/>
                <w:szCs w:val="16"/>
                <w:highlight w:val="none"/>
                <w:lang w:val="en-US" w:eastAsia="zh-CN"/>
                <w14:textFill>
                  <w14:solidFill>
                    <w14:schemeClr w14:val="tx1"/>
                  </w14:solidFill>
                </w14:textFill>
              </w:rPr>
              <w:t>，正东方向为X轴正方向，正北方向为Y轴正方向</w:t>
            </w:r>
            <w:r>
              <w:rPr>
                <w:rFonts w:hint="eastAsia"/>
                <w:color w:val="000000" w:themeColor="text1"/>
                <w:lang w:val="en-US" w:eastAsia="zh-CN"/>
                <w14:textFill>
                  <w14:solidFill>
                    <w14:schemeClr w14:val="tx1"/>
                  </w14:solidFill>
                </w14:textFill>
              </w:rPr>
              <w:t>,</w:t>
            </w:r>
          </w:p>
          <w:p w14:paraId="0986CB8A">
            <w:pPr>
              <w:pStyle w:val="9"/>
              <w:spacing w:after="0" w:line="360" w:lineRule="auto"/>
              <w:ind w:left="0" w:leftChars="0"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声环境：本项目厂界外50米范围内无声环境保护目标。</w:t>
            </w:r>
          </w:p>
          <w:p w14:paraId="10785DF7">
            <w:pPr>
              <w:pStyle w:val="9"/>
              <w:spacing w:after="0" w:line="360" w:lineRule="auto"/>
              <w:ind w:left="0" w:leftChars="0"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地下水环境：</w:t>
            </w:r>
            <w:r>
              <w:rPr>
                <w:rFonts w:hint="eastAsia"/>
                <w:color w:val="000000" w:themeColor="text1"/>
                <w:sz w:val="21"/>
                <w:szCs w:val="21"/>
                <w14:textFill>
                  <w14:solidFill>
                    <w14:schemeClr w14:val="tx1"/>
                  </w14:solidFill>
                </w14:textFill>
              </w:rPr>
              <w:t>本</w:t>
            </w:r>
            <w:r>
              <w:rPr>
                <w:color w:val="000000" w:themeColor="text1"/>
                <w:sz w:val="21"/>
                <w:szCs w:val="21"/>
                <w14:textFill>
                  <w14:solidFill>
                    <w14:schemeClr w14:val="tx1"/>
                  </w14:solidFill>
                </w14:textFill>
              </w:rPr>
              <w:t>项目厂界外500米范围内无地下水集中式饮用水水源和热水、矿泉水、温泉等特殊地下水资源。</w:t>
            </w:r>
          </w:p>
          <w:p w14:paraId="005ACF6A">
            <w:pPr>
              <w:widowControl/>
              <w:spacing w:line="360" w:lineRule="auto"/>
              <w:ind w:firstLine="420" w:firstLineChars="200"/>
              <w:rPr>
                <w:rFonts w:eastAsia="仿宋"/>
                <w:color w:val="000000" w:themeColor="text1"/>
                <w:kern w:val="0"/>
                <w:sz w:val="30"/>
                <w:szCs w:val="30"/>
                <w14:textFill>
                  <w14:solidFill>
                    <w14:schemeClr w14:val="tx1"/>
                  </w14:solidFill>
                </w14:textFill>
              </w:rPr>
            </w:pPr>
            <w:r>
              <w:rPr>
                <w:color w:val="000000" w:themeColor="text1"/>
                <w:kern w:val="0"/>
                <w:szCs w:val="21"/>
                <w14:textFill>
                  <w14:solidFill>
                    <w14:schemeClr w14:val="tx1"/>
                  </w14:solidFill>
                </w14:textFill>
              </w:rPr>
              <w:t>生态环境：本项目</w:t>
            </w:r>
            <w:r>
              <w:rPr>
                <w:rFonts w:hint="eastAsia"/>
                <w:color w:val="000000" w:themeColor="text1"/>
                <w:kern w:val="0"/>
                <w:szCs w:val="21"/>
                <w14:textFill>
                  <w14:solidFill>
                    <w14:schemeClr w14:val="tx1"/>
                  </w14:solidFill>
                </w14:textFill>
              </w:rPr>
              <w:t>位于产业园区内，</w:t>
            </w:r>
            <w:r>
              <w:rPr>
                <w:color w:val="000000" w:themeColor="text1"/>
                <w:kern w:val="0"/>
                <w:szCs w:val="21"/>
                <w14:textFill>
                  <w14:solidFill>
                    <w14:schemeClr w14:val="tx1"/>
                  </w14:solidFill>
                </w14:textFill>
              </w:rPr>
              <w:t>不新增用地，用地范围内无生态环境保护目标。</w:t>
            </w:r>
          </w:p>
        </w:tc>
      </w:tr>
      <w:tr w14:paraId="4FA4C5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32" w:hRule="atLeast"/>
          <w:jc w:val="center"/>
        </w:trPr>
        <w:tc>
          <w:tcPr>
            <w:tcW w:w="294" w:type="pct"/>
            <w:noWrap/>
            <w:tcMar>
              <w:left w:w="28" w:type="dxa"/>
              <w:right w:w="28" w:type="dxa"/>
            </w:tcMar>
            <w:vAlign w:val="center"/>
          </w:tcPr>
          <w:p w14:paraId="7E8838C2">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污染</w:t>
            </w:r>
          </w:p>
          <w:p w14:paraId="60CCDBF1">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物排</w:t>
            </w:r>
          </w:p>
          <w:p w14:paraId="62596C00">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放控</w:t>
            </w:r>
          </w:p>
          <w:p w14:paraId="1729C9AE">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制标</w:t>
            </w:r>
          </w:p>
          <w:p w14:paraId="7E8549D9">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准</w:t>
            </w:r>
          </w:p>
        </w:tc>
        <w:tc>
          <w:tcPr>
            <w:tcW w:w="4705" w:type="pct"/>
            <w:noWrap/>
            <w:vAlign w:val="center"/>
          </w:tcPr>
          <w:p w14:paraId="71BD59A4">
            <w:pPr>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3.</w:t>
            </w:r>
            <w:r>
              <w:rPr>
                <w:rFonts w:hint="eastAsia"/>
                <w:b/>
                <w:bCs/>
                <w:color w:val="000000" w:themeColor="text1"/>
                <w:szCs w:val="21"/>
                <w14:textFill>
                  <w14:solidFill>
                    <w14:schemeClr w14:val="tx1"/>
                  </w14:solidFill>
                </w14:textFill>
              </w:rPr>
              <w:t>7</w:t>
            </w:r>
            <w:r>
              <w:rPr>
                <w:b/>
                <w:bCs/>
                <w:color w:val="000000" w:themeColor="text1"/>
                <w:szCs w:val="21"/>
                <w14:textFill>
                  <w14:solidFill>
                    <w14:schemeClr w14:val="tx1"/>
                  </w14:solidFill>
                </w14:textFill>
              </w:rPr>
              <w:t>项目废气排放标准</w:t>
            </w:r>
          </w:p>
          <w:p w14:paraId="62E5D3A8">
            <w:pPr>
              <w:spacing w:line="360" w:lineRule="auto"/>
              <w:ind w:firstLine="420" w:firstLineChars="200"/>
              <w:rPr>
                <w:color w:val="000000" w:themeColor="text1"/>
                <w:szCs w:val="21"/>
                <w14:textFill>
                  <w14:solidFill>
                    <w14:schemeClr w14:val="tx1"/>
                  </w14:solidFill>
                </w14:textFill>
              </w:rPr>
            </w:pPr>
            <w:bookmarkStart w:id="3" w:name="OLE_LINK136"/>
            <w:r>
              <w:rPr>
                <w:rFonts w:hint="eastAsia"/>
                <w:color w:val="000000" w:themeColor="text1"/>
                <w:szCs w:val="21"/>
                <w:lang w:val="en-US" w:eastAsia="zh-CN"/>
                <w14:textFill>
                  <w14:solidFill>
                    <w14:schemeClr w14:val="tx1"/>
                  </w14:solidFill>
                </w14:textFill>
              </w:rPr>
              <w:t>1#排气筒涉及</w:t>
            </w:r>
            <w:r>
              <w:rPr>
                <w:rFonts w:hint="eastAsia"/>
                <w:bCs/>
                <w:color w:val="000000" w:themeColor="text1"/>
                <w:szCs w:val="21"/>
                <w:lang w:val="en-US" w:eastAsia="zh-CN"/>
                <w14:textFill>
                  <w14:solidFill>
                    <w14:schemeClr w14:val="tx1"/>
                  </w14:solidFill>
                </w14:textFill>
              </w:rPr>
              <w:t>吹塑、印刷、烘干、</w:t>
            </w:r>
            <w:r>
              <w:rPr>
                <w:rFonts w:hint="eastAsia"/>
                <w:color w:val="000000" w:themeColor="text1"/>
                <w:szCs w:val="21"/>
                <w:lang w:val="en-US" w:eastAsia="zh-CN"/>
                <w14:textFill>
                  <w14:solidFill>
                    <w14:schemeClr w14:val="tx1"/>
                  </w14:solidFill>
                </w14:textFill>
              </w:rPr>
              <w:t>印刷机清理工艺</w:t>
            </w:r>
            <w:r>
              <w:rPr>
                <w:rFonts w:hint="eastAsia"/>
                <w:color w:val="000000" w:themeColor="text1"/>
                <w:szCs w:val="21"/>
                <w14:textFill>
                  <w14:solidFill>
                    <w14:schemeClr w14:val="tx1"/>
                  </w14:solidFill>
                </w14:textFill>
              </w:rPr>
              <w:t>。其中</w:t>
            </w:r>
            <w:r>
              <w:rPr>
                <w:rFonts w:hint="eastAsia"/>
                <w:bCs/>
                <w:color w:val="000000" w:themeColor="text1"/>
                <w:szCs w:val="21"/>
                <w:lang w:val="en-US" w:eastAsia="zh-CN"/>
                <w14:textFill>
                  <w14:solidFill>
                    <w14:schemeClr w14:val="tx1"/>
                  </w14:solidFill>
                </w14:textFill>
              </w:rPr>
              <w:t>印刷、烘干、</w:t>
            </w:r>
            <w:r>
              <w:rPr>
                <w:rFonts w:hint="eastAsia"/>
                <w:color w:val="000000" w:themeColor="text1"/>
                <w:szCs w:val="21"/>
                <w:lang w:val="en-US" w:eastAsia="zh-CN"/>
                <w14:textFill>
                  <w14:solidFill>
                    <w14:schemeClr w14:val="tx1"/>
                  </w14:solidFill>
                </w14:textFill>
              </w:rPr>
              <w:t>印刷机清理</w:t>
            </w:r>
            <w:r>
              <w:rPr>
                <w:color w:val="000000" w:themeColor="text1"/>
                <w:szCs w:val="21"/>
                <w14:textFill>
                  <w14:solidFill>
                    <w14:schemeClr w14:val="tx1"/>
                  </w14:solidFill>
                </w14:textFill>
              </w:rPr>
              <w:t>工序排放的非甲烷总烃</w:t>
            </w:r>
            <w:r>
              <w:rPr>
                <w:rFonts w:hint="eastAsia"/>
                <w:color w:val="000000" w:themeColor="text1"/>
                <w:szCs w:val="21"/>
                <w:lang w:val="en-US" w:eastAsia="zh-CN"/>
                <w14:textFill>
                  <w14:solidFill>
                    <w14:schemeClr w14:val="tx1"/>
                  </w14:solidFill>
                </w14:textFill>
              </w:rPr>
              <w:t>以及TVOC</w:t>
            </w:r>
            <w:r>
              <w:rPr>
                <w:color w:val="000000" w:themeColor="text1"/>
                <w:szCs w:val="21"/>
                <w14:textFill>
                  <w14:solidFill>
                    <w14:schemeClr w14:val="tx1"/>
                  </w14:solidFill>
                </w14:textFill>
              </w:rPr>
              <w:t>执行</w:t>
            </w:r>
            <w:r>
              <w:rPr>
                <w:rFonts w:hint="eastAsia"/>
                <w:color w:val="000000" w:themeColor="text1"/>
                <w:szCs w:val="21"/>
                <w14:textFill>
                  <w14:solidFill>
                    <w14:schemeClr w14:val="tx1"/>
                  </w14:solidFill>
                </w14:textFill>
              </w:rPr>
              <w:t>《印刷工业大气污染物排放标准》（DB32/4438-2022）表1标准</w:t>
            </w:r>
            <w:r>
              <w:rPr>
                <w:color w:val="000000" w:themeColor="text1"/>
                <w:szCs w:val="21"/>
                <w14:textFill>
                  <w14:solidFill>
                    <w14:schemeClr w14:val="tx1"/>
                  </w14:solidFill>
                </w14:textFill>
              </w:rPr>
              <w:t>；</w:t>
            </w:r>
            <w:r>
              <w:rPr>
                <w:rFonts w:hint="eastAsia"/>
                <w:bCs/>
                <w:color w:val="000000" w:themeColor="text1"/>
                <w:szCs w:val="21"/>
                <w:lang w:val="en-US" w:eastAsia="zh-CN"/>
                <w14:textFill>
                  <w14:solidFill>
                    <w14:schemeClr w14:val="tx1"/>
                  </w14:solidFill>
                </w14:textFill>
              </w:rPr>
              <w:t>吹塑</w:t>
            </w:r>
            <w:r>
              <w:rPr>
                <w:color w:val="000000" w:themeColor="text1"/>
                <w:szCs w:val="21"/>
                <w14:textFill>
                  <w14:solidFill>
                    <w14:schemeClr w14:val="tx1"/>
                  </w14:solidFill>
                </w14:textFill>
              </w:rPr>
              <w:t>工序排</w:t>
            </w:r>
            <w:r>
              <w:rPr>
                <w:color w:val="000000" w:themeColor="text1"/>
                <w:szCs w:val="21"/>
                <w:highlight w:val="none"/>
                <w14:textFill>
                  <w14:solidFill>
                    <w14:schemeClr w14:val="tx1"/>
                  </w14:solidFill>
                </w14:textFill>
              </w:rPr>
              <w:t>放的非甲烷总烃执行</w:t>
            </w:r>
            <w:r>
              <w:rPr>
                <w:rFonts w:hint="eastAsia"/>
                <w:color w:val="000000" w:themeColor="text1"/>
                <w:szCs w:val="21"/>
                <w:highlight w:val="none"/>
                <w:lang w:val="en-US" w:eastAsia="zh-CN"/>
                <w14:textFill>
                  <w14:solidFill>
                    <w14:schemeClr w14:val="tx1"/>
                  </w14:solidFill>
                </w14:textFill>
              </w:rPr>
              <w:t>《合成树脂工业污染物排放标准》（GB31572-2015，含2024年修改单）（GB31572-2015，含2024年修改单）表5标准</w:t>
            </w:r>
            <w:r>
              <w:rPr>
                <w:rFonts w:hint="eastAsia"/>
                <w:color w:val="000000" w:themeColor="text1"/>
                <w:szCs w:val="21"/>
                <w:highlight w:val="none"/>
                <w14:textFill>
                  <w14:solidFill>
                    <w14:schemeClr w14:val="tx1"/>
                  </w14:solidFill>
                </w14:textFill>
              </w:rPr>
              <w:t>。</w:t>
            </w:r>
            <w:bookmarkEnd w:id="3"/>
            <w:bookmarkStart w:id="4" w:name="OLE_LINK40"/>
            <w:r>
              <w:rPr>
                <w:rFonts w:hint="eastAsia"/>
                <w:color w:val="000000" w:themeColor="text1"/>
                <w:szCs w:val="21"/>
                <w:highlight w:val="none"/>
                <w14:textFill>
                  <w14:solidFill>
                    <w14:schemeClr w14:val="tx1"/>
                  </w14:solidFill>
                </w14:textFill>
              </w:rPr>
              <w:t>因此，</w:t>
            </w:r>
            <w:r>
              <w:rPr>
                <w:rFonts w:hint="eastAsia"/>
                <w:color w:val="000000" w:themeColor="text1"/>
                <w:szCs w:val="21"/>
                <w:lang w:val="en-US" w:eastAsia="zh-CN"/>
                <w14:textFill>
                  <w14:solidFill>
                    <w14:schemeClr w14:val="tx1"/>
                  </w14:solidFill>
                </w14:textFill>
              </w:rPr>
              <w:t>1#排气筒有组织排放的非甲烷总烃以及TVOC从严执行《</w:t>
            </w:r>
            <w:r>
              <w:rPr>
                <w:rFonts w:hint="eastAsia"/>
                <w:color w:val="000000" w:themeColor="text1"/>
                <w:szCs w:val="21"/>
                <w14:textFill>
                  <w14:solidFill>
                    <w14:schemeClr w14:val="tx1"/>
                  </w14:solidFill>
                </w14:textFill>
              </w:rPr>
              <w:t>印刷工业大气污染物排放标准》（DB32/4438-2022）</w:t>
            </w:r>
            <w:r>
              <w:rPr>
                <w:color w:val="000000" w:themeColor="text1"/>
                <w:szCs w:val="21"/>
                <w14:textFill>
                  <w14:solidFill>
                    <w14:schemeClr w14:val="tx1"/>
                  </w14:solidFill>
                </w14:textFill>
              </w:rPr>
              <w:t>表</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标准</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厂界无组织非甲烷总烃</w:t>
            </w:r>
            <w:r>
              <w:rPr>
                <w:rFonts w:hint="eastAsia"/>
                <w:color w:val="000000" w:themeColor="text1"/>
                <w:szCs w:val="21"/>
                <w14:textFill>
                  <w14:solidFill>
                    <w14:schemeClr w14:val="tx1"/>
                  </w14:solidFill>
                </w14:textFill>
              </w:rPr>
              <w:t>、颗粒物</w:t>
            </w:r>
            <w:r>
              <w:rPr>
                <w:color w:val="000000" w:themeColor="text1"/>
                <w:szCs w:val="21"/>
                <w14:textFill>
                  <w14:solidFill>
                    <w14:schemeClr w14:val="tx1"/>
                  </w14:solidFill>
                </w14:textFill>
              </w:rPr>
              <w:t>执行《大气污染物综合排放标准》表</w:t>
            </w:r>
            <w:r>
              <w:rPr>
                <w:rFonts w:hint="eastAsia"/>
                <w:color w:val="000000" w:themeColor="text1"/>
                <w:szCs w:val="21"/>
                <w14:textFill>
                  <w14:solidFill>
                    <w14:schemeClr w14:val="tx1"/>
                  </w14:solidFill>
                </w14:textFill>
              </w:rPr>
              <w:t>3标准；</w:t>
            </w:r>
            <w:r>
              <w:rPr>
                <w:color w:val="000000" w:themeColor="text1"/>
                <w:szCs w:val="21"/>
                <w14:textFill>
                  <w14:solidFill>
                    <w14:schemeClr w14:val="tx1"/>
                  </w14:solidFill>
                </w14:textFill>
              </w:rPr>
              <w:t>厂区内无组织非甲烷总烃执行</w:t>
            </w:r>
            <w:r>
              <w:rPr>
                <w:rFonts w:hint="eastAsia"/>
                <w:color w:val="000000" w:themeColor="text1"/>
                <w:szCs w:val="21"/>
                <w14:textFill>
                  <w14:solidFill>
                    <w14:schemeClr w14:val="tx1"/>
                  </w14:solidFill>
                </w14:textFill>
              </w:rPr>
              <w:t>《印刷工业大气污染物排放标准》（DB32/4438-2022）</w:t>
            </w:r>
            <w:r>
              <w:rPr>
                <w:color w:val="000000" w:themeColor="text1"/>
                <w:szCs w:val="21"/>
                <w14:textFill>
                  <w14:solidFill>
                    <w14:schemeClr w14:val="tx1"/>
                  </w14:solidFill>
                </w14:textFill>
              </w:rPr>
              <w:t>表</w:t>
            </w: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标准。</w:t>
            </w:r>
          </w:p>
          <w:p w14:paraId="04343FCC">
            <w:pPr>
              <w:jc w:val="center"/>
              <w:rPr>
                <w:color w:val="000000" w:themeColor="text1"/>
                <w14:textFill>
                  <w14:solidFill>
                    <w14:schemeClr w14:val="tx1"/>
                  </w14:solidFill>
                </w14:textFill>
              </w:rPr>
            </w:pPr>
            <w:r>
              <w:rPr>
                <w:b/>
                <w:bCs/>
                <w:color w:val="000000" w:themeColor="text1"/>
                <w14:textFill>
                  <w14:solidFill>
                    <w14:schemeClr w14:val="tx1"/>
                  </w14:solidFill>
                </w14:textFill>
              </w:rPr>
              <w:t>表3</w:t>
            </w:r>
            <w:r>
              <w:rPr>
                <w:rFonts w:hint="eastAsia"/>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7</w:t>
            </w:r>
            <w:r>
              <w:rPr>
                <w:rFonts w:hint="eastAsia"/>
                <w:b/>
                <w:bCs/>
                <w:color w:val="000000" w:themeColor="text1"/>
                <w14:textFill>
                  <w14:solidFill>
                    <w14:schemeClr w14:val="tx1"/>
                  </w14:solidFill>
                </w14:textFill>
              </w:rPr>
              <w:t>-1</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有组织</w:t>
            </w:r>
            <w:r>
              <w:rPr>
                <w:b/>
                <w:bCs/>
                <w:color w:val="000000" w:themeColor="text1"/>
                <w14:textFill>
                  <w14:solidFill>
                    <w14:schemeClr w14:val="tx1"/>
                  </w14:solidFill>
                </w14:textFill>
              </w:rPr>
              <w:t>废气污染物排放</w:t>
            </w:r>
            <w:r>
              <w:rPr>
                <w:rFonts w:hint="eastAsia"/>
                <w:b/>
                <w:bCs/>
                <w:color w:val="000000" w:themeColor="text1"/>
                <w14:textFill>
                  <w14:solidFill>
                    <w14:schemeClr w14:val="tx1"/>
                  </w14:solidFill>
                </w14:textFill>
              </w:rPr>
              <w:t>限值</w:t>
            </w:r>
            <w:r>
              <w:rPr>
                <w:b/>
                <w:bCs/>
                <w:color w:val="000000" w:themeColor="text1"/>
                <w14:textFill>
                  <w14:solidFill>
                    <w14:schemeClr w14:val="tx1"/>
                  </w14:solidFill>
                </w14:textFill>
              </w:rPr>
              <w:t>标准</w:t>
            </w:r>
            <w:bookmarkEnd w:id="4"/>
            <w:r>
              <w:rPr>
                <w:rFonts w:hint="eastAsia"/>
                <w:b/>
                <w:bCs/>
                <w:color w:val="000000" w:themeColor="text1"/>
                <w14:textFill>
                  <w14:solidFill>
                    <w14:schemeClr w14:val="tx1"/>
                  </w14:solidFill>
                </w14:textFill>
              </w:rPr>
              <w:t>一览表</w:t>
            </w:r>
          </w:p>
          <w:tbl>
            <w:tblPr>
              <w:tblStyle w:val="22"/>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62"/>
              <w:gridCol w:w="706"/>
              <w:gridCol w:w="1349"/>
              <w:gridCol w:w="864"/>
              <w:gridCol w:w="928"/>
              <w:gridCol w:w="698"/>
              <w:gridCol w:w="2797"/>
            </w:tblGrid>
            <w:tr w14:paraId="177423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81" w:hRule="atLeast"/>
                <w:jc w:val="center"/>
              </w:trPr>
              <w:tc>
                <w:tcPr>
                  <w:tcW w:w="1004" w:type="pct"/>
                  <w:gridSpan w:val="2"/>
                  <w:vAlign w:val="center"/>
                </w:tcPr>
                <w:p w14:paraId="3155EB0B">
                  <w:pPr>
                    <w:jc w:val="center"/>
                    <w:rPr>
                      <w:b/>
                      <w:color w:val="000000" w:themeColor="text1"/>
                      <w:szCs w:val="21"/>
                      <w14:textFill>
                        <w14:solidFill>
                          <w14:schemeClr w14:val="tx1"/>
                        </w14:solidFill>
                      </w14:textFill>
                    </w:rPr>
                  </w:pPr>
                  <w:bookmarkStart w:id="5" w:name="OLE_LINK137"/>
                  <w:r>
                    <w:rPr>
                      <w:b/>
                      <w:color w:val="000000" w:themeColor="text1"/>
                      <w:szCs w:val="21"/>
                      <w14:textFill>
                        <w14:solidFill>
                          <w14:schemeClr w14:val="tx1"/>
                        </w14:solidFill>
                      </w14:textFill>
                    </w:rPr>
                    <w:t>污染工段</w:t>
                  </w:r>
                </w:p>
              </w:tc>
              <w:tc>
                <w:tcPr>
                  <w:tcW w:w="812" w:type="pct"/>
                  <w:vAlign w:val="center"/>
                </w:tcPr>
                <w:p w14:paraId="2E13708A">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w:t>
                  </w:r>
                </w:p>
              </w:tc>
              <w:tc>
                <w:tcPr>
                  <w:tcW w:w="520" w:type="pct"/>
                  <w:vAlign w:val="center"/>
                </w:tcPr>
                <w:p w14:paraId="03923EB6">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排气筒高度(m)</w:t>
                  </w:r>
                </w:p>
              </w:tc>
              <w:tc>
                <w:tcPr>
                  <w:tcW w:w="558" w:type="pct"/>
                  <w:vAlign w:val="center"/>
                </w:tcPr>
                <w:p w14:paraId="7C725D7A">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排放限值(mg/m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c>
              <w:tc>
                <w:tcPr>
                  <w:tcW w:w="420" w:type="pct"/>
                  <w:vAlign w:val="center"/>
                </w:tcPr>
                <w:p w14:paraId="674DCCC3">
                  <w:pPr>
                    <w:pStyle w:val="63"/>
                    <w:adjustRightInd/>
                    <w:spacing w:line="240" w:lineRule="auto"/>
                    <w:textAlignment w:val="auto"/>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排放</w:t>
                  </w:r>
                </w:p>
                <w:p w14:paraId="762FFB0D">
                  <w:pPr>
                    <w:pStyle w:val="63"/>
                    <w:adjustRightInd/>
                    <w:spacing w:line="240" w:lineRule="auto"/>
                    <w:textAlignment w:val="auto"/>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速率(kg/h)</w:t>
                  </w:r>
                </w:p>
              </w:tc>
              <w:tc>
                <w:tcPr>
                  <w:tcW w:w="1684" w:type="pct"/>
                  <w:vAlign w:val="center"/>
                </w:tcPr>
                <w:p w14:paraId="6274E2E0">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标准来源</w:t>
                  </w:r>
                </w:p>
              </w:tc>
            </w:tr>
            <w:tr w14:paraId="5570D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19" w:hRule="atLeast"/>
                <w:jc w:val="center"/>
              </w:trPr>
              <w:tc>
                <w:tcPr>
                  <w:tcW w:w="579" w:type="pct"/>
                  <w:vMerge w:val="restart"/>
                  <w:vAlign w:val="center"/>
                </w:tcPr>
                <w:p w14:paraId="0917FB81">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吹塑、印刷、烘干、</w:t>
                  </w:r>
                  <w:r>
                    <w:rPr>
                      <w:rFonts w:hint="eastAsia"/>
                      <w:color w:val="000000" w:themeColor="text1"/>
                      <w:szCs w:val="21"/>
                      <w:lang w:val="en-US" w:eastAsia="zh-CN"/>
                      <w14:textFill>
                        <w14:solidFill>
                          <w14:schemeClr w14:val="tx1"/>
                        </w14:solidFill>
                      </w14:textFill>
                    </w:rPr>
                    <w:t>印刷机清理</w:t>
                  </w:r>
                </w:p>
              </w:tc>
              <w:tc>
                <w:tcPr>
                  <w:tcW w:w="425" w:type="pct"/>
                  <w:vMerge w:val="restart"/>
                  <w:vAlign w:val="center"/>
                </w:tcPr>
                <w:p w14:paraId="55771148">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1#排气筒</w:t>
                  </w:r>
                </w:p>
              </w:tc>
              <w:tc>
                <w:tcPr>
                  <w:tcW w:w="812" w:type="pct"/>
                  <w:shd w:val="clear" w:color="auto" w:fill="auto"/>
                  <w:vAlign w:val="center"/>
                </w:tcPr>
                <w:p w14:paraId="3CC077A0">
                  <w:pPr>
                    <w:spacing w:line="400" w:lineRule="exact"/>
                    <w:jc w:val="center"/>
                    <w:rPr>
                      <w:rFonts w:hint="eastAsia" w:ascii="宋体" w:hAnsi="宋体" w:eastAsia="宋体" w:cs="宋体"/>
                      <w:color w:val="000000" w:themeColor="text1"/>
                      <w:kern w:val="1"/>
                      <w:sz w:val="21"/>
                      <w:szCs w:val="21"/>
                      <w:lang w:val="en-US" w:eastAsia="zh-CN" w:bidi="ar-SA"/>
                      <w14:textFill>
                        <w14:solidFill>
                          <w14:schemeClr w14:val="tx1"/>
                        </w14:solidFill>
                      </w14:textFill>
                    </w:rPr>
                  </w:pPr>
                  <w:r>
                    <w:rPr>
                      <w:rFonts w:hint="eastAsia" w:ascii="宋体" w:hAnsi="宋体" w:cs="宋体"/>
                      <w:color w:val="000000" w:themeColor="text1"/>
                      <w:kern w:val="1"/>
                      <w:szCs w:val="21"/>
                      <w14:textFill>
                        <w14:solidFill>
                          <w14:schemeClr w14:val="tx1"/>
                        </w14:solidFill>
                      </w14:textFill>
                    </w:rPr>
                    <w:t>非甲烷总烃</w:t>
                  </w:r>
                </w:p>
              </w:tc>
              <w:tc>
                <w:tcPr>
                  <w:tcW w:w="520" w:type="pct"/>
                  <w:vMerge w:val="restart"/>
                  <w:shd w:val="clear" w:color="auto" w:fill="auto"/>
                  <w:vAlign w:val="center"/>
                </w:tcPr>
                <w:p w14:paraId="5AE3A1DE">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25</w:t>
                  </w:r>
                </w:p>
              </w:tc>
              <w:tc>
                <w:tcPr>
                  <w:tcW w:w="558" w:type="pct"/>
                  <w:shd w:val="clear" w:color="auto" w:fill="auto"/>
                  <w:vAlign w:val="center"/>
                </w:tcPr>
                <w:p w14:paraId="447BB068">
                  <w:pPr>
                    <w:jc w:val="cente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eastAsia"/>
                      <w:color w:val="000000" w:themeColor="text1"/>
                      <w:kern w:val="1"/>
                      <w:szCs w:val="21"/>
                      <w14:textFill>
                        <w14:solidFill>
                          <w14:schemeClr w14:val="tx1"/>
                        </w14:solidFill>
                      </w14:textFill>
                    </w:rPr>
                    <w:t>50</w:t>
                  </w:r>
                </w:p>
              </w:tc>
              <w:tc>
                <w:tcPr>
                  <w:tcW w:w="420" w:type="pct"/>
                  <w:shd w:val="clear" w:color="auto" w:fill="auto"/>
                  <w:vAlign w:val="center"/>
                </w:tcPr>
                <w:p w14:paraId="6D0C7280">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1.8</w:t>
                  </w:r>
                </w:p>
              </w:tc>
              <w:tc>
                <w:tcPr>
                  <w:tcW w:w="1684" w:type="pct"/>
                  <w:vMerge w:val="restart"/>
                  <w:vAlign w:val="center"/>
                </w:tcPr>
                <w:p w14:paraId="26B68ED3">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《印刷工业大气污染物排放标准》（DB32/4438-2022）</w:t>
                  </w:r>
                  <w:r>
                    <w:rPr>
                      <w:color w:val="000000" w:themeColor="text1"/>
                      <w:szCs w:val="21"/>
                      <w14:textFill>
                        <w14:solidFill>
                          <w14:schemeClr w14:val="tx1"/>
                        </w14:solidFill>
                      </w14:textFill>
                    </w:rPr>
                    <w:t>表</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标准</w:t>
                  </w:r>
                </w:p>
              </w:tc>
            </w:tr>
            <w:tr w14:paraId="464A0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19" w:hRule="atLeast"/>
                <w:jc w:val="center"/>
              </w:trPr>
              <w:tc>
                <w:tcPr>
                  <w:tcW w:w="579" w:type="pct"/>
                  <w:vMerge w:val="continue"/>
                  <w:vAlign w:val="center"/>
                </w:tcPr>
                <w:p w14:paraId="1FD98C25">
                  <w:pPr>
                    <w:adjustRightInd w:val="0"/>
                    <w:snapToGrid w:val="0"/>
                    <w:jc w:val="center"/>
                    <w:rPr>
                      <w:rFonts w:hint="eastAsia"/>
                      <w:color w:val="000000" w:themeColor="text1"/>
                      <w:szCs w:val="21"/>
                      <w:lang w:val="en-US" w:eastAsia="zh-CN"/>
                      <w14:textFill>
                        <w14:solidFill>
                          <w14:schemeClr w14:val="tx1"/>
                        </w14:solidFill>
                      </w14:textFill>
                    </w:rPr>
                  </w:pPr>
                </w:p>
              </w:tc>
              <w:tc>
                <w:tcPr>
                  <w:tcW w:w="425" w:type="pct"/>
                  <w:vMerge w:val="continue"/>
                  <w:vAlign w:val="center"/>
                </w:tcPr>
                <w:p w14:paraId="4B769D0F">
                  <w:pPr>
                    <w:adjustRightInd w:val="0"/>
                    <w:snapToGrid w:val="0"/>
                    <w:jc w:val="center"/>
                    <w:rPr>
                      <w:rFonts w:hint="eastAsia"/>
                      <w:color w:val="000000" w:themeColor="text1"/>
                      <w:szCs w:val="21"/>
                      <w:lang w:val="en-US" w:eastAsia="zh-CN"/>
                      <w14:textFill>
                        <w14:solidFill>
                          <w14:schemeClr w14:val="tx1"/>
                        </w14:solidFill>
                      </w14:textFill>
                    </w:rPr>
                  </w:pPr>
                </w:p>
              </w:tc>
              <w:tc>
                <w:tcPr>
                  <w:tcW w:w="812" w:type="pct"/>
                  <w:shd w:val="clear" w:color="auto" w:fill="auto"/>
                  <w:vAlign w:val="center"/>
                </w:tcPr>
                <w:p w14:paraId="7DEF78AA">
                  <w:pPr>
                    <w:spacing w:line="400" w:lineRule="exact"/>
                    <w:jc w:val="center"/>
                    <w:rPr>
                      <w:rFonts w:hint="default" w:ascii="宋体" w:hAnsi="宋体" w:eastAsia="宋体" w:cs="宋体"/>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TVOC</w:t>
                  </w:r>
                </w:p>
              </w:tc>
              <w:tc>
                <w:tcPr>
                  <w:tcW w:w="520" w:type="pct"/>
                  <w:vMerge w:val="continue"/>
                  <w:shd w:val="clear" w:color="auto" w:fill="auto"/>
                  <w:vAlign w:val="center"/>
                </w:tcPr>
                <w:p w14:paraId="6BB9E101">
                  <w:pPr>
                    <w:jc w:val="center"/>
                    <w:rPr>
                      <w:rFonts w:hint="default"/>
                      <w:color w:val="000000" w:themeColor="text1"/>
                      <w:szCs w:val="21"/>
                      <w:lang w:val="en-US" w:eastAsia="zh-CN"/>
                      <w14:textFill>
                        <w14:solidFill>
                          <w14:schemeClr w14:val="tx1"/>
                        </w14:solidFill>
                      </w14:textFill>
                    </w:rPr>
                  </w:pPr>
                </w:p>
              </w:tc>
              <w:tc>
                <w:tcPr>
                  <w:tcW w:w="558" w:type="pct"/>
                  <w:shd w:val="clear" w:color="auto" w:fill="auto"/>
                  <w:vAlign w:val="center"/>
                </w:tcPr>
                <w:p w14:paraId="33FD5396">
                  <w:pPr>
                    <w:jc w:val="center"/>
                    <w:rPr>
                      <w:rFonts w:hint="default" w:eastAsia="宋体"/>
                      <w:color w:val="000000" w:themeColor="text1"/>
                      <w:kern w:val="1"/>
                      <w:szCs w:val="21"/>
                      <w:lang w:val="en-US" w:eastAsia="zh-CN"/>
                      <w14:textFill>
                        <w14:solidFill>
                          <w14:schemeClr w14:val="tx1"/>
                        </w14:solidFill>
                      </w14:textFill>
                    </w:rPr>
                  </w:pPr>
                  <w:r>
                    <w:rPr>
                      <w:rFonts w:hint="eastAsia"/>
                      <w:color w:val="000000" w:themeColor="text1"/>
                      <w:kern w:val="1"/>
                      <w:szCs w:val="21"/>
                      <w:lang w:val="en-US" w:eastAsia="zh-CN"/>
                      <w14:textFill>
                        <w14:solidFill>
                          <w14:schemeClr w14:val="tx1"/>
                        </w14:solidFill>
                      </w14:textFill>
                    </w:rPr>
                    <w:t>70</w:t>
                  </w:r>
                </w:p>
              </w:tc>
              <w:tc>
                <w:tcPr>
                  <w:tcW w:w="420" w:type="pct"/>
                  <w:shd w:val="clear" w:color="auto" w:fill="auto"/>
                  <w:vAlign w:val="center"/>
                </w:tcPr>
                <w:p w14:paraId="051EB3A1">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2.5</w:t>
                  </w:r>
                </w:p>
              </w:tc>
              <w:tc>
                <w:tcPr>
                  <w:tcW w:w="1684" w:type="pct"/>
                  <w:vMerge w:val="continue"/>
                  <w:vAlign w:val="center"/>
                </w:tcPr>
                <w:p w14:paraId="0E0D1D03">
                  <w:pPr>
                    <w:jc w:val="center"/>
                    <w:rPr>
                      <w:rFonts w:hint="eastAsia"/>
                      <w:color w:val="000000" w:themeColor="text1"/>
                      <w:szCs w:val="21"/>
                      <w14:textFill>
                        <w14:solidFill>
                          <w14:schemeClr w14:val="tx1"/>
                        </w14:solidFill>
                      </w14:textFill>
                    </w:rPr>
                  </w:pPr>
                </w:p>
              </w:tc>
            </w:tr>
            <w:bookmarkEnd w:id="5"/>
          </w:tbl>
          <w:p w14:paraId="1E0E95F7">
            <w:pPr>
              <w:spacing w:line="240" w:lineRule="auto"/>
              <w:jc w:val="left"/>
              <w:rPr>
                <w:rFonts w:hint="eastAsia" w:eastAsia="宋体"/>
                <w:b/>
                <w:color w:val="000000" w:themeColor="text1"/>
                <w:szCs w:val="21"/>
                <w:lang w:eastAsia="zh-CN"/>
                <w14:textFill>
                  <w14:solidFill>
                    <w14:schemeClr w14:val="tx1"/>
                  </w14:solidFill>
                </w14:textFill>
              </w:rPr>
            </w:pPr>
            <w:r>
              <w:rPr>
                <w:rFonts w:hint="eastAsia"/>
                <w:bCs/>
                <w:color w:val="000000" w:themeColor="text1"/>
                <w14:textFill>
                  <w14:solidFill>
                    <w14:schemeClr w14:val="tx1"/>
                  </w14:solidFill>
                </w14:textFill>
              </w:rPr>
              <w:t>注：本项目</w:t>
            </w:r>
            <w:r>
              <w:rPr>
                <w:rFonts w:hint="eastAsia"/>
                <w:bCs/>
                <w:color w:val="000000" w:themeColor="text1"/>
                <w:lang w:val="en-US" w:eastAsia="zh-CN"/>
                <w14:textFill>
                  <w14:solidFill>
                    <w14:schemeClr w14:val="tx1"/>
                  </w14:solidFill>
                </w14:textFill>
              </w:rPr>
              <w:t>孔</w:t>
            </w:r>
            <w:r>
              <w:rPr>
                <w:rFonts w:hint="eastAsia"/>
                <w:bCs/>
                <w:color w:val="000000" w:themeColor="text1"/>
                <w14:textFill>
                  <w14:solidFill>
                    <w14:schemeClr w14:val="tx1"/>
                  </w14:solidFill>
                </w14:textFill>
              </w:rPr>
              <w:t>版印刷、承印物为塑料，根据《印刷工业大气污染物排放标准》（DB32/4438-2022）附录A，本项目</w:t>
            </w:r>
            <w:r>
              <w:rPr>
                <w:rFonts w:hint="eastAsia"/>
                <w:bCs/>
                <w:color w:val="000000" w:themeColor="text1"/>
                <w:lang w:val="en-US" w:eastAsia="zh-CN"/>
                <w14:textFill>
                  <w14:solidFill>
                    <w14:schemeClr w14:val="tx1"/>
                  </w14:solidFill>
                </w14:textFill>
              </w:rPr>
              <w:t>1#排气筒</w:t>
            </w:r>
            <w:r>
              <w:rPr>
                <w:rFonts w:hint="eastAsia" w:cs="Times New Roman"/>
                <w:color w:val="000000" w:themeColor="text1"/>
                <w:sz w:val="21"/>
                <w:szCs w:val="21"/>
                <w:highlight w:val="none"/>
                <w:lang w:val="en-US" w:eastAsia="zh-CN"/>
                <w14:textFill>
                  <w14:solidFill>
                    <w14:schemeClr w14:val="tx1"/>
                  </w14:solidFill>
                </w14:textFill>
              </w:rPr>
              <w:t>1,2,4,5-四甲苯、戊二酸二甲酯、甲基三(二甲基硅氧烷基)硅烷、</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乙酯、异佛尔酮、乙醇</w:t>
            </w:r>
            <w:r>
              <w:rPr>
                <w:rFonts w:hint="eastAsia"/>
                <w:bCs/>
                <w:color w:val="000000" w:themeColor="text1"/>
                <w14:textFill>
                  <w14:solidFill>
                    <w14:schemeClr w14:val="tx1"/>
                  </w14:solidFill>
                </w14:textFill>
              </w:rPr>
              <w:t>等均计入TVOC</w:t>
            </w:r>
            <w:r>
              <w:rPr>
                <w:rFonts w:hint="eastAsia"/>
                <w:bCs/>
                <w:color w:val="000000" w:themeColor="text1"/>
                <w:lang w:eastAsia="zh-CN"/>
                <w14:textFill>
                  <w14:solidFill>
                    <w14:schemeClr w14:val="tx1"/>
                  </w14:solidFill>
                </w14:textFill>
              </w:rPr>
              <w:t>。</w:t>
            </w:r>
          </w:p>
          <w:p w14:paraId="623EF4F4">
            <w:pPr>
              <w:adjustRightInd w:val="0"/>
              <w:snapToGrid w:val="0"/>
              <w:jc w:val="center"/>
              <w:rPr>
                <w:color w:val="000000" w:themeColor="text1"/>
                <w:sz w:val="24"/>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lang w:val="en-US" w:eastAsia="zh-CN"/>
                <w14:textFill>
                  <w14:solidFill>
                    <w14:schemeClr w14:val="tx1"/>
                  </w14:solidFill>
                </w14:textFill>
              </w:rPr>
              <w:t>3.7-2</w:t>
            </w:r>
            <w:r>
              <w:rPr>
                <w:b/>
                <w:color w:val="000000" w:themeColor="text1"/>
                <w:szCs w:val="21"/>
                <w14:textFill>
                  <w14:solidFill>
                    <w14:schemeClr w14:val="tx1"/>
                  </w14:solidFill>
                </w14:textFill>
              </w:rPr>
              <w:t xml:space="preserve">  厂界无组织废气排放限值</w:t>
            </w:r>
            <w:r>
              <w:rPr>
                <w:rFonts w:hint="eastAsia"/>
                <w:b/>
                <w:color w:val="000000" w:themeColor="text1"/>
                <w:szCs w:val="21"/>
                <w14:textFill>
                  <w14:solidFill>
                    <w14:schemeClr w14:val="tx1"/>
                  </w14:solidFill>
                </w14:textFill>
              </w:rPr>
              <w:t>一览</w:t>
            </w:r>
            <w:r>
              <w:rPr>
                <w:b/>
                <w:color w:val="000000" w:themeColor="text1"/>
                <w:szCs w:val="21"/>
                <w14:textFill>
                  <w14:solidFill>
                    <w14:schemeClr w14:val="tx1"/>
                  </w14:solidFill>
                </w14:textFill>
              </w:rPr>
              <w:t>表</w:t>
            </w:r>
          </w:p>
          <w:tbl>
            <w:tblPr>
              <w:tblStyle w:val="22"/>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761"/>
              <w:gridCol w:w="1359"/>
              <w:gridCol w:w="1195"/>
              <w:gridCol w:w="1185"/>
              <w:gridCol w:w="2805"/>
            </w:tblGrid>
            <w:tr w14:paraId="397C2A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60" w:type="pct"/>
                  <w:noWrap w:val="0"/>
                  <w:vAlign w:val="center"/>
                </w:tcPr>
                <w:p w14:paraId="09EB4B02">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污染工段</w:t>
                  </w:r>
                </w:p>
              </w:tc>
              <w:tc>
                <w:tcPr>
                  <w:tcW w:w="818" w:type="pct"/>
                  <w:noWrap w:val="0"/>
                  <w:vAlign w:val="center"/>
                </w:tcPr>
                <w:p w14:paraId="7F13F179">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w:t>
                  </w:r>
                </w:p>
              </w:tc>
              <w:tc>
                <w:tcPr>
                  <w:tcW w:w="719" w:type="pct"/>
                  <w:noWrap w:val="0"/>
                  <w:vAlign w:val="center"/>
                </w:tcPr>
                <w:p w14:paraId="697DBD95">
                  <w:pPr>
                    <w:pStyle w:val="63"/>
                    <w:adjustRightInd/>
                    <w:spacing w:line="240" w:lineRule="auto"/>
                    <w:textAlignment w:val="auto"/>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kern w:val="2"/>
                      <w:sz w:val="21"/>
                      <w:szCs w:val="21"/>
                      <w14:textFill>
                        <w14:solidFill>
                          <w14:schemeClr w14:val="tx1"/>
                        </w14:solidFill>
                      </w14:textFill>
                    </w:rPr>
                    <w:t>浓度限值（</w:t>
                  </w:r>
                  <w:r>
                    <w:rPr>
                      <w:rFonts w:ascii="Times New Roman" w:hAnsi="Times New Roman" w:cs="Times New Roman"/>
                      <w:b/>
                      <w:color w:val="000000" w:themeColor="text1"/>
                      <w:sz w:val="21"/>
                      <w:szCs w:val="21"/>
                      <w14:textFill>
                        <w14:solidFill>
                          <w14:schemeClr w14:val="tx1"/>
                        </w14:solidFill>
                      </w14:textFill>
                    </w:rPr>
                    <w:t>mg/m</w:t>
                  </w:r>
                  <w:r>
                    <w:rPr>
                      <w:rFonts w:ascii="Times New Roman" w:hAnsi="Times New Roman" w:cs="Times New Roman"/>
                      <w:b/>
                      <w:color w:val="000000" w:themeColor="text1"/>
                      <w:sz w:val="21"/>
                      <w:szCs w:val="21"/>
                      <w:vertAlign w:val="superscript"/>
                      <w14:textFill>
                        <w14:solidFill>
                          <w14:schemeClr w14:val="tx1"/>
                        </w14:solidFill>
                      </w14:textFill>
                    </w:rPr>
                    <w:t>3</w:t>
                  </w:r>
                  <w:r>
                    <w:rPr>
                      <w:rFonts w:ascii="Times New Roman" w:hAnsi="Times New Roman" w:cs="Times New Roman"/>
                      <w:b/>
                      <w:color w:val="000000" w:themeColor="text1"/>
                      <w:kern w:val="2"/>
                      <w:sz w:val="21"/>
                      <w:szCs w:val="21"/>
                      <w14:textFill>
                        <w14:solidFill>
                          <w14:schemeClr w14:val="tx1"/>
                        </w14:solidFill>
                      </w14:textFill>
                    </w:rPr>
                    <w:t>）</w:t>
                  </w:r>
                </w:p>
              </w:tc>
              <w:tc>
                <w:tcPr>
                  <w:tcW w:w="713" w:type="pct"/>
                  <w:noWrap w:val="0"/>
                  <w:vAlign w:val="center"/>
                </w:tcPr>
                <w:p w14:paraId="347A311A">
                  <w:pPr>
                    <w:pStyle w:val="63"/>
                    <w:adjustRightInd/>
                    <w:spacing w:line="240" w:lineRule="auto"/>
                    <w:textAlignment w:val="auto"/>
                    <w:rPr>
                      <w:rFonts w:ascii="Times New Roman" w:hAnsi="Times New Roman" w:cs="Times New Roman"/>
                      <w:b/>
                      <w:color w:val="000000" w:themeColor="text1"/>
                      <w:kern w:val="2"/>
                      <w:sz w:val="21"/>
                      <w:szCs w:val="21"/>
                      <w14:textFill>
                        <w14:solidFill>
                          <w14:schemeClr w14:val="tx1"/>
                        </w14:solidFill>
                      </w14:textFill>
                    </w:rPr>
                  </w:pPr>
                  <w:r>
                    <w:rPr>
                      <w:rFonts w:ascii="Times New Roman" w:hAnsi="Times New Roman" w:cs="Times New Roman"/>
                      <w:b/>
                      <w:color w:val="000000" w:themeColor="text1"/>
                      <w:kern w:val="2"/>
                      <w:sz w:val="21"/>
                      <w:szCs w:val="21"/>
                      <w14:textFill>
                        <w14:solidFill>
                          <w14:schemeClr w14:val="tx1"/>
                        </w14:solidFill>
                      </w14:textFill>
                    </w:rPr>
                    <w:t>监控位置</w:t>
                  </w:r>
                </w:p>
              </w:tc>
              <w:tc>
                <w:tcPr>
                  <w:tcW w:w="1688" w:type="pct"/>
                  <w:noWrap w:val="0"/>
                  <w:vAlign w:val="center"/>
                </w:tcPr>
                <w:p w14:paraId="7735FB9D">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标准来源</w:t>
                  </w:r>
                </w:p>
              </w:tc>
            </w:tr>
            <w:tr w14:paraId="1F60B1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761" w:type="dxa"/>
                  <w:noWrap w:val="0"/>
                  <w:vAlign w:val="center"/>
                </w:tcPr>
                <w:p w14:paraId="6FB8B8A8">
                  <w:pPr>
                    <w:adjustRightInd w:val="0"/>
                    <w:snapToGrid w:val="0"/>
                    <w:spacing w:line="240" w:lineRule="auto"/>
                    <w:jc w:val="center"/>
                    <w:rPr>
                      <w:rFonts w:hint="eastAsia" w:eastAsia="宋体"/>
                      <w:color w:val="000000" w:themeColor="text1"/>
                      <w:szCs w:val="21"/>
                      <w:lang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吹塑、印刷、烘干、</w:t>
                  </w:r>
                  <w:r>
                    <w:rPr>
                      <w:rFonts w:hint="eastAsia"/>
                      <w:color w:val="000000" w:themeColor="text1"/>
                      <w:szCs w:val="21"/>
                      <w:lang w:val="en-US" w:eastAsia="zh-CN"/>
                      <w14:textFill>
                        <w14:solidFill>
                          <w14:schemeClr w14:val="tx1"/>
                        </w14:solidFill>
                      </w14:textFill>
                    </w:rPr>
                    <w:t>印刷机清理</w:t>
                  </w:r>
                </w:p>
              </w:tc>
              <w:tc>
                <w:tcPr>
                  <w:tcW w:w="1359" w:type="dxa"/>
                  <w:noWrap w:val="0"/>
                  <w:vAlign w:val="center"/>
                </w:tcPr>
                <w:p w14:paraId="68CC7427">
                  <w:pPr>
                    <w:adjustRightInd w:val="0"/>
                    <w:snapToGrid w:val="0"/>
                    <w:spacing w:line="240" w:lineRule="auto"/>
                    <w:jc w:val="center"/>
                    <w:rPr>
                      <w:color w:val="000000" w:themeColor="text1"/>
                      <w14:textFill>
                        <w14:solidFill>
                          <w14:schemeClr w14:val="tx1"/>
                        </w14:solidFill>
                      </w14:textFill>
                    </w:rPr>
                  </w:pPr>
                  <w:r>
                    <w:rPr>
                      <w:color w:val="000000" w:themeColor="text1"/>
                      <w:szCs w:val="21"/>
                      <w14:textFill>
                        <w14:solidFill>
                          <w14:schemeClr w14:val="tx1"/>
                        </w14:solidFill>
                      </w14:textFill>
                    </w:rPr>
                    <w:t>非甲烷总烃</w:t>
                  </w:r>
                </w:p>
              </w:tc>
              <w:tc>
                <w:tcPr>
                  <w:tcW w:w="1195" w:type="dxa"/>
                  <w:noWrap w:val="0"/>
                  <w:vAlign w:val="center"/>
                </w:tcPr>
                <w:p w14:paraId="5E137D15">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1185" w:type="dxa"/>
                  <w:vMerge w:val="restart"/>
                  <w:noWrap w:val="0"/>
                  <w:vAlign w:val="center"/>
                </w:tcPr>
                <w:p w14:paraId="33D60EEF">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边界外浓度</w:t>
                  </w:r>
                </w:p>
                <w:p w14:paraId="520D722E">
                  <w:pPr>
                    <w:spacing w:line="240" w:lineRule="auto"/>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最高点</w:t>
                  </w:r>
                </w:p>
              </w:tc>
              <w:tc>
                <w:tcPr>
                  <w:tcW w:w="2805" w:type="dxa"/>
                  <w:vMerge w:val="restart"/>
                  <w:noWrap w:val="0"/>
                  <w:vAlign w:val="center"/>
                </w:tcPr>
                <w:p w14:paraId="20004960">
                  <w:pPr>
                    <w:spacing w:line="240" w:lineRule="auto"/>
                    <w:jc w:val="center"/>
                    <w:rPr>
                      <w:color w:val="000000" w:themeColor="text1"/>
                      <w14:textFill>
                        <w14:solidFill>
                          <w14:schemeClr w14:val="tx1"/>
                        </w14:solidFill>
                      </w14:textFill>
                    </w:rPr>
                  </w:pPr>
                  <w:r>
                    <w:rPr>
                      <w:color w:val="000000" w:themeColor="text1"/>
                      <w:szCs w:val="21"/>
                      <w14:textFill>
                        <w14:solidFill>
                          <w14:schemeClr w14:val="tx1"/>
                        </w14:solidFill>
                      </w14:textFill>
                    </w:rPr>
                    <w:t>《大气污染物综合排放标准》（DB32/4041-2021）表</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标准</w:t>
                  </w:r>
                </w:p>
              </w:tc>
            </w:tr>
            <w:tr w14:paraId="352CFB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761" w:type="dxa"/>
                  <w:noWrap w:val="0"/>
                  <w:vAlign w:val="center"/>
                </w:tcPr>
                <w:p w14:paraId="2D1BA59B">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破碎</w:t>
                  </w:r>
                </w:p>
              </w:tc>
              <w:tc>
                <w:tcPr>
                  <w:tcW w:w="1359" w:type="dxa"/>
                  <w:noWrap w:val="0"/>
                  <w:vAlign w:val="center"/>
                </w:tcPr>
                <w:p w14:paraId="4BDFB24E">
                  <w:pPr>
                    <w:adjustRightInd w:val="0"/>
                    <w:snapToGrid w:val="0"/>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195" w:type="dxa"/>
                  <w:noWrap w:val="0"/>
                  <w:vAlign w:val="center"/>
                </w:tcPr>
                <w:p w14:paraId="30435BB8">
                  <w:pPr>
                    <w:jc w:val="center"/>
                    <w:rPr>
                      <w:rFonts w:hint="eastAsia"/>
                      <w:color w:val="000000" w:themeColor="text1"/>
                      <w14:textFill>
                        <w14:solidFill>
                          <w14:schemeClr w14:val="tx1"/>
                        </w14:solidFill>
                      </w14:textFill>
                    </w:rPr>
                  </w:pPr>
                  <w:r>
                    <w:rPr>
                      <w:rFonts w:hint="eastAsia"/>
                      <w:color w:val="000000" w:themeColor="text1"/>
                      <w:szCs w:val="21"/>
                      <w14:textFill>
                        <w14:solidFill>
                          <w14:schemeClr w14:val="tx1"/>
                        </w14:solidFill>
                      </w14:textFill>
                    </w:rPr>
                    <w:t>0.5</w:t>
                  </w:r>
                </w:p>
              </w:tc>
              <w:tc>
                <w:tcPr>
                  <w:tcW w:w="1185" w:type="dxa"/>
                  <w:vMerge w:val="continue"/>
                  <w:noWrap w:val="0"/>
                  <w:vAlign w:val="center"/>
                </w:tcPr>
                <w:p w14:paraId="02433068">
                  <w:pPr>
                    <w:jc w:val="center"/>
                    <w:rPr>
                      <w:rFonts w:hint="eastAsia"/>
                      <w:color w:val="000000" w:themeColor="text1"/>
                      <w14:textFill>
                        <w14:solidFill>
                          <w14:schemeClr w14:val="tx1"/>
                        </w14:solidFill>
                      </w14:textFill>
                    </w:rPr>
                  </w:pPr>
                </w:p>
              </w:tc>
              <w:tc>
                <w:tcPr>
                  <w:tcW w:w="2805" w:type="dxa"/>
                  <w:vMerge w:val="continue"/>
                  <w:noWrap w:val="0"/>
                  <w:vAlign w:val="center"/>
                </w:tcPr>
                <w:p w14:paraId="0BAC22D7">
                  <w:pPr>
                    <w:jc w:val="center"/>
                    <w:rPr>
                      <w:color w:val="000000" w:themeColor="text1"/>
                      <w14:textFill>
                        <w14:solidFill>
                          <w14:schemeClr w14:val="tx1"/>
                        </w14:solidFill>
                      </w14:textFill>
                    </w:rPr>
                  </w:pPr>
                </w:p>
              </w:tc>
            </w:tr>
          </w:tbl>
          <w:p w14:paraId="3469CD9C">
            <w:pPr>
              <w:keepNext w:val="0"/>
              <w:keepLines w:val="0"/>
              <w:pageBreakBefore w:val="0"/>
              <w:widowControl w:val="0"/>
              <w:kinsoku/>
              <w:wordWrap/>
              <w:overflowPunct/>
              <w:topLinePunct w:val="0"/>
              <w:autoSpaceDE/>
              <w:autoSpaceDN/>
              <w:bidi w:val="0"/>
              <w:adjustRightInd/>
              <w:snapToGrid/>
              <w:jc w:val="center"/>
              <w:textAlignment w:val="auto"/>
              <w:rPr>
                <w:b/>
                <w:color w:val="000000" w:themeColor="text1"/>
                <w:sz w:val="24"/>
                <w14:textFill>
                  <w14:solidFill>
                    <w14:schemeClr w14:val="tx1"/>
                  </w14:solidFill>
                </w14:textFill>
              </w:rPr>
            </w:pPr>
            <w:r>
              <w:rPr>
                <w:b/>
                <w:color w:val="000000" w:themeColor="text1"/>
                <w:szCs w:val="21"/>
                <w14:textFill>
                  <w14:solidFill>
                    <w14:schemeClr w14:val="tx1"/>
                  </w14:solidFill>
                </w14:textFill>
              </w:rPr>
              <w:t>表3.</w:t>
            </w:r>
            <w:r>
              <w:rPr>
                <w:rFonts w:hint="eastAsia"/>
                <w:b/>
                <w:color w:val="000000" w:themeColor="text1"/>
                <w:szCs w:val="21"/>
                <w:lang w:val="en-US" w:eastAsia="zh-CN"/>
                <w14:textFill>
                  <w14:solidFill>
                    <w14:schemeClr w14:val="tx1"/>
                  </w14:solidFill>
                </w14:textFill>
              </w:rPr>
              <w:t>7</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3</w:t>
            </w:r>
            <w:r>
              <w:rPr>
                <w:b/>
                <w:color w:val="000000" w:themeColor="text1"/>
                <w:szCs w:val="21"/>
                <w14:textFill>
                  <w14:solidFill>
                    <w14:schemeClr w14:val="tx1"/>
                  </w14:solidFill>
                </w14:textFill>
              </w:rPr>
              <w:t xml:space="preserve">  厂区内无组织</w:t>
            </w:r>
            <w:r>
              <w:rPr>
                <w:rFonts w:hint="eastAsia"/>
                <w:b/>
                <w:color w:val="000000" w:themeColor="text1"/>
                <w:szCs w:val="21"/>
                <w14:textFill>
                  <w14:solidFill>
                    <w14:schemeClr w14:val="tx1"/>
                  </w14:solidFill>
                </w14:textFill>
              </w:rPr>
              <w:t>废气</w:t>
            </w:r>
            <w:r>
              <w:rPr>
                <w:b/>
                <w:color w:val="000000" w:themeColor="text1"/>
                <w:szCs w:val="21"/>
                <w14:textFill>
                  <w14:solidFill>
                    <w14:schemeClr w14:val="tx1"/>
                  </w14:solidFill>
                </w14:textFill>
              </w:rPr>
              <w:t>排放限值</w:t>
            </w:r>
            <w:r>
              <w:rPr>
                <w:rFonts w:hint="eastAsia"/>
                <w:b/>
                <w:color w:val="000000" w:themeColor="text1"/>
                <w:szCs w:val="21"/>
                <w14:textFill>
                  <w14:solidFill>
                    <w14:schemeClr w14:val="tx1"/>
                  </w14:solidFill>
                </w14:textFill>
              </w:rPr>
              <w:t>一览</w:t>
            </w:r>
            <w:r>
              <w:rPr>
                <w:b/>
                <w:color w:val="000000" w:themeColor="text1"/>
                <w:szCs w:val="21"/>
                <w14:textFill>
                  <w14:solidFill>
                    <w14:schemeClr w14:val="tx1"/>
                  </w14:solidFill>
                </w14:textFill>
              </w:rPr>
              <w:t>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1219"/>
              <w:gridCol w:w="2656"/>
              <w:gridCol w:w="1288"/>
              <w:gridCol w:w="2002"/>
            </w:tblGrid>
            <w:tr w14:paraId="65A2FB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Align w:val="center"/>
                </w:tcPr>
                <w:p w14:paraId="39C0F2DA">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污染物项目</w:t>
                  </w:r>
                </w:p>
              </w:tc>
              <w:tc>
                <w:tcPr>
                  <w:tcW w:w="733" w:type="pct"/>
                  <w:vAlign w:val="center"/>
                </w:tcPr>
                <w:p w14:paraId="6EA20C53">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监控点</w:t>
                  </w:r>
                  <w:r>
                    <w:rPr>
                      <w:b/>
                      <w:bCs/>
                      <w:color w:val="000000" w:themeColor="text1"/>
                      <w:szCs w:val="21"/>
                      <w14:textFill>
                        <w14:solidFill>
                          <w14:schemeClr w14:val="tx1"/>
                        </w14:solidFill>
                      </w14:textFill>
                    </w:rPr>
                    <w:t>限值（mg/m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p>
              </w:tc>
              <w:tc>
                <w:tcPr>
                  <w:tcW w:w="1597" w:type="pct"/>
                  <w:vAlign w:val="center"/>
                </w:tcPr>
                <w:p w14:paraId="44968A5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限值含义</w:t>
                  </w:r>
                </w:p>
              </w:tc>
              <w:tc>
                <w:tcPr>
                  <w:tcW w:w="775" w:type="pct"/>
                  <w:vAlign w:val="center"/>
                </w:tcPr>
                <w:p w14:paraId="65E04D42">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无组织排放</w:t>
                  </w:r>
                  <w:r>
                    <w:rPr>
                      <w:b/>
                      <w:bCs/>
                      <w:color w:val="000000" w:themeColor="text1"/>
                      <w:szCs w:val="21"/>
                      <w14:textFill>
                        <w14:solidFill>
                          <w14:schemeClr w14:val="tx1"/>
                        </w14:solidFill>
                      </w14:textFill>
                    </w:rPr>
                    <w:t>监控位置</w:t>
                  </w:r>
                </w:p>
              </w:tc>
              <w:tc>
                <w:tcPr>
                  <w:tcW w:w="1204" w:type="pct"/>
                  <w:vAlign w:val="center"/>
                </w:tcPr>
                <w:p w14:paraId="5AB7B244">
                  <w:pPr>
                    <w:jc w:val="center"/>
                    <w:rPr>
                      <w:b/>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标准来源</w:t>
                  </w:r>
                </w:p>
              </w:tc>
            </w:tr>
            <w:tr w14:paraId="16E61E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88" w:type="pct"/>
                  <w:vMerge w:val="restart"/>
                  <w:vAlign w:val="center"/>
                </w:tcPr>
                <w:p w14:paraId="6B875D1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733" w:type="pct"/>
                  <w:vAlign w:val="center"/>
                </w:tcPr>
                <w:p w14:paraId="0D041DC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1597" w:type="pct"/>
                  <w:vAlign w:val="center"/>
                </w:tcPr>
                <w:p w14:paraId="1F9F3D3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监控点处1h平均浓度值</w:t>
                  </w:r>
                </w:p>
              </w:tc>
              <w:tc>
                <w:tcPr>
                  <w:tcW w:w="775" w:type="pct"/>
                  <w:vMerge w:val="restart"/>
                  <w:vAlign w:val="center"/>
                </w:tcPr>
                <w:p w14:paraId="19DAF1D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在厂房外设置监控点</w:t>
                  </w:r>
                </w:p>
              </w:tc>
              <w:tc>
                <w:tcPr>
                  <w:tcW w:w="1204" w:type="pct"/>
                  <w:vMerge w:val="restart"/>
                  <w:vAlign w:val="center"/>
                </w:tcPr>
                <w:p w14:paraId="5423A17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《印刷工业大气污染物排放标准》（DB32/4438-2022）</w:t>
                  </w:r>
                  <w:r>
                    <w:rPr>
                      <w:color w:val="000000" w:themeColor="text1"/>
                      <w:szCs w:val="21"/>
                      <w14:textFill>
                        <w14:solidFill>
                          <w14:schemeClr w14:val="tx1"/>
                        </w14:solidFill>
                      </w14:textFill>
                    </w:rPr>
                    <w:t>表</w:t>
                  </w: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标准</w:t>
                  </w:r>
                </w:p>
              </w:tc>
            </w:tr>
            <w:tr w14:paraId="215FD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88" w:type="pct"/>
                  <w:vMerge w:val="continue"/>
                  <w:vAlign w:val="center"/>
                </w:tcPr>
                <w:p w14:paraId="326739B5">
                  <w:pPr>
                    <w:jc w:val="center"/>
                    <w:rPr>
                      <w:color w:val="000000" w:themeColor="text1"/>
                      <w:szCs w:val="21"/>
                      <w14:textFill>
                        <w14:solidFill>
                          <w14:schemeClr w14:val="tx1"/>
                        </w14:solidFill>
                      </w14:textFill>
                    </w:rPr>
                  </w:pPr>
                </w:p>
              </w:tc>
              <w:tc>
                <w:tcPr>
                  <w:tcW w:w="733" w:type="pct"/>
                  <w:vAlign w:val="center"/>
                </w:tcPr>
                <w:p w14:paraId="4D71577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597" w:type="pct"/>
                  <w:vAlign w:val="center"/>
                </w:tcPr>
                <w:p w14:paraId="464C37A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监控点处任意一次浓度值</w:t>
                  </w:r>
                </w:p>
              </w:tc>
              <w:tc>
                <w:tcPr>
                  <w:tcW w:w="775" w:type="pct"/>
                  <w:vMerge w:val="continue"/>
                  <w:vAlign w:val="center"/>
                </w:tcPr>
                <w:p w14:paraId="3AE96EF4">
                  <w:pPr>
                    <w:jc w:val="center"/>
                    <w:rPr>
                      <w:color w:val="000000" w:themeColor="text1"/>
                      <w:szCs w:val="21"/>
                      <w14:textFill>
                        <w14:solidFill>
                          <w14:schemeClr w14:val="tx1"/>
                        </w14:solidFill>
                      </w14:textFill>
                    </w:rPr>
                  </w:pPr>
                </w:p>
              </w:tc>
              <w:tc>
                <w:tcPr>
                  <w:tcW w:w="1204" w:type="pct"/>
                  <w:vMerge w:val="continue"/>
                  <w:vAlign w:val="center"/>
                </w:tcPr>
                <w:p w14:paraId="50D84CB2">
                  <w:pPr>
                    <w:jc w:val="center"/>
                    <w:rPr>
                      <w:color w:val="000000" w:themeColor="text1"/>
                      <w:szCs w:val="21"/>
                      <w14:textFill>
                        <w14:solidFill>
                          <w14:schemeClr w14:val="tx1"/>
                        </w14:solidFill>
                      </w14:textFill>
                    </w:rPr>
                  </w:pPr>
                </w:p>
              </w:tc>
            </w:tr>
          </w:tbl>
          <w:p w14:paraId="455C2DEE">
            <w:pPr>
              <w:spacing w:line="420" w:lineRule="exact"/>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3.</w:t>
            </w:r>
            <w:r>
              <w:rPr>
                <w:rFonts w:hint="eastAsia"/>
                <w:b/>
                <w:bCs/>
                <w:color w:val="000000" w:themeColor="text1"/>
                <w:szCs w:val="21"/>
                <w14:textFill>
                  <w14:solidFill>
                    <w14:schemeClr w14:val="tx1"/>
                  </w14:solidFill>
                </w14:textFill>
              </w:rPr>
              <w:t>8</w:t>
            </w:r>
            <w:r>
              <w:rPr>
                <w:b/>
                <w:bCs/>
                <w:color w:val="000000" w:themeColor="text1"/>
                <w:szCs w:val="21"/>
                <w14:textFill>
                  <w14:solidFill>
                    <w14:schemeClr w14:val="tx1"/>
                  </w14:solidFill>
                </w14:textFill>
              </w:rPr>
              <w:t>项目废水排放标准</w:t>
            </w:r>
          </w:p>
          <w:p w14:paraId="2FF93E3B">
            <w:pPr>
              <w:spacing w:line="42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本项目生活污水接管至</w:t>
            </w:r>
            <w:r>
              <w:rPr>
                <w:rFonts w:hint="eastAsia"/>
                <w:color w:val="000000" w:themeColor="text1"/>
                <w:szCs w:val="21"/>
                <w:lang w:eastAsia="zh-CN"/>
                <w14:textFill>
                  <w14:solidFill>
                    <w14:schemeClr w14:val="tx1"/>
                  </w14:solidFill>
                </w14:textFill>
              </w:rPr>
              <w:t>江苏中法水务股份有限公司（城东水质净化厂）</w:t>
            </w:r>
            <w:r>
              <w:rPr>
                <w:color w:val="000000" w:themeColor="text1"/>
                <w:szCs w:val="21"/>
                <w14:textFill>
                  <w14:solidFill>
                    <w14:schemeClr w14:val="tx1"/>
                  </w14:solidFill>
                </w14:textFill>
              </w:rPr>
              <w:t>集中处理，尾水排入</w:t>
            </w:r>
            <w:r>
              <w:rPr>
                <w:rFonts w:hint="eastAsia"/>
                <w:color w:val="000000" w:themeColor="text1"/>
                <w:szCs w:val="21"/>
                <w14:textFill>
                  <w14:solidFill>
                    <w14:schemeClr w14:val="tx1"/>
                  </w14:solidFill>
                </w14:textFill>
              </w:rPr>
              <w:t>大滃</w:t>
            </w:r>
            <w:r>
              <w:rPr>
                <w:color w:val="000000" w:themeColor="text1"/>
                <w:szCs w:val="21"/>
                <w14:textFill>
                  <w14:solidFill>
                    <w14:schemeClr w14:val="tx1"/>
                  </w14:solidFill>
                </w14:textFill>
              </w:rPr>
              <w:t>。</w:t>
            </w:r>
          </w:p>
          <w:p w14:paraId="740EBD86">
            <w:pPr>
              <w:jc w:val="center"/>
              <w:rPr>
                <w:b/>
                <w:color w:val="000000" w:themeColor="text1"/>
                <w:sz w:val="24"/>
                <w14:textFill>
                  <w14:solidFill>
                    <w14:schemeClr w14:val="tx1"/>
                  </w14:solidFill>
                </w14:textFill>
              </w:rPr>
            </w:pPr>
            <w:r>
              <w:rPr>
                <w:b/>
                <w:bCs/>
                <w:color w:val="000000" w:themeColor="text1"/>
                <w:szCs w:val="21"/>
                <w14:textFill>
                  <w14:solidFill>
                    <w14:schemeClr w14:val="tx1"/>
                  </w14:solidFill>
                </w14:textFill>
              </w:rPr>
              <w:t>表3.</w:t>
            </w:r>
            <w:r>
              <w:rPr>
                <w:rFonts w:hint="eastAsia"/>
                <w:b/>
                <w:bCs/>
                <w:color w:val="000000" w:themeColor="text1"/>
                <w:szCs w:val="21"/>
                <w14:textFill>
                  <w14:solidFill>
                    <w14:schemeClr w14:val="tx1"/>
                  </w14:solidFill>
                </w14:textFill>
              </w:rPr>
              <w:t>8</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1</w:t>
            </w:r>
            <w:r>
              <w:rPr>
                <w:b/>
                <w:bCs/>
                <w:color w:val="000000" w:themeColor="text1"/>
                <w:szCs w:val="21"/>
                <w14:textFill>
                  <w14:solidFill>
                    <w14:schemeClr w14:val="tx1"/>
                  </w14:solidFill>
                </w14:textFill>
              </w:rPr>
              <w:t xml:space="preserve">  废水污染物排放限值</w:t>
            </w:r>
            <w:r>
              <w:rPr>
                <w:rFonts w:hint="eastAsia"/>
                <w:b/>
                <w:color w:val="000000" w:themeColor="text1"/>
                <w:szCs w:val="21"/>
                <w14:textFill>
                  <w14:solidFill>
                    <w14:schemeClr w14:val="tx1"/>
                  </w14:solidFill>
                </w14:textFill>
              </w:rPr>
              <w:t>一览</w:t>
            </w:r>
            <w:r>
              <w:rPr>
                <w:b/>
                <w:color w:val="000000" w:themeColor="text1"/>
                <w:szCs w:val="21"/>
                <w14:textFill>
                  <w14:solidFill>
                    <w14:schemeClr w14:val="tx1"/>
                  </w14:solidFill>
                </w14:textFill>
              </w:rPr>
              <w:t>表</w:t>
            </w:r>
          </w:p>
          <w:tbl>
            <w:tblPr>
              <w:tblStyle w:val="22"/>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3711"/>
              <w:gridCol w:w="1385"/>
              <w:gridCol w:w="849"/>
              <w:gridCol w:w="1093"/>
            </w:tblGrid>
            <w:tr w14:paraId="5CDD7B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pct"/>
                  <w:noWrap/>
                  <w:vAlign w:val="center"/>
                </w:tcPr>
                <w:p w14:paraId="16ABAB1F">
                  <w:pPr>
                    <w:ind w:right="-108" w:hanging="14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排放口名称</w:t>
                  </w:r>
                </w:p>
              </w:tc>
              <w:tc>
                <w:tcPr>
                  <w:tcW w:w="2235" w:type="pct"/>
                  <w:noWrap/>
                  <w:vAlign w:val="center"/>
                </w:tcPr>
                <w:p w14:paraId="290DFAE4">
                  <w:pPr>
                    <w:ind w:right="-108" w:hanging="48"/>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执行标准</w:t>
                  </w:r>
                </w:p>
              </w:tc>
              <w:tc>
                <w:tcPr>
                  <w:tcW w:w="833" w:type="pct"/>
                  <w:noWrap/>
                  <w:vAlign w:val="center"/>
                </w:tcPr>
                <w:p w14:paraId="2414D3EA">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污染物指标</w:t>
                  </w:r>
                </w:p>
              </w:tc>
              <w:tc>
                <w:tcPr>
                  <w:tcW w:w="511" w:type="pct"/>
                  <w:noWrap/>
                  <w:vAlign w:val="center"/>
                </w:tcPr>
                <w:p w14:paraId="7D07CF40">
                  <w:pPr>
                    <w:ind w:right="-108" w:hanging="108"/>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单位</w:t>
                  </w:r>
                </w:p>
              </w:tc>
              <w:tc>
                <w:tcPr>
                  <w:tcW w:w="658" w:type="pct"/>
                  <w:noWrap/>
                  <w:vAlign w:val="center"/>
                </w:tcPr>
                <w:p w14:paraId="4A9B8529">
                  <w:pPr>
                    <w:ind w:right="-108" w:hanging="108"/>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标准限值</w:t>
                  </w:r>
                </w:p>
              </w:tc>
            </w:tr>
            <w:tr w14:paraId="1C008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pct"/>
                  <w:vMerge w:val="restart"/>
                  <w:noWrap/>
                  <w:vAlign w:val="center"/>
                </w:tcPr>
                <w:p w14:paraId="2A10BE12">
                  <w:pPr>
                    <w:ind w:left="-107" w:right="-168" w:rightChars="-80" w:hanging="3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w:t>
                  </w:r>
                  <w:r>
                    <w:rPr>
                      <w:color w:val="000000" w:themeColor="text1"/>
                      <w:szCs w:val="21"/>
                      <w14:textFill>
                        <w14:solidFill>
                          <w14:schemeClr w14:val="tx1"/>
                        </w14:solidFill>
                      </w14:textFill>
                    </w:rPr>
                    <w:t>排口</w:t>
                  </w:r>
                </w:p>
                <w:p w14:paraId="5B9821BD">
                  <w:pPr>
                    <w:ind w:left="-107" w:right="-168" w:rightChars="-80" w:hanging="33"/>
                    <w:jc w:val="center"/>
                    <w:rPr>
                      <w:color w:val="000000" w:themeColor="text1"/>
                      <w:szCs w:val="21"/>
                      <w14:textFill>
                        <w14:solidFill>
                          <w14:schemeClr w14:val="tx1"/>
                        </w14:solidFill>
                      </w14:textFill>
                    </w:rPr>
                  </w:pPr>
                </w:p>
              </w:tc>
              <w:tc>
                <w:tcPr>
                  <w:tcW w:w="2235" w:type="pct"/>
                  <w:vMerge w:val="restart"/>
                  <w:noWrap/>
                  <w:vAlign w:val="center"/>
                </w:tcPr>
                <w:p w14:paraId="240F6A72">
                  <w:pPr>
                    <w:jc w:val="center"/>
                    <w:rPr>
                      <w:color w:val="000000" w:themeColor="text1"/>
                      <w:szCs w:val="21"/>
                      <w:highlight w:val="red"/>
                      <w14:textFill>
                        <w14:solidFill>
                          <w14:schemeClr w14:val="tx1"/>
                        </w14:solidFill>
                      </w14:textFill>
                    </w:rPr>
                  </w:pPr>
                  <w:r>
                    <w:rPr>
                      <w:rFonts w:hint="eastAsia"/>
                      <w:color w:val="000000" w:themeColor="text1"/>
                      <w:szCs w:val="21"/>
                      <w:lang w:eastAsia="zh-CN"/>
                      <w14:textFill>
                        <w14:solidFill>
                          <w14:schemeClr w14:val="tx1"/>
                        </w14:solidFill>
                      </w14:textFill>
                    </w:rPr>
                    <w:t>江苏中法水务股份有限公司（城东水质净化厂）</w:t>
                  </w:r>
                  <w:r>
                    <w:rPr>
                      <w:color w:val="000000" w:themeColor="text1"/>
                      <w:szCs w:val="21"/>
                      <w14:textFill>
                        <w14:solidFill>
                          <w14:schemeClr w14:val="tx1"/>
                        </w14:solidFill>
                      </w14:textFill>
                    </w:rPr>
                    <w:t>接管</w:t>
                  </w:r>
                  <w:r>
                    <w:rPr>
                      <w:rFonts w:hint="eastAsia"/>
                      <w:color w:val="000000" w:themeColor="text1"/>
                      <w:szCs w:val="21"/>
                      <w14:textFill>
                        <w14:solidFill>
                          <w14:schemeClr w14:val="tx1"/>
                        </w14:solidFill>
                      </w14:textFill>
                    </w:rPr>
                    <w:t>限值</w:t>
                  </w:r>
                </w:p>
              </w:tc>
              <w:tc>
                <w:tcPr>
                  <w:tcW w:w="833" w:type="pct"/>
                  <w:noWrap/>
                  <w:vAlign w:val="center"/>
                </w:tcPr>
                <w:p w14:paraId="6B12BC7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p>
              </w:tc>
              <w:tc>
                <w:tcPr>
                  <w:tcW w:w="511" w:type="pct"/>
                  <w:noWrap/>
                  <w:vAlign w:val="center"/>
                </w:tcPr>
                <w:p w14:paraId="5590C74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无量纲</w:t>
                  </w:r>
                </w:p>
              </w:tc>
              <w:tc>
                <w:tcPr>
                  <w:tcW w:w="658" w:type="pct"/>
                  <w:noWrap/>
                  <w:vAlign w:val="center"/>
                </w:tcPr>
                <w:p w14:paraId="28B0FD5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r>
            <w:tr w14:paraId="44F1E3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pct"/>
                  <w:vMerge w:val="continue"/>
                  <w:noWrap/>
                  <w:vAlign w:val="center"/>
                </w:tcPr>
                <w:p w14:paraId="6360BB4F">
                  <w:pPr>
                    <w:ind w:left="-107" w:right="-168" w:rightChars="-80" w:hanging="33"/>
                    <w:jc w:val="center"/>
                    <w:rPr>
                      <w:color w:val="000000" w:themeColor="text1"/>
                      <w:szCs w:val="21"/>
                      <w14:textFill>
                        <w14:solidFill>
                          <w14:schemeClr w14:val="tx1"/>
                        </w14:solidFill>
                      </w14:textFill>
                    </w:rPr>
                  </w:pPr>
                </w:p>
              </w:tc>
              <w:tc>
                <w:tcPr>
                  <w:tcW w:w="2235" w:type="pct"/>
                  <w:vMerge w:val="continue"/>
                  <w:noWrap/>
                  <w:vAlign w:val="center"/>
                </w:tcPr>
                <w:p w14:paraId="686E613A">
                  <w:pPr>
                    <w:jc w:val="center"/>
                    <w:rPr>
                      <w:color w:val="000000" w:themeColor="text1"/>
                      <w:szCs w:val="21"/>
                      <w:highlight w:val="red"/>
                      <w14:textFill>
                        <w14:solidFill>
                          <w14:schemeClr w14:val="tx1"/>
                        </w14:solidFill>
                      </w14:textFill>
                    </w:rPr>
                  </w:pPr>
                </w:p>
              </w:tc>
              <w:tc>
                <w:tcPr>
                  <w:tcW w:w="833" w:type="pct"/>
                  <w:noWrap/>
                  <w:vAlign w:val="center"/>
                </w:tcPr>
                <w:p w14:paraId="3BD1E2A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511" w:type="pct"/>
                  <w:vMerge w:val="restart"/>
                  <w:noWrap/>
                  <w:vAlign w:val="center"/>
                </w:tcPr>
                <w:p w14:paraId="257A6A1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658" w:type="pct"/>
                  <w:noWrap/>
                  <w:vAlign w:val="center"/>
                </w:tcPr>
                <w:p w14:paraId="485052A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w:t>
                  </w:r>
                </w:p>
              </w:tc>
            </w:tr>
            <w:tr w14:paraId="4F0AC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pct"/>
                  <w:vMerge w:val="continue"/>
                  <w:noWrap/>
                  <w:vAlign w:val="center"/>
                </w:tcPr>
                <w:p w14:paraId="38091848">
                  <w:pPr>
                    <w:ind w:left="-107" w:right="-168" w:rightChars="-80" w:hanging="33"/>
                    <w:jc w:val="center"/>
                    <w:rPr>
                      <w:color w:val="000000" w:themeColor="text1"/>
                      <w:szCs w:val="21"/>
                      <w14:textFill>
                        <w14:solidFill>
                          <w14:schemeClr w14:val="tx1"/>
                        </w14:solidFill>
                      </w14:textFill>
                    </w:rPr>
                  </w:pPr>
                </w:p>
              </w:tc>
              <w:tc>
                <w:tcPr>
                  <w:tcW w:w="2235" w:type="pct"/>
                  <w:vMerge w:val="continue"/>
                  <w:noWrap/>
                  <w:vAlign w:val="center"/>
                </w:tcPr>
                <w:p w14:paraId="4B25B7FE">
                  <w:pPr>
                    <w:jc w:val="center"/>
                    <w:rPr>
                      <w:color w:val="000000" w:themeColor="text1"/>
                      <w:szCs w:val="21"/>
                      <w:highlight w:val="red"/>
                      <w14:textFill>
                        <w14:solidFill>
                          <w14:schemeClr w14:val="tx1"/>
                        </w14:solidFill>
                      </w14:textFill>
                    </w:rPr>
                  </w:pPr>
                </w:p>
              </w:tc>
              <w:tc>
                <w:tcPr>
                  <w:tcW w:w="833" w:type="pct"/>
                  <w:noWrap/>
                  <w:vAlign w:val="center"/>
                </w:tcPr>
                <w:p w14:paraId="33C08C1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BOD</w:t>
                  </w:r>
                  <w:r>
                    <w:rPr>
                      <w:rFonts w:hint="eastAsia"/>
                      <w:color w:val="000000" w:themeColor="text1"/>
                      <w:szCs w:val="21"/>
                      <w:vertAlign w:val="subscript"/>
                      <w14:textFill>
                        <w14:solidFill>
                          <w14:schemeClr w14:val="tx1"/>
                        </w14:solidFill>
                      </w14:textFill>
                    </w:rPr>
                    <w:t>5</w:t>
                  </w:r>
                </w:p>
              </w:tc>
              <w:tc>
                <w:tcPr>
                  <w:tcW w:w="511" w:type="pct"/>
                  <w:vMerge w:val="continue"/>
                  <w:noWrap/>
                  <w:vAlign w:val="center"/>
                </w:tcPr>
                <w:p w14:paraId="18931907">
                  <w:pPr>
                    <w:jc w:val="center"/>
                    <w:rPr>
                      <w:color w:val="000000" w:themeColor="text1"/>
                      <w:szCs w:val="21"/>
                      <w14:textFill>
                        <w14:solidFill>
                          <w14:schemeClr w14:val="tx1"/>
                        </w14:solidFill>
                      </w14:textFill>
                    </w:rPr>
                  </w:pPr>
                </w:p>
              </w:tc>
              <w:tc>
                <w:tcPr>
                  <w:tcW w:w="658" w:type="pct"/>
                  <w:noWrap/>
                  <w:vAlign w:val="center"/>
                </w:tcPr>
                <w:p w14:paraId="2C0C4ECC">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200</w:t>
                  </w:r>
                </w:p>
              </w:tc>
            </w:tr>
            <w:tr w14:paraId="2EE70D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pct"/>
                  <w:vMerge w:val="continue"/>
                  <w:noWrap/>
                  <w:vAlign w:val="center"/>
                </w:tcPr>
                <w:p w14:paraId="3951EB97">
                  <w:pPr>
                    <w:ind w:left="-107" w:right="-168" w:rightChars="-80" w:hanging="33"/>
                    <w:jc w:val="center"/>
                    <w:rPr>
                      <w:color w:val="000000" w:themeColor="text1"/>
                      <w:szCs w:val="21"/>
                      <w14:textFill>
                        <w14:solidFill>
                          <w14:schemeClr w14:val="tx1"/>
                        </w14:solidFill>
                      </w14:textFill>
                    </w:rPr>
                  </w:pPr>
                </w:p>
              </w:tc>
              <w:tc>
                <w:tcPr>
                  <w:tcW w:w="2235" w:type="pct"/>
                  <w:vMerge w:val="continue"/>
                  <w:noWrap/>
                  <w:vAlign w:val="center"/>
                </w:tcPr>
                <w:p w14:paraId="4F3C4078">
                  <w:pPr>
                    <w:jc w:val="center"/>
                    <w:rPr>
                      <w:color w:val="000000" w:themeColor="text1"/>
                      <w:szCs w:val="21"/>
                      <w:highlight w:val="red"/>
                      <w14:textFill>
                        <w14:solidFill>
                          <w14:schemeClr w14:val="tx1"/>
                        </w14:solidFill>
                      </w14:textFill>
                    </w:rPr>
                  </w:pPr>
                </w:p>
              </w:tc>
              <w:tc>
                <w:tcPr>
                  <w:tcW w:w="833" w:type="pct"/>
                  <w:noWrap/>
                  <w:vAlign w:val="center"/>
                </w:tcPr>
                <w:p w14:paraId="66031EE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511" w:type="pct"/>
                  <w:vMerge w:val="continue"/>
                  <w:noWrap/>
                  <w:vAlign w:val="center"/>
                </w:tcPr>
                <w:p w14:paraId="6C683036">
                  <w:pPr>
                    <w:jc w:val="center"/>
                    <w:rPr>
                      <w:color w:val="000000" w:themeColor="text1"/>
                      <w:szCs w:val="21"/>
                      <w14:textFill>
                        <w14:solidFill>
                          <w14:schemeClr w14:val="tx1"/>
                        </w14:solidFill>
                      </w14:textFill>
                    </w:rPr>
                  </w:pPr>
                </w:p>
              </w:tc>
              <w:tc>
                <w:tcPr>
                  <w:tcW w:w="658" w:type="pct"/>
                  <w:noWrap/>
                  <w:vAlign w:val="center"/>
                </w:tcPr>
                <w:p w14:paraId="01A70B4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w:t>
                  </w:r>
                </w:p>
              </w:tc>
            </w:tr>
            <w:tr w14:paraId="18D2FD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pct"/>
                  <w:vMerge w:val="continue"/>
                  <w:noWrap/>
                  <w:vAlign w:val="center"/>
                </w:tcPr>
                <w:p w14:paraId="15B9B235">
                  <w:pPr>
                    <w:ind w:left="-107" w:right="-168" w:rightChars="-80" w:hanging="33"/>
                    <w:jc w:val="center"/>
                    <w:rPr>
                      <w:color w:val="000000" w:themeColor="text1"/>
                      <w:szCs w:val="21"/>
                      <w14:textFill>
                        <w14:solidFill>
                          <w14:schemeClr w14:val="tx1"/>
                        </w14:solidFill>
                      </w14:textFill>
                    </w:rPr>
                  </w:pPr>
                </w:p>
              </w:tc>
              <w:tc>
                <w:tcPr>
                  <w:tcW w:w="2235" w:type="pct"/>
                  <w:vMerge w:val="continue"/>
                  <w:noWrap/>
                  <w:vAlign w:val="center"/>
                </w:tcPr>
                <w:p w14:paraId="2FDE085D">
                  <w:pPr>
                    <w:jc w:val="center"/>
                    <w:rPr>
                      <w:color w:val="000000" w:themeColor="text1"/>
                      <w:szCs w:val="21"/>
                      <w:highlight w:val="red"/>
                      <w14:textFill>
                        <w14:solidFill>
                          <w14:schemeClr w14:val="tx1"/>
                        </w14:solidFill>
                      </w14:textFill>
                    </w:rPr>
                  </w:pPr>
                </w:p>
              </w:tc>
              <w:tc>
                <w:tcPr>
                  <w:tcW w:w="833" w:type="pct"/>
                  <w:noWrap/>
                  <w:vAlign w:val="center"/>
                </w:tcPr>
                <w:p w14:paraId="23984FF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氨氮</w:t>
                  </w:r>
                </w:p>
              </w:tc>
              <w:tc>
                <w:tcPr>
                  <w:tcW w:w="511" w:type="pct"/>
                  <w:vMerge w:val="continue"/>
                  <w:noWrap/>
                  <w:vAlign w:val="center"/>
                </w:tcPr>
                <w:p w14:paraId="600C2FC8">
                  <w:pPr>
                    <w:jc w:val="center"/>
                    <w:rPr>
                      <w:color w:val="000000" w:themeColor="text1"/>
                      <w:szCs w:val="21"/>
                      <w14:textFill>
                        <w14:solidFill>
                          <w14:schemeClr w14:val="tx1"/>
                        </w14:solidFill>
                      </w14:textFill>
                    </w:rPr>
                  </w:pPr>
                </w:p>
              </w:tc>
              <w:tc>
                <w:tcPr>
                  <w:tcW w:w="658" w:type="pct"/>
                  <w:noWrap/>
                  <w:vAlign w:val="center"/>
                </w:tcPr>
                <w:p w14:paraId="03E3637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p>
              </w:tc>
            </w:tr>
            <w:tr w14:paraId="531B08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pct"/>
                  <w:vMerge w:val="continue"/>
                  <w:noWrap/>
                  <w:vAlign w:val="center"/>
                </w:tcPr>
                <w:p w14:paraId="001F19BF">
                  <w:pPr>
                    <w:ind w:left="-107" w:right="-168" w:rightChars="-80" w:hanging="33"/>
                    <w:jc w:val="center"/>
                    <w:rPr>
                      <w:color w:val="000000" w:themeColor="text1"/>
                      <w:szCs w:val="21"/>
                      <w14:textFill>
                        <w14:solidFill>
                          <w14:schemeClr w14:val="tx1"/>
                        </w14:solidFill>
                      </w14:textFill>
                    </w:rPr>
                  </w:pPr>
                </w:p>
              </w:tc>
              <w:tc>
                <w:tcPr>
                  <w:tcW w:w="2235" w:type="pct"/>
                  <w:vMerge w:val="continue"/>
                  <w:noWrap/>
                  <w:vAlign w:val="center"/>
                </w:tcPr>
                <w:p w14:paraId="0ADC73E6">
                  <w:pPr>
                    <w:jc w:val="center"/>
                    <w:rPr>
                      <w:color w:val="000000" w:themeColor="text1"/>
                      <w:szCs w:val="21"/>
                      <w:highlight w:val="red"/>
                      <w14:textFill>
                        <w14:solidFill>
                          <w14:schemeClr w14:val="tx1"/>
                        </w14:solidFill>
                      </w14:textFill>
                    </w:rPr>
                  </w:pPr>
                </w:p>
              </w:tc>
              <w:tc>
                <w:tcPr>
                  <w:tcW w:w="833" w:type="pct"/>
                  <w:noWrap/>
                  <w:vAlign w:val="center"/>
                </w:tcPr>
                <w:p w14:paraId="7D4CCEF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总磷</w:t>
                  </w:r>
                </w:p>
              </w:tc>
              <w:tc>
                <w:tcPr>
                  <w:tcW w:w="511" w:type="pct"/>
                  <w:vMerge w:val="continue"/>
                  <w:noWrap/>
                  <w:vAlign w:val="center"/>
                </w:tcPr>
                <w:p w14:paraId="2D31171A">
                  <w:pPr>
                    <w:jc w:val="center"/>
                    <w:rPr>
                      <w:color w:val="000000" w:themeColor="text1"/>
                      <w:szCs w:val="21"/>
                      <w14:textFill>
                        <w14:solidFill>
                          <w14:schemeClr w14:val="tx1"/>
                        </w14:solidFill>
                      </w14:textFill>
                    </w:rPr>
                  </w:pPr>
                </w:p>
              </w:tc>
              <w:tc>
                <w:tcPr>
                  <w:tcW w:w="658" w:type="pct"/>
                  <w:noWrap/>
                  <w:vAlign w:val="center"/>
                </w:tcPr>
                <w:p w14:paraId="2E3AA9E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r>
            <w:tr w14:paraId="2AF55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pct"/>
                  <w:vMerge w:val="continue"/>
                  <w:noWrap/>
                  <w:vAlign w:val="center"/>
                </w:tcPr>
                <w:p w14:paraId="165A92B7">
                  <w:pPr>
                    <w:ind w:left="-107" w:right="-168" w:rightChars="-80" w:hanging="33"/>
                    <w:jc w:val="center"/>
                    <w:rPr>
                      <w:color w:val="000000" w:themeColor="text1"/>
                      <w:szCs w:val="21"/>
                      <w14:textFill>
                        <w14:solidFill>
                          <w14:schemeClr w14:val="tx1"/>
                        </w14:solidFill>
                      </w14:textFill>
                    </w:rPr>
                  </w:pPr>
                </w:p>
              </w:tc>
              <w:tc>
                <w:tcPr>
                  <w:tcW w:w="2235" w:type="pct"/>
                  <w:vMerge w:val="continue"/>
                  <w:noWrap/>
                  <w:vAlign w:val="center"/>
                </w:tcPr>
                <w:p w14:paraId="4DD59FD6">
                  <w:pPr>
                    <w:jc w:val="center"/>
                    <w:rPr>
                      <w:color w:val="000000" w:themeColor="text1"/>
                      <w:szCs w:val="21"/>
                      <w:highlight w:val="red"/>
                      <w14:textFill>
                        <w14:solidFill>
                          <w14:schemeClr w14:val="tx1"/>
                        </w14:solidFill>
                      </w14:textFill>
                    </w:rPr>
                  </w:pPr>
                </w:p>
              </w:tc>
              <w:tc>
                <w:tcPr>
                  <w:tcW w:w="833" w:type="pct"/>
                  <w:noWrap/>
                  <w:vAlign w:val="center"/>
                </w:tcPr>
                <w:p w14:paraId="2C22D9A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总氮</w:t>
                  </w:r>
                </w:p>
              </w:tc>
              <w:tc>
                <w:tcPr>
                  <w:tcW w:w="511" w:type="pct"/>
                  <w:vMerge w:val="continue"/>
                  <w:noWrap/>
                  <w:vAlign w:val="center"/>
                </w:tcPr>
                <w:p w14:paraId="774B74CF">
                  <w:pPr>
                    <w:jc w:val="center"/>
                    <w:rPr>
                      <w:color w:val="000000" w:themeColor="text1"/>
                      <w:szCs w:val="21"/>
                      <w14:textFill>
                        <w14:solidFill>
                          <w14:schemeClr w14:val="tx1"/>
                        </w14:solidFill>
                      </w14:textFill>
                    </w:rPr>
                  </w:pPr>
                </w:p>
              </w:tc>
              <w:tc>
                <w:tcPr>
                  <w:tcW w:w="658" w:type="pct"/>
                  <w:noWrap/>
                  <w:vAlign w:val="center"/>
                </w:tcPr>
                <w:p w14:paraId="3F5D22A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45</w:t>
                  </w:r>
                </w:p>
              </w:tc>
            </w:tr>
            <w:tr w14:paraId="757D0A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pct"/>
                  <w:vMerge w:val="restart"/>
                  <w:noWrap/>
                  <w:vAlign w:val="center"/>
                </w:tcPr>
                <w:p w14:paraId="67FADAE6">
                  <w:pPr>
                    <w:ind w:left="-107" w:right="-168" w:rightChars="-80" w:hanging="3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污水厂排口</w:t>
                  </w:r>
                </w:p>
              </w:tc>
              <w:tc>
                <w:tcPr>
                  <w:tcW w:w="2235" w:type="pct"/>
                  <w:vMerge w:val="restart"/>
                  <w:noWrap/>
                  <w:vAlign w:val="center"/>
                </w:tcPr>
                <w:p w14:paraId="61DD48D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《城镇污水处理厂污染物排放标准》（</w:t>
                  </w:r>
                  <w:r>
                    <w:rPr>
                      <w:rFonts w:hint="eastAsia"/>
                      <w:color w:val="000000" w:themeColor="text1"/>
                      <w:szCs w:val="21"/>
                      <w14:textFill>
                        <w14:solidFill>
                          <w14:schemeClr w14:val="tx1"/>
                        </w14:solidFill>
                      </w14:textFill>
                    </w:rPr>
                    <w:t>DB32/4440</w:t>
                  </w:r>
                  <w:r>
                    <w:rPr>
                      <w:color w:val="000000" w:themeColor="text1"/>
                      <w:szCs w:val="21"/>
                      <w14:textFill>
                        <w14:solidFill>
                          <w14:schemeClr w14:val="tx1"/>
                        </w14:solidFill>
                      </w14:textFill>
                    </w:rPr>
                    <w:t>-20</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2）表1标准</w:t>
                  </w:r>
                </w:p>
              </w:tc>
              <w:tc>
                <w:tcPr>
                  <w:tcW w:w="833" w:type="pct"/>
                  <w:noWrap/>
                  <w:vAlign w:val="center"/>
                </w:tcPr>
                <w:p w14:paraId="35D7436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p>
              </w:tc>
              <w:tc>
                <w:tcPr>
                  <w:tcW w:w="511" w:type="pct"/>
                  <w:noWrap/>
                  <w:vAlign w:val="center"/>
                </w:tcPr>
                <w:p w14:paraId="0813DA7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无量纲</w:t>
                  </w:r>
                </w:p>
              </w:tc>
              <w:tc>
                <w:tcPr>
                  <w:tcW w:w="658" w:type="pct"/>
                  <w:noWrap/>
                  <w:vAlign w:val="center"/>
                </w:tcPr>
                <w:p w14:paraId="2CC7463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r>
            <w:tr w14:paraId="450A5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pct"/>
                  <w:vMerge w:val="continue"/>
                  <w:noWrap/>
                  <w:vAlign w:val="center"/>
                </w:tcPr>
                <w:p w14:paraId="52263D72">
                  <w:pPr>
                    <w:ind w:left="-107" w:right="-168" w:rightChars="-80" w:hanging="33"/>
                    <w:jc w:val="center"/>
                    <w:rPr>
                      <w:color w:val="000000" w:themeColor="text1"/>
                      <w:szCs w:val="21"/>
                      <w14:textFill>
                        <w14:solidFill>
                          <w14:schemeClr w14:val="tx1"/>
                        </w14:solidFill>
                      </w14:textFill>
                    </w:rPr>
                  </w:pPr>
                </w:p>
              </w:tc>
              <w:tc>
                <w:tcPr>
                  <w:tcW w:w="2235" w:type="pct"/>
                  <w:vMerge w:val="continue"/>
                  <w:noWrap/>
                  <w:vAlign w:val="center"/>
                </w:tcPr>
                <w:p w14:paraId="4D9CB0B4">
                  <w:pPr>
                    <w:jc w:val="center"/>
                    <w:rPr>
                      <w:color w:val="000000" w:themeColor="text1"/>
                      <w:szCs w:val="21"/>
                      <w14:textFill>
                        <w14:solidFill>
                          <w14:schemeClr w14:val="tx1"/>
                        </w14:solidFill>
                      </w14:textFill>
                    </w:rPr>
                  </w:pPr>
                </w:p>
              </w:tc>
              <w:tc>
                <w:tcPr>
                  <w:tcW w:w="833" w:type="pct"/>
                  <w:noWrap/>
                  <w:vAlign w:val="center"/>
                </w:tcPr>
                <w:p w14:paraId="35E1C00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511" w:type="pct"/>
                  <w:vMerge w:val="restart"/>
                  <w:noWrap/>
                  <w:vAlign w:val="center"/>
                </w:tcPr>
                <w:p w14:paraId="6DC2587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658" w:type="pct"/>
                  <w:noWrap/>
                  <w:vAlign w:val="center"/>
                </w:tcPr>
                <w:p w14:paraId="3504080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r w14:paraId="21E296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pct"/>
                  <w:vMerge w:val="continue"/>
                  <w:noWrap/>
                  <w:vAlign w:val="center"/>
                </w:tcPr>
                <w:p w14:paraId="700C0EA1">
                  <w:pPr>
                    <w:ind w:left="-107" w:right="-168" w:rightChars="-80" w:hanging="33"/>
                    <w:jc w:val="center"/>
                    <w:rPr>
                      <w:color w:val="000000" w:themeColor="text1"/>
                      <w:szCs w:val="21"/>
                      <w14:textFill>
                        <w14:solidFill>
                          <w14:schemeClr w14:val="tx1"/>
                        </w14:solidFill>
                      </w14:textFill>
                    </w:rPr>
                  </w:pPr>
                </w:p>
              </w:tc>
              <w:tc>
                <w:tcPr>
                  <w:tcW w:w="2235" w:type="pct"/>
                  <w:vMerge w:val="continue"/>
                  <w:noWrap/>
                  <w:vAlign w:val="center"/>
                </w:tcPr>
                <w:p w14:paraId="090CA6A5">
                  <w:pPr>
                    <w:jc w:val="center"/>
                    <w:rPr>
                      <w:color w:val="000000" w:themeColor="text1"/>
                      <w:szCs w:val="21"/>
                      <w14:textFill>
                        <w14:solidFill>
                          <w14:schemeClr w14:val="tx1"/>
                        </w14:solidFill>
                      </w14:textFill>
                    </w:rPr>
                  </w:pPr>
                </w:p>
              </w:tc>
              <w:tc>
                <w:tcPr>
                  <w:tcW w:w="833" w:type="pct"/>
                  <w:noWrap/>
                  <w:vAlign w:val="center"/>
                </w:tcPr>
                <w:p w14:paraId="1A8D08D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BOD</w:t>
                  </w:r>
                  <w:r>
                    <w:rPr>
                      <w:rFonts w:hint="eastAsia"/>
                      <w:color w:val="000000" w:themeColor="text1"/>
                      <w:szCs w:val="21"/>
                      <w:vertAlign w:val="subscript"/>
                      <w14:textFill>
                        <w14:solidFill>
                          <w14:schemeClr w14:val="tx1"/>
                        </w14:solidFill>
                      </w14:textFill>
                    </w:rPr>
                    <w:t>5</w:t>
                  </w:r>
                </w:p>
              </w:tc>
              <w:tc>
                <w:tcPr>
                  <w:tcW w:w="511" w:type="pct"/>
                  <w:vMerge w:val="continue"/>
                  <w:noWrap/>
                  <w:vAlign w:val="center"/>
                </w:tcPr>
                <w:p w14:paraId="0CBDF315">
                  <w:pPr>
                    <w:jc w:val="center"/>
                    <w:rPr>
                      <w:color w:val="000000" w:themeColor="text1"/>
                      <w:szCs w:val="21"/>
                      <w14:textFill>
                        <w14:solidFill>
                          <w14:schemeClr w14:val="tx1"/>
                        </w14:solidFill>
                      </w14:textFill>
                    </w:rPr>
                  </w:pPr>
                </w:p>
              </w:tc>
              <w:tc>
                <w:tcPr>
                  <w:tcW w:w="658" w:type="pct"/>
                  <w:noWrap/>
                  <w:vAlign w:val="center"/>
                </w:tcPr>
                <w:p w14:paraId="5AA5BA59">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r>
            <w:tr w14:paraId="0D81B1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pct"/>
                  <w:vMerge w:val="continue"/>
                  <w:noWrap/>
                  <w:vAlign w:val="center"/>
                </w:tcPr>
                <w:p w14:paraId="36C7FAB2">
                  <w:pPr>
                    <w:ind w:left="-107" w:right="-168" w:rightChars="-80" w:hanging="33"/>
                    <w:jc w:val="center"/>
                    <w:rPr>
                      <w:color w:val="000000" w:themeColor="text1"/>
                      <w:szCs w:val="21"/>
                      <w14:textFill>
                        <w14:solidFill>
                          <w14:schemeClr w14:val="tx1"/>
                        </w14:solidFill>
                      </w14:textFill>
                    </w:rPr>
                  </w:pPr>
                </w:p>
              </w:tc>
              <w:tc>
                <w:tcPr>
                  <w:tcW w:w="2235" w:type="pct"/>
                  <w:vMerge w:val="restart"/>
                  <w:noWrap/>
                  <w:vAlign w:val="center"/>
                </w:tcPr>
                <w:p w14:paraId="2E78034F">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《城镇污水处理厂污染物排放标准》（DB32/4440-2022）表1中C标准</w:t>
                  </w:r>
                </w:p>
              </w:tc>
              <w:tc>
                <w:tcPr>
                  <w:tcW w:w="833" w:type="pct"/>
                  <w:noWrap/>
                  <w:vAlign w:val="center"/>
                </w:tcPr>
                <w:p w14:paraId="30A0901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511" w:type="pct"/>
                  <w:vMerge w:val="continue"/>
                  <w:noWrap/>
                  <w:vAlign w:val="center"/>
                </w:tcPr>
                <w:p w14:paraId="3839EC08">
                  <w:pPr>
                    <w:jc w:val="center"/>
                    <w:rPr>
                      <w:color w:val="000000" w:themeColor="text1"/>
                      <w:szCs w:val="21"/>
                      <w14:textFill>
                        <w14:solidFill>
                          <w14:schemeClr w14:val="tx1"/>
                        </w14:solidFill>
                      </w14:textFill>
                    </w:rPr>
                  </w:pPr>
                </w:p>
              </w:tc>
              <w:tc>
                <w:tcPr>
                  <w:tcW w:w="658" w:type="pct"/>
                  <w:noWrap/>
                  <w:vAlign w:val="center"/>
                </w:tcPr>
                <w:p w14:paraId="5BBFAE5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r>
            <w:tr w14:paraId="3F4CA8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pct"/>
                  <w:vMerge w:val="continue"/>
                  <w:noWrap/>
                  <w:vAlign w:val="center"/>
                </w:tcPr>
                <w:p w14:paraId="2B89A1E1">
                  <w:pPr>
                    <w:ind w:left="-107" w:right="-168" w:rightChars="-80" w:hanging="33"/>
                    <w:jc w:val="center"/>
                    <w:rPr>
                      <w:color w:val="000000" w:themeColor="text1"/>
                      <w:szCs w:val="21"/>
                      <w14:textFill>
                        <w14:solidFill>
                          <w14:schemeClr w14:val="tx1"/>
                        </w14:solidFill>
                      </w14:textFill>
                    </w:rPr>
                  </w:pPr>
                </w:p>
              </w:tc>
              <w:tc>
                <w:tcPr>
                  <w:tcW w:w="2235" w:type="pct"/>
                  <w:vMerge w:val="continue"/>
                  <w:noWrap/>
                  <w:vAlign w:val="center"/>
                </w:tcPr>
                <w:p w14:paraId="7B0891FC">
                  <w:pPr>
                    <w:jc w:val="center"/>
                    <w:rPr>
                      <w:color w:val="000000" w:themeColor="text1"/>
                      <w:szCs w:val="21"/>
                      <w14:textFill>
                        <w14:solidFill>
                          <w14:schemeClr w14:val="tx1"/>
                        </w14:solidFill>
                      </w14:textFill>
                    </w:rPr>
                  </w:pPr>
                </w:p>
              </w:tc>
              <w:tc>
                <w:tcPr>
                  <w:tcW w:w="833" w:type="pct"/>
                  <w:noWrap/>
                  <w:vAlign w:val="center"/>
                </w:tcPr>
                <w:p w14:paraId="0AEB265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氨氮</w:t>
                  </w:r>
                </w:p>
              </w:tc>
              <w:tc>
                <w:tcPr>
                  <w:tcW w:w="511" w:type="pct"/>
                  <w:vMerge w:val="continue"/>
                  <w:noWrap/>
                  <w:vAlign w:val="center"/>
                </w:tcPr>
                <w:p w14:paraId="2365D168">
                  <w:pPr>
                    <w:jc w:val="center"/>
                    <w:rPr>
                      <w:color w:val="000000" w:themeColor="text1"/>
                      <w:szCs w:val="21"/>
                      <w14:textFill>
                        <w14:solidFill>
                          <w14:schemeClr w14:val="tx1"/>
                        </w14:solidFill>
                      </w14:textFill>
                    </w:rPr>
                  </w:pPr>
                </w:p>
              </w:tc>
              <w:tc>
                <w:tcPr>
                  <w:tcW w:w="658" w:type="pct"/>
                  <w:noWrap/>
                  <w:vAlign w:val="center"/>
                </w:tcPr>
                <w:p w14:paraId="50C40AC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4（6）</w:t>
                  </w:r>
                </w:p>
              </w:tc>
            </w:tr>
            <w:tr w14:paraId="7F8DE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pct"/>
                  <w:vMerge w:val="continue"/>
                  <w:noWrap/>
                  <w:vAlign w:val="center"/>
                </w:tcPr>
                <w:p w14:paraId="329BEE88">
                  <w:pPr>
                    <w:ind w:left="-107" w:right="-168" w:rightChars="-80" w:hanging="33"/>
                    <w:jc w:val="center"/>
                    <w:rPr>
                      <w:color w:val="000000" w:themeColor="text1"/>
                      <w:szCs w:val="21"/>
                      <w14:textFill>
                        <w14:solidFill>
                          <w14:schemeClr w14:val="tx1"/>
                        </w14:solidFill>
                      </w14:textFill>
                    </w:rPr>
                  </w:pPr>
                </w:p>
              </w:tc>
              <w:tc>
                <w:tcPr>
                  <w:tcW w:w="2235" w:type="pct"/>
                  <w:vMerge w:val="continue"/>
                  <w:noWrap/>
                  <w:vAlign w:val="center"/>
                </w:tcPr>
                <w:p w14:paraId="371A8C93">
                  <w:pPr>
                    <w:jc w:val="center"/>
                    <w:rPr>
                      <w:color w:val="000000" w:themeColor="text1"/>
                      <w:szCs w:val="21"/>
                      <w14:textFill>
                        <w14:solidFill>
                          <w14:schemeClr w14:val="tx1"/>
                        </w14:solidFill>
                      </w14:textFill>
                    </w:rPr>
                  </w:pPr>
                </w:p>
              </w:tc>
              <w:tc>
                <w:tcPr>
                  <w:tcW w:w="833" w:type="pct"/>
                  <w:noWrap/>
                  <w:vAlign w:val="center"/>
                </w:tcPr>
                <w:p w14:paraId="5B2457B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总磷</w:t>
                  </w:r>
                </w:p>
              </w:tc>
              <w:tc>
                <w:tcPr>
                  <w:tcW w:w="511" w:type="pct"/>
                  <w:vMerge w:val="continue"/>
                  <w:noWrap/>
                  <w:vAlign w:val="center"/>
                </w:tcPr>
                <w:p w14:paraId="34506608">
                  <w:pPr>
                    <w:jc w:val="center"/>
                    <w:rPr>
                      <w:color w:val="000000" w:themeColor="text1"/>
                      <w:szCs w:val="21"/>
                      <w14:textFill>
                        <w14:solidFill>
                          <w14:schemeClr w14:val="tx1"/>
                        </w14:solidFill>
                      </w14:textFill>
                    </w:rPr>
                  </w:pPr>
                </w:p>
              </w:tc>
              <w:tc>
                <w:tcPr>
                  <w:tcW w:w="658" w:type="pct"/>
                  <w:noWrap/>
                  <w:vAlign w:val="center"/>
                </w:tcPr>
                <w:p w14:paraId="2133EDB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5</w:t>
                  </w:r>
                </w:p>
              </w:tc>
            </w:tr>
            <w:tr w14:paraId="3E900C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pct"/>
                  <w:vMerge w:val="continue"/>
                  <w:noWrap/>
                  <w:vAlign w:val="center"/>
                </w:tcPr>
                <w:p w14:paraId="1A2F00FF">
                  <w:pPr>
                    <w:ind w:left="-107" w:right="-168" w:rightChars="-80" w:hanging="33"/>
                    <w:jc w:val="center"/>
                    <w:rPr>
                      <w:color w:val="000000" w:themeColor="text1"/>
                      <w:szCs w:val="21"/>
                      <w14:textFill>
                        <w14:solidFill>
                          <w14:schemeClr w14:val="tx1"/>
                        </w14:solidFill>
                      </w14:textFill>
                    </w:rPr>
                  </w:pPr>
                </w:p>
              </w:tc>
              <w:tc>
                <w:tcPr>
                  <w:tcW w:w="2235" w:type="pct"/>
                  <w:vMerge w:val="continue"/>
                  <w:noWrap/>
                  <w:vAlign w:val="center"/>
                </w:tcPr>
                <w:p w14:paraId="5925C5EC">
                  <w:pPr>
                    <w:jc w:val="center"/>
                    <w:rPr>
                      <w:color w:val="000000" w:themeColor="text1"/>
                      <w:szCs w:val="21"/>
                      <w14:textFill>
                        <w14:solidFill>
                          <w14:schemeClr w14:val="tx1"/>
                        </w14:solidFill>
                      </w14:textFill>
                    </w:rPr>
                  </w:pPr>
                </w:p>
              </w:tc>
              <w:tc>
                <w:tcPr>
                  <w:tcW w:w="833" w:type="pct"/>
                  <w:noWrap/>
                  <w:vAlign w:val="center"/>
                </w:tcPr>
                <w:p w14:paraId="2CC82A8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总氮</w:t>
                  </w:r>
                </w:p>
              </w:tc>
              <w:tc>
                <w:tcPr>
                  <w:tcW w:w="511" w:type="pct"/>
                  <w:vMerge w:val="continue"/>
                  <w:noWrap/>
                  <w:vAlign w:val="center"/>
                </w:tcPr>
                <w:p w14:paraId="0F5D77E3">
                  <w:pPr>
                    <w:jc w:val="center"/>
                    <w:rPr>
                      <w:color w:val="000000" w:themeColor="text1"/>
                      <w:szCs w:val="21"/>
                      <w14:textFill>
                        <w14:solidFill>
                          <w14:schemeClr w14:val="tx1"/>
                        </w14:solidFill>
                      </w14:textFill>
                    </w:rPr>
                  </w:pPr>
                </w:p>
              </w:tc>
              <w:tc>
                <w:tcPr>
                  <w:tcW w:w="658" w:type="pct"/>
                  <w:noWrap/>
                  <w:vAlign w:val="center"/>
                </w:tcPr>
                <w:p w14:paraId="33A57CC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12（15）</w:t>
                  </w:r>
                </w:p>
              </w:tc>
            </w:tr>
          </w:tbl>
          <w:p w14:paraId="7DA8AA10">
            <w:pPr>
              <w:rPr>
                <w:b/>
                <w:bCs/>
                <w:color w:val="000000" w:themeColor="text1"/>
                <w:szCs w:val="21"/>
                <w14:textFill>
                  <w14:solidFill>
                    <w14:schemeClr w14:val="tx1"/>
                  </w14:solidFill>
                </w14:textFill>
              </w:rPr>
            </w:pPr>
            <w:r>
              <w:rPr>
                <w:color w:val="000000" w:themeColor="text1"/>
                <w14:textFill>
                  <w14:solidFill>
                    <w14:schemeClr w14:val="tx1"/>
                  </w14:solidFill>
                </w14:textFill>
              </w:rPr>
              <w:t>注：括号外数值为水温＞12℃时的控制指标，括号内数值为水温≤12℃时的控制指标。</w:t>
            </w:r>
          </w:p>
          <w:p w14:paraId="704E2783">
            <w:pPr>
              <w:spacing w:line="420" w:lineRule="exact"/>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3.</w:t>
            </w:r>
            <w:r>
              <w:rPr>
                <w:rFonts w:hint="eastAsia"/>
                <w:b/>
                <w:bCs/>
                <w:color w:val="000000" w:themeColor="text1"/>
                <w:szCs w:val="21"/>
                <w14:textFill>
                  <w14:solidFill>
                    <w14:schemeClr w14:val="tx1"/>
                  </w14:solidFill>
                </w14:textFill>
              </w:rPr>
              <w:t>9</w:t>
            </w:r>
            <w:r>
              <w:rPr>
                <w:b/>
                <w:bCs/>
                <w:color w:val="000000" w:themeColor="text1"/>
                <w:szCs w:val="21"/>
                <w14:textFill>
                  <w14:solidFill>
                    <w14:schemeClr w14:val="tx1"/>
                  </w14:solidFill>
                </w14:textFill>
              </w:rPr>
              <w:t>项目噪声排放标准</w:t>
            </w:r>
          </w:p>
          <w:p w14:paraId="4B0DF3B5">
            <w:pPr>
              <w:spacing w:line="420" w:lineRule="exact"/>
              <w:ind w:firstLine="420" w:firstLineChars="200"/>
              <w:rPr>
                <w:b/>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根</w:t>
            </w:r>
            <w:r>
              <w:rPr>
                <w:rFonts w:hint="eastAsia"/>
                <w:color w:val="000000" w:themeColor="text1"/>
                <w:szCs w:val="21"/>
                <w:highlight w:val="none"/>
                <w14:textFill>
                  <w14:solidFill>
                    <w14:schemeClr w14:val="tx1"/>
                  </w14:solidFill>
                </w14:textFill>
              </w:rPr>
              <w:t>据附图</w:t>
            </w:r>
            <w:r>
              <w:rPr>
                <w:rFonts w:hint="eastAsia"/>
                <w:color w:val="000000" w:themeColor="text1"/>
                <w:szCs w:val="21"/>
                <w:highlight w:val="none"/>
                <w:lang w:val="en-US" w:eastAsia="zh-CN"/>
                <w14:textFill>
                  <w14:solidFill>
                    <w14:schemeClr w14:val="tx1"/>
                  </w14:solidFill>
                </w14:textFill>
              </w:rPr>
              <w:t>4</w:t>
            </w:r>
            <w:r>
              <w:rPr>
                <w:rFonts w:hint="eastAsia"/>
                <w:color w:val="000000" w:themeColor="text1"/>
                <w:szCs w:val="21"/>
                <w:highlight w:val="none"/>
                <w14:textFill>
                  <w14:solidFill>
                    <w14:schemeClr w14:val="tx1"/>
                  </w14:solidFill>
                </w14:textFill>
              </w:rPr>
              <w:t>《常熟市主城区声环境功能区划分图》，本</w:t>
            </w:r>
            <w:r>
              <w:rPr>
                <w:rFonts w:hint="eastAsia"/>
                <w:color w:val="000000" w:themeColor="text1"/>
                <w:szCs w:val="21"/>
                <w14:textFill>
                  <w14:solidFill>
                    <w14:schemeClr w14:val="tx1"/>
                  </w14:solidFill>
                </w14:textFill>
              </w:rPr>
              <w:t>项目位于3类声环境功能区，运营期厂界噪声限值执行《工业企业厂界环境噪声排放标准》（GB12348-2008）3类标准。</w:t>
            </w:r>
          </w:p>
          <w:p w14:paraId="1EB43F4E">
            <w:pPr>
              <w:widowControl/>
              <w:spacing w:beforeLines="30"/>
              <w:jc w:val="center"/>
              <w:rPr>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表3.</w:t>
            </w:r>
            <w:r>
              <w:rPr>
                <w:rFonts w:hint="eastAsia"/>
                <w:b/>
                <w:color w:val="000000" w:themeColor="text1"/>
                <w:kern w:val="0"/>
                <w:szCs w:val="21"/>
                <w14:textFill>
                  <w14:solidFill>
                    <w14:schemeClr w14:val="tx1"/>
                  </w14:solidFill>
                </w14:textFill>
              </w:rPr>
              <w:t>9</w:t>
            </w:r>
            <w:r>
              <w:rPr>
                <w:b/>
                <w:color w:val="000000" w:themeColor="text1"/>
                <w:kern w:val="0"/>
                <w:szCs w:val="21"/>
                <w14:textFill>
                  <w14:solidFill>
                    <w14:schemeClr w14:val="tx1"/>
                  </w14:solidFill>
                </w14:textFill>
              </w:rPr>
              <w:t>-1 噪声排放</w:t>
            </w:r>
            <w:r>
              <w:rPr>
                <w:rFonts w:hint="eastAsia"/>
                <w:b/>
                <w:color w:val="000000" w:themeColor="text1"/>
                <w:kern w:val="0"/>
                <w:szCs w:val="21"/>
                <w14:textFill>
                  <w14:solidFill>
                    <w14:schemeClr w14:val="tx1"/>
                  </w14:solidFill>
                </w14:textFill>
              </w:rPr>
              <w:t>限值</w:t>
            </w:r>
            <w:r>
              <w:rPr>
                <w:rFonts w:hint="eastAsia"/>
                <w:b/>
                <w:color w:val="000000" w:themeColor="text1"/>
                <w:szCs w:val="21"/>
                <w14:textFill>
                  <w14:solidFill>
                    <w14:schemeClr w14:val="tx1"/>
                  </w14:solidFill>
                </w14:textFill>
              </w:rPr>
              <w:t>一览</w:t>
            </w:r>
            <w:r>
              <w:rPr>
                <w:b/>
                <w:color w:val="000000" w:themeColor="text1"/>
                <w:szCs w:val="21"/>
                <w14:textFill>
                  <w14:solidFill>
                    <w14:schemeClr w14:val="tx1"/>
                  </w14:solidFill>
                </w14:textFill>
              </w:rPr>
              <w:t>表</w:t>
            </w:r>
            <w:r>
              <w:rPr>
                <w:b/>
                <w:color w:val="000000" w:themeColor="text1"/>
                <w:kern w:val="0"/>
                <w:szCs w:val="21"/>
                <w14:textFill>
                  <w14:solidFill>
                    <w14:schemeClr w14:val="tx1"/>
                  </w14:solidFill>
                </w14:textFill>
              </w:rPr>
              <w:t>（单位：等效声级L</w:t>
            </w:r>
            <w:r>
              <w:rPr>
                <w:rFonts w:hint="eastAsia"/>
                <w:b/>
                <w:color w:val="000000" w:themeColor="text1"/>
                <w:kern w:val="0"/>
                <w:szCs w:val="21"/>
                <w:vertAlign w:val="subscript"/>
                <w14:textFill>
                  <w14:solidFill>
                    <w14:schemeClr w14:val="tx1"/>
                  </w14:solidFill>
                </w14:textFill>
              </w:rPr>
              <w:t>A</w:t>
            </w:r>
            <w:r>
              <w:rPr>
                <w:b/>
                <w:color w:val="000000" w:themeColor="text1"/>
                <w:kern w:val="0"/>
                <w:szCs w:val="21"/>
                <w:vertAlign w:val="subscript"/>
                <w14:textFill>
                  <w14:solidFill>
                    <w14:schemeClr w14:val="tx1"/>
                  </w14:solidFill>
                </w14:textFill>
              </w:rPr>
              <w:t>eq</w:t>
            </w:r>
            <w:r>
              <w:rPr>
                <w:rFonts w:hint="eastAsia"/>
                <w:b/>
                <w:color w:val="000000" w:themeColor="text1"/>
                <w:kern w:val="0"/>
                <w:szCs w:val="21"/>
                <w:vertAlign w:val="subscript"/>
                <w14:textFill>
                  <w14:solidFill>
                    <w14:schemeClr w14:val="tx1"/>
                  </w14:solidFill>
                </w14:textFill>
              </w:rPr>
              <w:t>，T</w:t>
            </w:r>
            <w:r>
              <w:rPr>
                <w:b/>
                <w:color w:val="000000" w:themeColor="text1"/>
                <w:kern w:val="0"/>
                <w:szCs w:val="21"/>
                <w14:textFill>
                  <w14:solidFill>
                    <w14:schemeClr w14:val="tx1"/>
                  </w14:solidFill>
                </w14:textFill>
              </w:rPr>
              <w:t>dB(A)）</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12"/>
              <w:gridCol w:w="6009"/>
              <w:gridCol w:w="690"/>
              <w:gridCol w:w="698"/>
            </w:tblGrid>
            <w:tr w14:paraId="369FDA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8" w:type="pct"/>
                  <w:noWrap/>
                  <w:vAlign w:val="center"/>
                </w:tcPr>
                <w:p w14:paraId="08A993E0">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时段</w:t>
                  </w:r>
                </w:p>
              </w:tc>
              <w:tc>
                <w:tcPr>
                  <w:tcW w:w="3615" w:type="pct"/>
                  <w:noWrap/>
                  <w:vAlign w:val="center"/>
                </w:tcPr>
                <w:p w14:paraId="20E797FB">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执行</w:t>
                  </w:r>
                  <w:r>
                    <w:rPr>
                      <w:b/>
                      <w:bCs/>
                      <w:color w:val="000000" w:themeColor="text1"/>
                      <w:szCs w:val="21"/>
                      <w14:textFill>
                        <w14:solidFill>
                          <w14:schemeClr w14:val="tx1"/>
                        </w14:solidFill>
                      </w14:textFill>
                    </w:rPr>
                    <w:t>标准</w:t>
                  </w:r>
                </w:p>
              </w:tc>
              <w:tc>
                <w:tcPr>
                  <w:tcW w:w="415" w:type="pct"/>
                  <w:noWrap/>
                  <w:vAlign w:val="center"/>
                </w:tcPr>
                <w:p w14:paraId="3562CF7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昼间</w:t>
                  </w:r>
                </w:p>
              </w:tc>
              <w:tc>
                <w:tcPr>
                  <w:tcW w:w="420" w:type="pct"/>
                  <w:noWrap/>
                  <w:vAlign w:val="center"/>
                </w:tcPr>
                <w:p w14:paraId="706F392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夜间</w:t>
                  </w:r>
                </w:p>
              </w:tc>
            </w:tr>
            <w:tr w14:paraId="0A97D5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8" w:type="pct"/>
                  <w:noWrap/>
                  <w:vAlign w:val="center"/>
                </w:tcPr>
                <w:p w14:paraId="74B0FA7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运营期</w:t>
                  </w:r>
                </w:p>
              </w:tc>
              <w:tc>
                <w:tcPr>
                  <w:tcW w:w="3615" w:type="pct"/>
                  <w:noWrap/>
                  <w:vAlign w:val="center"/>
                </w:tcPr>
                <w:p w14:paraId="524EF82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《工业企业厂界环境噪声排放标准》（GB12348-2008）</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类标准</w:t>
                  </w:r>
                </w:p>
              </w:tc>
              <w:tc>
                <w:tcPr>
                  <w:tcW w:w="415" w:type="pct"/>
                  <w:noWrap/>
                  <w:vAlign w:val="center"/>
                </w:tcPr>
                <w:p w14:paraId="52A7413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c>
                <w:tcPr>
                  <w:tcW w:w="420" w:type="pct"/>
                  <w:noWrap/>
                  <w:vAlign w:val="center"/>
                </w:tcPr>
                <w:p w14:paraId="532FDF1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5</w:t>
                  </w:r>
                </w:p>
              </w:tc>
            </w:tr>
          </w:tbl>
          <w:p w14:paraId="1F418A7C">
            <w:pPr>
              <w:spacing w:line="420" w:lineRule="exact"/>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3.1</w:t>
            </w:r>
            <w:r>
              <w:rPr>
                <w:rFonts w:hint="eastAsia"/>
                <w:b/>
                <w:bCs/>
                <w:color w:val="000000" w:themeColor="text1"/>
                <w:szCs w:val="21"/>
                <w14:textFill>
                  <w14:solidFill>
                    <w14:schemeClr w14:val="tx1"/>
                  </w14:solidFill>
                </w14:textFill>
              </w:rPr>
              <w:t>0</w:t>
            </w:r>
            <w:r>
              <w:rPr>
                <w:b/>
                <w:bCs/>
                <w:color w:val="000000" w:themeColor="text1"/>
                <w:szCs w:val="21"/>
                <w14:textFill>
                  <w14:solidFill>
                    <w14:schemeClr w14:val="tx1"/>
                  </w14:solidFill>
                </w14:textFill>
              </w:rPr>
              <w:t>项目固体废物标准</w:t>
            </w:r>
          </w:p>
          <w:p w14:paraId="2567794C">
            <w:pPr>
              <w:spacing w:line="42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本项目一般</w:t>
            </w:r>
            <w:r>
              <w:rPr>
                <w:rFonts w:hint="eastAsia"/>
                <w:color w:val="000000" w:themeColor="text1"/>
                <w:szCs w:val="21"/>
                <w14:textFill>
                  <w14:solidFill>
                    <w14:schemeClr w14:val="tx1"/>
                  </w14:solidFill>
                </w14:textFill>
              </w:rPr>
              <w:t>工业</w:t>
            </w:r>
            <w:r>
              <w:rPr>
                <w:color w:val="000000" w:themeColor="text1"/>
                <w:szCs w:val="21"/>
                <w14:textFill>
                  <w14:solidFill>
                    <w14:schemeClr w14:val="tx1"/>
                  </w14:solidFill>
                </w14:textFill>
              </w:rPr>
              <w:t>固体废物</w:t>
            </w:r>
            <w:r>
              <w:rPr>
                <w:rFonts w:hint="eastAsia"/>
                <w:color w:val="000000" w:themeColor="text1"/>
                <w:lang w:val="en-US" w:eastAsia="zh-CN"/>
                <w14:textFill>
                  <w14:solidFill>
                    <w14:schemeClr w14:val="tx1"/>
                  </w14:solidFill>
                </w14:textFill>
              </w:rPr>
              <w:t>参照</w:t>
            </w:r>
            <w:r>
              <w:rPr>
                <w:color w:val="000000" w:themeColor="text1"/>
                <w:szCs w:val="21"/>
                <w14:textFill>
                  <w14:solidFill>
                    <w14:schemeClr w14:val="tx1"/>
                  </w14:solidFill>
                </w14:textFill>
              </w:rPr>
              <w:t>《一般工业固体废物贮存和填埋污染控制标准》（GB18599-2020）的相关要求。</w:t>
            </w:r>
          </w:p>
          <w:p w14:paraId="1A1F89DC">
            <w:pPr>
              <w:spacing w:line="42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14:textFill>
                  <w14:solidFill>
                    <w14:schemeClr w14:val="tx1"/>
                  </w14:solidFill>
                </w14:textFill>
              </w:rPr>
              <w:t>危险废物分类</w:t>
            </w:r>
            <w:r>
              <w:rPr>
                <w:rFonts w:hint="eastAsia"/>
                <w:color w:val="000000" w:themeColor="text1"/>
                <w:lang w:val="en-US" w:eastAsia="zh-CN"/>
                <w14:textFill>
                  <w14:solidFill>
                    <w14:schemeClr w14:val="tx1"/>
                  </w14:solidFill>
                </w14:textFill>
              </w:rPr>
              <w:t>按照</w:t>
            </w:r>
            <w:r>
              <w:rPr>
                <w:rFonts w:hint="eastAsia"/>
                <w:color w:val="000000" w:themeColor="text1"/>
                <w:szCs w:val="21"/>
                <w14:textFill>
                  <w14:solidFill>
                    <w14:schemeClr w14:val="tx1"/>
                  </w14:solidFill>
                </w14:textFill>
              </w:rPr>
              <w:t>执行《国家危险废物名录》（202</w:t>
            </w:r>
            <w:r>
              <w:rPr>
                <w:rFonts w:hint="eastAsia"/>
                <w:color w:val="000000" w:themeColor="text1"/>
                <w:szCs w:val="21"/>
                <w:lang w:val="en-US" w:eastAsia="zh-CN"/>
                <w14:textFill>
                  <w14:solidFill>
                    <w14:schemeClr w14:val="tx1"/>
                  </w14:solidFill>
                </w14:textFill>
              </w:rPr>
              <w:t>5年</w:t>
            </w:r>
            <w:r>
              <w:rPr>
                <w:rFonts w:hint="eastAsia"/>
                <w:color w:val="000000" w:themeColor="text1"/>
                <w:szCs w:val="21"/>
                <w14:textFill>
                  <w14:solidFill>
                    <w14:schemeClr w14:val="tx1"/>
                  </w14:solidFill>
                </w14:textFill>
              </w:rPr>
              <w:t>版），收集、贮存、运输等过程按照《危险废物贮存污染控制标准》（GB18597-2023）、《危险废物识别标志设置技术规范》（HJ1276-2022）和 《环境保护图形标志—固体废物贮存（处置）场》（GB 15562.2-1995）</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2023</w:t>
            </w:r>
            <w:r>
              <w:rPr>
                <w:rFonts w:hint="eastAsia"/>
                <w:color w:val="000000" w:themeColor="text1"/>
                <w:szCs w:val="21"/>
                <w14:textFill>
                  <w14:solidFill>
                    <w14:schemeClr w14:val="tx1"/>
                  </w14:solidFill>
                </w14:textFill>
              </w:rPr>
              <w:t>修改单</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的相关要求执行。</w:t>
            </w:r>
          </w:p>
          <w:p w14:paraId="5AB0624C">
            <w:pPr>
              <w:spacing w:line="420" w:lineRule="exact"/>
              <w:ind w:firstLine="420" w:firstLineChars="200"/>
              <w:rPr>
                <w:rFonts w:eastAsia="仿宋"/>
                <w:color w:val="000000" w:themeColor="text1"/>
                <w:kern w:val="0"/>
                <w:sz w:val="30"/>
                <w:szCs w:val="30"/>
                <w14:textFill>
                  <w14:solidFill>
                    <w14:schemeClr w14:val="tx1"/>
                  </w14:solidFill>
                </w14:textFill>
              </w:rPr>
            </w:pPr>
            <w:r>
              <w:rPr>
                <w:rFonts w:hint="eastAsia"/>
                <w:color w:val="000000" w:themeColor="text1"/>
                <w:szCs w:val="21"/>
                <w14:textFill>
                  <w14:solidFill>
                    <w14:schemeClr w14:val="tx1"/>
                  </w14:solidFill>
                </w14:textFill>
              </w:rPr>
              <w:t>本项目</w:t>
            </w:r>
            <w:r>
              <w:rPr>
                <w:color w:val="000000" w:themeColor="text1"/>
                <w:szCs w:val="21"/>
                <w14:textFill>
                  <w14:solidFill>
                    <w14:schemeClr w14:val="tx1"/>
                  </w14:solidFill>
                </w14:textFill>
              </w:rPr>
              <w:t>生活垃圾储存与处置参照执行《城市生活垃圾管理办法》（建设部令第157号）。</w:t>
            </w:r>
          </w:p>
        </w:tc>
      </w:tr>
      <w:tr w14:paraId="76F6E3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1" w:hRule="atLeast"/>
          <w:jc w:val="center"/>
        </w:trPr>
        <w:tc>
          <w:tcPr>
            <w:tcW w:w="294" w:type="pct"/>
            <w:noWrap/>
            <w:vAlign w:val="center"/>
          </w:tcPr>
          <w:p w14:paraId="4049AD13">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总量</w:t>
            </w:r>
          </w:p>
          <w:p w14:paraId="6A5D6C2A">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控制</w:t>
            </w:r>
          </w:p>
          <w:p w14:paraId="478EC814">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指标</w:t>
            </w:r>
          </w:p>
        </w:tc>
        <w:tc>
          <w:tcPr>
            <w:tcW w:w="4705" w:type="pct"/>
            <w:noWrap/>
            <w:vAlign w:val="center"/>
          </w:tcPr>
          <w:p w14:paraId="108C8A4B">
            <w:pPr>
              <w:pStyle w:val="69"/>
              <w:spacing w:before="0" w:after="0" w:line="240" w:lineRule="auto"/>
              <w:ind w:firstLine="422" w:firstLineChars="200"/>
              <w:rPr>
                <w:rFonts w:ascii="Times New Roman" w:hAnsi="Times New Roman" w:eastAsia="宋体"/>
                <w:bCs w:val="0"/>
                <w:color w:val="000000" w:themeColor="text1"/>
                <w:sz w:val="21"/>
                <w:szCs w:val="21"/>
                <w14:textFill>
                  <w14:solidFill>
                    <w14:schemeClr w14:val="tx1"/>
                  </w14:solidFill>
                </w14:textFill>
              </w:rPr>
            </w:pPr>
            <w:r>
              <w:rPr>
                <w:rFonts w:ascii="Times New Roman" w:hAnsi="Times New Roman" w:eastAsia="宋体"/>
                <w:bCs w:val="0"/>
                <w:color w:val="000000" w:themeColor="text1"/>
                <w:sz w:val="21"/>
                <w:szCs w:val="21"/>
                <w14:textFill>
                  <w14:solidFill>
                    <w14:schemeClr w14:val="tx1"/>
                  </w14:solidFill>
                </w14:textFill>
              </w:rPr>
              <w:t>3.1</w:t>
            </w:r>
            <w:r>
              <w:rPr>
                <w:rFonts w:hint="eastAsia" w:ascii="Times New Roman" w:hAnsi="Times New Roman" w:eastAsia="宋体"/>
                <w:bCs w:val="0"/>
                <w:color w:val="000000" w:themeColor="text1"/>
                <w:sz w:val="21"/>
                <w:szCs w:val="21"/>
                <w14:textFill>
                  <w14:solidFill>
                    <w14:schemeClr w14:val="tx1"/>
                  </w14:solidFill>
                </w14:textFill>
              </w:rPr>
              <w:t>1</w:t>
            </w:r>
            <w:r>
              <w:rPr>
                <w:rFonts w:ascii="Times New Roman" w:hAnsi="Times New Roman" w:eastAsia="宋体"/>
                <w:bCs w:val="0"/>
                <w:color w:val="000000" w:themeColor="text1"/>
                <w:sz w:val="21"/>
                <w:szCs w:val="21"/>
                <w14:textFill>
                  <w14:solidFill>
                    <w14:schemeClr w14:val="tx1"/>
                  </w14:solidFill>
                </w14:textFill>
              </w:rPr>
              <w:t>总量控制因子、指标及平衡途径</w:t>
            </w:r>
          </w:p>
          <w:p w14:paraId="131B3CA7">
            <w:pPr>
              <w:spacing w:line="42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w:t>
            </w:r>
            <w:r>
              <w:rPr>
                <w:color w:val="000000" w:themeColor="text1"/>
                <w:szCs w:val="21"/>
                <w14:textFill>
                  <w14:solidFill>
                    <w14:schemeClr w14:val="tx1"/>
                  </w14:solidFill>
                </w14:textFill>
              </w:rPr>
              <w:t>污染总量控制因子：COD</w:t>
            </w:r>
            <w:r>
              <w:rPr>
                <w:rFonts w:hint="eastAsia"/>
                <w:color w:val="000000" w:themeColor="text1"/>
                <w:szCs w:val="21"/>
                <w14:textFill>
                  <w14:solidFill>
                    <w14:schemeClr w14:val="tx1"/>
                  </w14:solidFill>
                </w14:textFill>
              </w:rPr>
              <w:t>、NH</w:t>
            </w:r>
            <w:r>
              <w:rPr>
                <w:rFonts w:hint="eastAsia"/>
                <w:color w:val="000000" w:themeColor="text1"/>
                <w:szCs w:val="21"/>
                <w:vertAlign w:val="subscript"/>
                <w14:textFill>
                  <w14:solidFill>
                    <w14:schemeClr w14:val="tx1"/>
                  </w14:solidFill>
                </w14:textFill>
              </w:rPr>
              <w:t>3</w:t>
            </w:r>
            <w:r>
              <w:rPr>
                <w:rFonts w:hint="eastAsia"/>
                <w:color w:val="000000" w:themeColor="text1"/>
                <w:szCs w:val="21"/>
                <w14:textFill>
                  <w14:solidFill>
                    <w14:schemeClr w14:val="tx1"/>
                  </w14:solidFill>
                </w14:textFill>
              </w:rPr>
              <w:t>-N、TP、TN；考核因子：</w:t>
            </w:r>
            <w:r>
              <w:rPr>
                <w:rFonts w:hint="eastAsia"/>
                <w:color w:val="000000" w:themeColor="text1"/>
                <w:szCs w:val="21"/>
                <w14:textFill>
                  <w14:solidFill>
                    <w14:schemeClr w14:val="tx1"/>
                  </w14:solidFill>
                </w14:textFill>
              </w:rPr>
              <w:t>BOD</w:t>
            </w:r>
            <w:r>
              <w:rPr>
                <w:rFonts w:hint="eastAsia"/>
                <w:color w:val="000000" w:themeColor="text1"/>
                <w:szCs w:val="21"/>
                <w:vertAlign w:val="subscript"/>
                <w14:textFill>
                  <w14:solidFill>
                    <w14:schemeClr w14:val="tx1"/>
                  </w14:solidFill>
                </w14:textFill>
              </w:rPr>
              <w:t>5</w:t>
            </w:r>
            <w:r>
              <w:rPr>
                <w:rFonts w:hint="eastAsia"/>
                <w:color w:val="000000" w:themeColor="text1"/>
                <w:szCs w:val="21"/>
                <w14:textFill>
                  <w14:solidFill>
                    <w14:schemeClr w14:val="tx1"/>
                  </w14:solidFill>
                </w14:textFill>
              </w:rPr>
              <w:t>、SS。</w:t>
            </w:r>
          </w:p>
          <w:p w14:paraId="63640325">
            <w:pPr>
              <w:spacing w:line="42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大气污染总量控制因子：</w:t>
            </w:r>
            <w:r>
              <w:rPr>
                <w:rFonts w:hint="eastAsia"/>
                <w:color w:val="000000" w:themeColor="text1"/>
                <w:szCs w:val="21"/>
                <w14:textFill>
                  <w14:solidFill>
                    <w14:schemeClr w14:val="tx1"/>
                  </w14:solidFill>
                </w14:textFill>
              </w:rPr>
              <w:t>VOCs（以非甲烷总烃计）</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颗粒物</w:t>
            </w:r>
            <w:r>
              <w:rPr>
                <w:color w:val="000000" w:themeColor="text1"/>
                <w:szCs w:val="21"/>
                <w14:textFill>
                  <w14:solidFill>
                    <w14:schemeClr w14:val="tx1"/>
                  </w14:solidFill>
                </w14:textFill>
              </w:rPr>
              <w:t>。</w:t>
            </w:r>
          </w:p>
          <w:p w14:paraId="1BB0CD81">
            <w:pPr>
              <w:pStyle w:val="69"/>
              <w:spacing w:before="0" w:after="0" w:line="240" w:lineRule="auto"/>
              <w:jc w:val="center"/>
              <w:rPr>
                <w:rFonts w:ascii="Times New Roman" w:hAnsi="Times New Roman" w:eastAsia="宋体"/>
                <w:bCs w:val="0"/>
                <w:color w:val="000000" w:themeColor="text1"/>
                <w:sz w:val="24"/>
                <w:szCs w:val="24"/>
                <w:highlight w:val="none"/>
                <w14:textFill>
                  <w14:solidFill>
                    <w14:schemeClr w14:val="tx1"/>
                  </w14:solidFill>
                </w14:textFill>
              </w:rPr>
            </w:pPr>
            <w:r>
              <w:rPr>
                <w:rFonts w:ascii="Times New Roman" w:hAnsi="Times New Roman" w:eastAsia="宋体"/>
                <w:bCs w:val="0"/>
                <w:color w:val="000000" w:themeColor="text1"/>
                <w:sz w:val="21"/>
                <w:szCs w:val="21"/>
                <w:highlight w:val="none"/>
                <w14:textFill>
                  <w14:solidFill>
                    <w14:schemeClr w14:val="tx1"/>
                  </w14:solidFill>
                </w14:textFill>
              </w:rPr>
              <w:t>表3.1</w:t>
            </w:r>
            <w:r>
              <w:rPr>
                <w:rFonts w:hint="eastAsia" w:ascii="Times New Roman" w:hAnsi="Times New Roman" w:eastAsia="宋体"/>
                <w:bCs w:val="0"/>
                <w:color w:val="000000" w:themeColor="text1"/>
                <w:sz w:val="21"/>
                <w:szCs w:val="21"/>
                <w:highlight w:val="none"/>
                <w14:textFill>
                  <w14:solidFill>
                    <w14:schemeClr w14:val="tx1"/>
                  </w14:solidFill>
                </w14:textFill>
              </w:rPr>
              <w:t>1</w:t>
            </w:r>
            <w:r>
              <w:rPr>
                <w:rFonts w:ascii="Times New Roman" w:hAnsi="Times New Roman" w:eastAsia="宋体"/>
                <w:bCs w:val="0"/>
                <w:color w:val="000000" w:themeColor="text1"/>
                <w:sz w:val="21"/>
                <w:szCs w:val="21"/>
                <w:highlight w:val="none"/>
                <w14:textFill>
                  <w14:solidFill>
                    <w14:schemeClr w14:val="tx1"/>
                  </w14:solidFill>
                </w14:textFill>
              </w:rPr>
              <w:t>-1  项目总量控制指标</w:t>
            </w:r>
            <w:r>
              <w:rPr>
                <w:rFonts w:hint="eastAsia" w:ascii="Times New Roman" w:hAnsi="Times New Roman" w:eastAsia="宋体"/>
                <w:bCs w:val="0"/>
                <w:color w:val="000000" w:themeColor="text1"/>
                <w:sz w:val="21"/>
                <w:szCs w:val="21"/>
                <w:highlight w:val="none"/>
                <w14:textFill>
                  <w14:solidFill>
                    <w14:schemeClr w14:val="tx1"/>
                  </w14:solidFill>
                </w14:textFill>
              </w:rPr>
              <w:t>表</w:t>
            </w:r>
            <w:r>
              <w:rPr>
                <w:rFonts w:ascii="Times New Roman" w:hAnsi="Times New Roman" w:eastAsia="宋体"/>
                <w:bCs w:val="0"/>
                <w:color w:val="000000" w:themeColor="text1"/>
                <w:sz w:val="21"/>
                <w:szCs w:val="21"/>
                <w:highlight w:val="none"/>
                <w14:textFill>
                  <w14:solidFill>
                    <w14:schemeClr w14:val="tx1"/>
                  </w14:solidFill>
                </w14:textFill>
              </w:rPr>
              <w:t>（单位：t/a）</w:t>
            </w:r>
          </w:p>
          <w:tbl>
            <w:tblPr>
              <w:tblStyle w:val="22"/>
              <w:tblW w:w="84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27"/>
              <w:gridCol w:w="391"/>
              <w:gridCol w:w="1251"/>
              <w:gridCol w:w="1191"/>
              <w:gridCol w:w="710"/>
              <w:gridCol w:w="830"/>
              <w:gridCol w:w="823"/>
              <w:gridCol w:w="1015"/>
              <w:gridCol w:w="811"/>
              <w:gridCol w:w="1065"/>
            </w:tblGrid>
            <w:tr w14:paraId="33713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6" w:type="pct"/>
                  <w:gridSpan w:val="2"/>
                  <w:vMerge w:val="restart"/>
                  <w:noWrap/>
                  <w:vAlign w:val="center"/>
                </w:tcPr>
                <w:p w14:paraId="1A303920">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类别</w:t>
                  </w:r>
                </w:p>
              </w:tc>
              <w:tc>
                <w:tcPr>
                  <w:tcW w:w="743" w:type="pct"/>
                  <w:vMerge w:val="restart"/>
                  <w:noWrap/>
                  <w:vAlign w:val="center"/>
                </w:tcPr>
                <w:p w14:paraId="46F8943C">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污染物</w:t>
                  </w:r>
                </w:p>
                <w:p w14:paraId="72C9D298">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名称</w:t>
                  </w:r>
                </w:p>
              </w:tc>
              <w:tc>
                <w:tcPr>
                  <w:tcW w:w="707" w:type="pct"/>
                  <w:vMerge w:val="restart"/>
                  <w:noWrap/>
                  <w:vAlign w:val="center"/>
                </w:tcPr>
                <w:p w14:paraId="640AF79A">
                  <w:pPr>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现有</w:t>
                  </w:r>
                  <w:r>
                    <w:rPr>
                      <w:b/>
                      <w:bCs/>
                      <w:color w:val="000000" w:themeColor="text1"/>
                      <w:sz w:val="21"/>
                      <w:szCs w:val="21"/>
                      <w:highlight w:val="none"/>
                      <w14:textFill>
                        <w14:solidFill>
                          <w14:schemeClr w14:val="tx1"/>
                        </w14:solidFill>
                      </w14:textFill>
                    </w:rPr>
                    <w:t>项目排放量</w:t>
                  </w:r>
                </w:p>
              </w:tc>
              <w:tc>
                <w:tcPr>
                  <w:tcW w:w="1404" w:type="pct"/>
                  <w:gridSpan w:val="3"/>
                  <w:noWrap/>
                  <w:vAlign w:val="center"/>
                </w:tcPr>
                <w:p w14:paraId="2BD593A1">
                  <w:pPr>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本</w:t>
                  </w:r>
                  <w:r>
                    <w:rPr>
                      <w:b/>
                      <w:bCs/>
                      <w:color w:val="000000" w:themeColor="text1"/>
                      <w:sz w:val="21"/>
                      <w:szCs w:val="21"/>
                      <w:highlight w:val="none"/>
                      <w14:textFill>
                        <w14:solidFill>
                          <w14:schemeClr w14:val="tx1"/>
                        </w14:solidFill>
                      </w14:textFill>
                    </w:rPr>
                    <w:t>项目</w:t>
                  </w:r>
                </w:p>
              </w:tc>
              <w:tc>
                <w:tcPr>
                  <w:tcW w:w="603" w:type="pct"/>
                  <w:vMerge w:val="restart"/>
                  <w:noWrap/>
                  <w:vAlign w:val="center"/>
                </w:tcPr>
                <w:p w14:paraId="70BF24DF">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以新带老削减量</w:t>
                  </w:r>
                </w:p>
              </w:tc>
              <w:tc>
                <w:tcPr>
                  <w:tcW w:w="481" w:type="pct"/>
                  <w:vMerge w:val="restart"/>
                  <w:noWrap/>
                  <w:vAlign w:val="center"/>
                </w:tcPr>
                <w:p w14:paraId="4F6E05E8">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全厂</w:t>
                  </w:r>
                </w:p>
                <w:p w14:paraId="333CB9C3">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排放量</w:t>
                  </w:r>
                </w:p>
              </w:tc>
              <w:tc>
                <w:tcPr>
                  <w:tcW w:w="632" w:type="pct"/>
                  <w:vMerge w:val="restart"/>
                  <w:noWrap/>
                  <w:vAlign w:val="center"/>
                </w:tcPr>
                <w:p w14:paraId="2026847D">
                  <w:pPr>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项目建成后新增排放量</w:t>
                  </w:r>
                </w:p>
              </w:tc>
            </w:tr>
            <w:tr w14:paraId="3050A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6" w:type="pct"/>
                  <w:gridSpan w:val="2"/>
                  <w:vMerge w:val="continue"/>
                  <w:noWrap/>
                  <w:vAlign w:val="center"/>
                </w:tcPr>
                <w:p w14:paraId="69E45DD8">
                  <w:pPr>
                    <w:jc w:val="center"/>
                    <w:rPr>
                      <w:color w:val="000000" w:themeColor="text1"/>
                      <w:sz w:val="21"/>
                      <w:szCs w:val="21"/>
                      <w:highlight w:val="none"/>
                      <w14:textFill>
                        <w14:solidFill>
                          <w14:schemeClr w14:val="tx1"/>
                        </w14:solidFill>
                      </w14:textFill>
                    </w:rPr>
                  </w:pPr>
                </w:p>
              </w:tc>
              <w:tc>
                <w:tcPr>
                  <w:tcW w:w="743" w:type="pct"/>
                  <w:vMerge w:val="continue"/>
                  <w:noWrap/>
                  <w:vAlign w:val="center"/>
                </w:tcPr>
                <w:p w14:paraId="33D2FA03">
                  <w:pPr>
                    <w:jc w:val="center"/>
                    <w:rPr>
                      <w:color w:val="000000" w:themeColor="text1"/>
                      <w:sz w:val="21"/>
                      <w:szCs w:val="21"/>
                      <w:highlight w:val="none"/>
                      <w14:textFill>
                        <w14:solidFill>
                          <w14:schemeClr w14:val="tx1"/>
                        </w14:solidFill>
                      </w14:textFill>
                    </w:rPr>
                  </w:pPr>
                </w:p>
              </w:tc>
              <w:tc>
                <w:tcPr>
                  <w:tcW w:w="707" w:type="pct"/>
                  <w:vMerge w:val="continue"/>
                  <w:noWrap/>
                  <w:vAlign w:val="center"/>
                </w:tcPr>
                <w:p w14:paraId="193237D4">
                  <w:pPr>
                    <w:jc w:val="center"/>
                    <w:rPr>
                      <w:color w:val="000000" w:themeColor="text1"/>
                      <w:sz w:val="21"/>
                      <w:szCs w:val="21"/>
                      <w:highlight w:val="none"/>
                      <w14:textFill>
                        <w14:solidFill>
                          <w14:schemeClr w14:val="tx1"/>
                        </w14:solidFill>
                      </w14:textFill>
                    </w:rPr>
                  </w:pPr>
                </w:p>
              </w:tc>
              <w:tc>
                <w:tcPr>
                  <w:tcW w:w="421" w:type="pct"/>
                  <w:noWrap/>
                  <w:vAlign w:val="center"/>
                </w:tcPr>
                <w:p w14:paraId="26F1344C">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产生量</w:t>
                  </w:r>
                </w:p>
              </w:tc>
              <w:tc>
                <w:tcPr>
                  <w:tcW w:w="493" w:type="pct"/>
                  <w:noWrap/>
                  <w:vAlign w:val="center"/>
                </w:tcPr>
                <w:p w14:paraId="4BB84CA9">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削减量</w:t>
                  </w:r>
                </w:p>
              </w:tc>
              <w:tc>
                <w:tcPr>
                  <w:tcW w:w="489" w:type="pct"/>
                  <w:noWrap/>
                  <w:vAlign w:val="center"/>
                </w:tcPr>
                <w:p w14:paraId="0F1E4B44">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排放量</w:t>
                  </w:r>
                </w:p>
              </w:tc>
              <w:tc>
                <w:tcPr>
                  <w:tcW w:w="603" w:type="pct"/>
                  <w:vMerge w:val="continue"/>
                  <w:noWrap/>
                  <w:vAlign w:val="center"/>
                </w:tcPr>
                <w:p w14:paraId="75961070">
                  <w:pPr>
                    <w:jc w:val="center"/>
                    <w:rPr>
                      <w:color w:val="000000" w:themeColor="text1"/>
                      <w:sz w:val="21"/>
                      <w:szCs w:val="21"/>
                      <w:highlight w:val="none"/>
                      <w14:textFill>
                        <w14:solidFill>
                          <w14:schemeClr w14:val="tx1"/>
                        </w14:solidFill>
                      </w14:textFill>
                    </w:rPr>
                  </w:pPr>
                </w:p>
              </w:tc>
              <w:tc>
                <w:tcPr>
                  <w:tcW w:w="481" w:type="pct"/>
                  <w:vMerge w:val="continue"/>
                  <w:noWrap/>
                  <w:vAlign w:val="center"/>
                </w:tcPr>
                <w:p w14:paraId="0C66AE2D">
                  <w:pPr>
                    <w:jc w:val="center"/>
                    <w:rPr>
                      <w:color w:val="000000" w:themeColor="text1"/>
                      <w:sz w:val="21"/>
                      <w:szCs w:val="21"/>
                      <w:highlight w:val="none"/>
                      <w14:textFill>
                        <w14:solidFill>
                          <w14:schemeClr w14:val="tx1"/>
                        </w14:solidFill>
                      </w14:textFill>
                    </w:rPr>
                  </w:pPr>
                </w:p>
              </w:tc>
              <w:tc>
                <w:tcPr>
                  <w:tcW w:w="632" w:type="pct"/>
                  <w:vMerge w:val="continue"/>
                  <w:noWrap/>
                  <w:vAlign w:val="center"/>
                </w:tcPr>
                <w:p w14:paraId="5FD93022">
                  <w:pPr>
                    <w:jc w:val="center"/>
                    <w:rPr>
                      <w:color w:val="000000" w:themeColor="text1"/>
                      <w:sz w:val="21"/>
                      <w:szCs w:val="21"/>
                      <w:highlight w:val="none"/>
                      <w14:textFill>
                        <w14:solidFill>
                          <w14:schemeClr w14:val="tx1"/>
                        </w14:solidFill>
                      </w14:textFill>
                    </w:rPr>
                  </w:pPr>
                </w:p>
              </w:tc>
            </w:tr>
            <w:tr w14:paraId="3A0CEA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4" w:type="pct"/>
                  <w:vMerge w:val="restart"/>
                  <w:noWrap/>
                  <w:vAlign w:val="center"/>
                </w:tcPr>
                <w:p w14:paraId="6487E8CF">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废气</w:t>
                  </w:r>
                </w:p>
              </w:tc>
              <w:tc>
                <w:tcPr>
                  <w:tcW w:w="232" w:type="pct"/>
                  <w:noWrap/>
                  <w:vAlign w:val="center"/>
                </w:tcPr>
                <w:p w14:paraId="51F9330B">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有组织</w:t>
                  </w:r>
                </w:p>
              </w:tc>
              <w:tc>
                <w:tcPr>
                  <w:tcW w:w="743" w:type="pct"/>
                  <w:noWrap/>
                  <w:vAlign w:val="center"/>
                </w:tcPr>
                <w:p w14:paraId="4803126C">
                  <w:pPr>
                    <w:snapToGrid w:val="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VOCs（以非甲烷总烃计）</w:t>
                  </w:r>
                </w:p>
              </w:tc>
              <w:tc>
                <w:tcPr>
                  <w:tcW w:w="707" w:type="pct"/>
                  <w:noWrap/>
                  <w:vAlign w:val="center"/>
                </w:tcPr>
                <w:p w14:paraId="26C80204">
                  <w:pPr>
                    <w:jc w:val="center"/>
                    <w:rPr>
                      <w:rFonts w:hint="eastAsia" w:eastAsia="宋体"/>
                      <w:color w:val="000000" w:themeColor="text1"/>
                      <w:sz w:val="21"/>
                      <w:szCs w:val="21"/>
                      <w:highlight w:val="none"/>
                      <w:lang w:eastAsia="zh-CN"/>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0</w:t>
                  </w:r>
                </w:p>
              </w:tc>
              <w:tc>
                <w:tcPr>
                  <w:tcW w:w="421" w:type="pct"/>
                  <w:noWrap/>
                  <w:vAlign w:val="center"/>
                </w:tcPr>
                <w:p w14:paraId="47ADF13A">
                  <w:pPr>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pacing w:val="-9"/>
                      <w:szCs w:val="21"/>
                      <w:highlight w:val="none"/>
                      <w:lang w:val="en-US" w:eastAsia="zh-CN"/>
                      <w14:textFill>
                        <w14:solidFill>
                          <w14:schemeClr w14:val="tx1"/>
                        </w14:solidFill>
                      </w14:textFill>
                    </w:rPr>
                    <w:t>0.9446</w:t>
                  </w:r>
                </w:p>
              </w:tc>
              <w:tc>
                <w:tcPr>
                  <w:tcW w:w="493" w:type="pct"/>
                  <w:noWrap/>
                  <w:vAlign w:val="center"/>
                </w:tcPr>
                <w:p w14:paraId="482FA03B">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0.8501</w:t>
                  </w:r>
                </w:p>
              </w:tc>
              <w:tc>
                <w:tcPr>
                  <w:tcW w:w="489" w:type="pct"/>
                  <w:noWrap/>
                  <w:vAlign w:val="center"/>
                </w:tcPr>
                <w:p w14:paraId="4039E7E2">
                  <w:pPr>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pacing w:val="-9"/>
                      <w:szCs w:val="21"/>
                      <w:highlight w:val="none"/>
                      <w:lang w:val="en-US" w:eastAsia="zh-CN"/>
                      <w14:textFill>
                        <w14:solidFill>
                          <w14:schemeClr w14:val="tx1"/>
                        </w14:solidFill>
                      </w14:textFill>
                    </w:rPr>
                    <w:t>0.0945</w:t>
                  </w:r>
                </w:p>
              </w:tc>
              <w:tc>
                <w:tcPr>
                  <w:tcW w:w="603" w:type="pct"/>
                  <w:noWrap/>
                  <w:vAlign w:val="center"/>
                </w:tcPr>
                <w:p w14:paraId="3993AA22">
                  <w:pPr>
                    <w:jc w:val="center"/>
                    <w:rPr>
                      <w:color w:val="000000" w:themeColor="text1"/>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0</w:t>
                  </w:r>
                </w:p>
              </w:tc>
              <w:tc>
                <w:tcPr>
                  <w:tcW w:w="481" w:type="pct"/>
                  <w:noWrap/>
                  <w:vAlign w:val="center"/>
                </w:tcPr>
                <w:p w14:paraId="431378B7">
                  <w:pPr>
                    <w:jc w:val="center"/>
                    <w:rPr>
                      <w:color w:val="000000" w:themeColor="text1"/>
                      <w:sz w:val="21"/>
                      <w:szCs w:val="21"/>
                      <w:highlight w:val="none"/>
                      <w14:textFill>
                        <w14:solidFill>
                          <w14:schemeClr w14:val="tx1"/>
                        </w14:solidFill>
                      </w14:textFill>
                    </w:rPr>
                  </w:pPr>
                  <w:r>
                    <w:rPr>
                      <w:rFonts w:hint="eastAsia"/>
                      <w:color w:val="000000" w:themeColor="text1"/>
                      <w:spacing w:val="-9"/>
                      <w:szCs w:val="21"/>
                      <w:highlight w:val="none"/>
                      <w:lang w:val="en-US" w:eastAsia="zh-CN"/>
                      <w14:textFill>
                        <w14:solidFill>
                          <w14:schemeClr w14:val="tx1"/>
                        </w14:solidFill>
                      </w14:textFill>
                    </w:rPr>
                    <w:t>0.0945</w:t>
                  </w:r>
                </w:p>
              </w:tc>
              <w:tc>
                <w:tcPr>
                  <w:tcW w:w="632" w:type="pct"/>
                  <w:noWrap/>
                  <w:vAlign w:val="center"/>
                </w:tcPr>
                <w:p w14:paraId="320D3026">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r>
                    <w:rPr>
                      <w:rFonts w:hint="eastAsia"/>
                      <w:color w:val="000000" w:themeColor="text1"/>
                      <w:spacing w:val="-9"/>
                      <w:szCs w:val="21"/>
                      <w:highlight w:val="none"/>
                      <w:lang w:val="en-US" w:eastAsia="zh-CN"/>
                      <w14:textFill>
                        <w14:solidFill>
                          <w14:schemeClr w14:val="tx1"/>
                        </w14:solidFill>
                      </w14:textFill>
                    </w:rPr>
                    <w:t>0.0945</w:t>
                  </w:r>
                </w:p>
              </w:tc>
            </w:tr>
            <w:tr w14:paraId="29990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4" w:type="pct"/>
                  <w:vMerge w:val="continue"/>
                  <w:noWrap/>
                  <w:vAlign w:val="center"/>
                </w:tcPr>
                <w:p w14:paraId="3F7AC77A">
                  <w:pPr>
                    <w:jc w:val="center"/>
                    <w:rPr>
                      <w:color w:val="000000" w:themeColor="text1"/>
                      <w:sz w:val="21"/>
                      <w:szCs w:val="21"/>
                      <w:highlight w:val="none"/>
                      <w14:textFill>
                        <w14:solidFill>
                          <w14:schemeClr w14:val="tx1"/>
                        </w14:solidFill>
                      </w14:textFill>
                    </w:rPr>
                  </w:pPr>
                </w:p>
              </w:tc>
              <w:tc>
                <w:tcPr>
                  <w:tcW w:w="232" w:type="pct"/>
                  <w:vMerge w:val="restart"/>
                  <w:noWrap/>
                  <w:vAlign w:val="center"/>
                </w:tcPr>
                <w:p w14:paraId="0D0CDAF9">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无组织</w:t>
                  </w:r>
                </w:p>
              </w:tc>
              <w:tc>
                <w:tcPr>
                  <w:tcW w:w="743" w:type="pct"/>
                  <w:noWrap/>
                  <w:vAlign w:val="center"/>
                </w:tcPr>
                <w:p w14:paraId="4F79DFC3">
                  <w:pPr>
                    <w:snapToGrid w:val="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VOCs（以非甲烷总烃计）</w:t>
                  </w:r>
                </w:p>
              </w:tc>
              <w:tc>
                <w:tcPr>
                  <w:tcW w:w="707" w:type="pct"/>
                  <w:noWrap/>
                  <w:vAlign w:val="center"/>
                </w:tcPr>
                <w:p w14:paraId="0BEA79BD">
                  <w:pPr>
                    <w:jc w:val="center"/>
                    <w:rPr>
                      <w:color w:val="000000" w:themeColor="text1"/>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0</w:t>
                  </w:r>
                </w:p>
              </w:tc>
              <w:tc>
                <w:tcPr>
                  <w:tcW w:w="421" w:type="pct"/>
                  <w:noWrap/>
                  <w:vAlign w:val="center"/>
                </w:tcPr>
                <w:p w14:paraId="7F2A4D4D">
                  <w:pPr>
                    <w:jc w:val="center"/>
                    <w:rPr>
                      <w:color w:val="000000" w:themeColor="text1"/>
                      <w:sz w:val="21"/>
                      <w:szCs w:val="21"/>
                      <w:highlight w:val="none"/>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0.2362</w:t>
                  </w:r>
                </w:p>
              </w:tc>
              <w:tc>
                <w:tcPr>
                  <w:tcW w:w="493" w:type="pct"/>
                  <w:noWrap/>
                  <w:vAlign w:val="center"/>
                </w:tcPr>
                <w:p w14:paraId="4523AA3D">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489" w:type="pct"/>
                  <w:noWrap/>
                  <w:vAlign w:val="center"/>
                </w:tcPr>
                <w:p w14:paraId="6560B86F">
                  <w:pPr>
                    <w:jc w:val="center"/>
                    <w:rPr>
                      <w:color w:val="000000" w:themeColor="text1"/>
                      <w:sz w:val="21"/>
                      <w:szCs w:val="21"/>
                      <w:highlight w:val="none"/>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0.2362</w:t>
                  </w:r>
                </w:p>
              </w:tc>
              <w:tc>
                <w:tcPr>
                  <w:tcW w:w="603" w:type="pct"/>
                  <w:noWrap/>
                  <w:vAlign w:val="center"/>
                </w:tcPr>
                <w:p w14:paraId="2F65EFB0">
                  <w:pPr>
                    <w:jc w:val="center"/>
                    <w:rPr>
                      <w:color w:val="000000" w:themeColor="text1"/>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0</w:t>
                  </w:r>
                </w:p>
              </w:tc>
              <w:tc>
                <w:tcPr>
                  <w:tcW w:w="481" w:type="pct"/>
                  <w:noWrap/>
                  <w:vAlign w:val="center"/>
                </w:tcPr>
                <w:p w14:paraId="42CC407C">
                  <w:pPr>
                    <w:jc w:val="center"/>
                    <w:rPr>
                      <w:color w:val="000000" w:themeColor="text1"/>
                      <w:sz w:val="21"/>
                      <w:szCs w:val="21"/>
                      <w:highlight w:val="none"/>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0.2362</w:t>
                  </w:r>
                </w:p>
              </w:tc>
              <w:tc>
                <w:tcPr>
                  <w:tcW w:w="632" w:type="pct"/>
                  <w:noWrap/>
                  <w:vAlign w:val="center"/>
                </w:tcPr>
                <w:p w14:paraId="78435973">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r>
                    <w:rPr>
                      <w:rFonts w:hint="eastAsia"/>
                      <w:color w:val="000000" w:themeColor="text1"/>
                      <w:spacing w:val="-9"/>
                      <w:szCs w:val="21"/>
                      <w:lang w:val="en-US" w:eastAsia="zh-CN"/>
                      <w14:textFill>
                        <w14:solidFill>
                          <w14:schemeClr w14:val="tx1"/>
                        </w14:solidFill>
                      </w14:textFill>
                    </w:rPr>
                    <w:t>0.2362</w:t>
                  </w:r>
                </w:p>
              </w:tc>
            </w:tr>
            <w:tr w14:paraId="668CD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4" w:type="pct"/>
                  <w:vMerge w:val="continue"/>
                  <w:noWrap/>
                  <w:vAlign w:val="center"/>
                </w:tcPr>
                <w:p w14:paraId="03E91046">
                  <w:pPr>
                    <w:jc w:val="center"/>
                    <w:rPr>
                      <w:color w:val="000000" w:themeColor="text1"/>
                      <w:sz w:val="21"/>
                      <w:szCs w:val="21"/>
                      <w:highlight w:val="none"/>
                      <w14:textFill>
                        <w14:solidFill>
                          <w14:schemeClr w14:val="tx1"/>
                        </w14:solidFill>
                      </w14:textFill>
                    </w:rPr>
                  </w:pPr>
                </w:p>
              </w:tc>
              <w:tc>
                <w:tcPr>
                  <w:tcW w:w="232" w:type="pct"/>
                  <w:vMerge w:val="continue"/>
                  <w:noWrap/>
                  <w:vAlign w:val="center"/>
                </w:tcPr>
                <w:p w14:paraId="3A0222A9">
                  <w:pPr>
                    <w:jc w:val="center"/>
                    <w:rPr>
                      <w:color w:val="000000" w:themeColor="text1"/>
                      <w:sz w:val="21"/>
                      <w:szCs w:val="21"/>
                      <w:highlight w:val="none"/>
                      <w14:textFill>
                        <w14:solidFill>
                          <w14:schemeClr w14:val="tx1"/>
                        </w14:solidFill>
                      </w14:textFill>
                    </w:rPr>
                  </w:pPr>
                </w:p>
              </w:tc>
              <w:tc>
                <w:tcPr>
                  <w:tcW w:w="743" w:type="pct"/>
                  <w:noWrap/>
                  <w:vAlign w:val="center"/>
                </w:tcPr>
                <w:p w14:paraId="0A4C1152">
                  <w:pPr>
                    <w:snapToGrid w:val="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颗粒物</w:t>
                  </w:r>
                </w:p>
              </w:tc>
              <w:tc>
                <w:tcPr>
                  <w:tcW w:w="707" w:type="pct"/>
                  <w:noWrap/>
                  <w:vAlign w:val="center"/>
                </w:tcPr>
                <w:p w14:paraId="1A2B1429">
                  <w:pPr>
                    <w:jc w:val="center"/>
                    <w:rPr>
                      <w:rFonts w:hint="eastAsia"/>
                      <w:color w:val="000000" w:themeColor="text1"/>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0</w:t>
                  </w:r>
                </w:p>
              </w:tc>
              <w:tc>
                <w:tcPr>
                  <w:tcW w:w="421" w:type="pct"/>
                  <w:noWrap/>
                  <w:vAlign w:val="center"/>
                </w:tcPr>
                <w:p w14:paraId="79E5D51F">
                  <w:pPr>
                    <w:jc w:val="center"/>
                    <w:rPr>
                      <w:rFonts w:hint="eastAsia"/>
                      <w:color w:val="000000" w:themeColor="text1"/>
                      <w:sz w:val="21"/>
                      <w:szCs w:val="21"/>
                      <w:highlight w:val="none"/>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0.0075</w:t>
                  </w:r>
                </w:p>
              </w:tc>
              <w:tc>
                <w:tcPr>
                  <w:tcW w:w="493" w:type="pct"/>
                  <w:noWrap/>
                  <w:vAlign w:val="center"/>
                </w:tcPr>
                <w:p w14:paraId="66654DE8">
                  <w:pPr>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489" w:type="pct"/>
                  <w:noWrap/>
                  <w:vAlign w:val="center"/>
                </w:tcPr>
                <w:p w14:paraId="02361375">
                  <w:pPr>
                    <w:jc w:val="center"/>
                    <w:rPr>
                      <w:rFonts w:hint="eastAsia"/>
                      <w:color w:val="000000" w:themeColor="text1"/>
                      <w:sz w:val="21"/>
                      <w:szCs w:val="21"/>
                      <w:highlight w:val="none"/>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0.0075</w:t>
                  </w:r>
                </w:p>
              </w:tc>
              <w:tc>
                <w:tcPr>
                  <w:tcW w:w="603" w:type="pct"/>
                  <w:noWrap/>
                  <w:vAlign w:val="center"/>
                </w:tcPr>
                <w:p w14:paraId="3A69F3A8">
                  <w:pPr>
                    <w:jc w:val="center"/>
                    <w:rPr>
                      <w:rFonts w:hint="eastAsia"/>
                      <w:color w:val="000000" w:themeColor="text1"/>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0</w:t>
                  </w:r>
                </w:p>
              </w:tc>
              <w:tc>
                <w:tcPr>
                  <w:tcW w:w="481" w:type="pct"/>
                  <w:noWrap/>
                  <w:vAlign w:val="center"/>
                </w:tcPr>
                <w:p w14:paraId="79D0556B">
                  <w:pPr>
                    <w:jc w:val="center"/>
                    <w:rPr>
                      <w:rFonts w:hint="eastAsia"/>
                      <w:color w:val="000000" w:themeColor="text1"/>
                      <w:sz w:val="21"/>
                      <w:szCs w:val="21"/>
                      <w:highlight w:val="none"/>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0.0075</w:t>
                  </w:r>
                </w:p>
              </w:tc>
              <w:tc>
                <w:tcPr>
                  <w:tcW w:w="632" w:type="pct"/>
                  <w:noWrap/>
                  <w:vAlign w:val="center"/>
                </w:tcPr>
                <w:p w14:paraId="1D4DBA07">
                  <w:pPr>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pacing w:val="-9"/>
                      <w:szCs w:val="21"/>
                      <w:lang w:val="en-US" w:eastAsia="zh-CN"/>
                      <w14:textFill>
                        <w14:solidFill>
                          <w14:schemeClr w14:val="tx1"/>
                        </w14:solidFill>
                      </w14:textFill>
                    </w:rPr>
                    <w:t>0.0075</w:t>
                  </w:r>
                </w:p>
              </w:tc>
            </w:tr>
            <w:tr w14:paraId="62D7F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4" w:type="pct"/>
                  <w:vMerge w:val="restart"/>
                  <w:noWrap/>
                  <w:vAlign w:val="center"/>
                </w:tcPr>
                <w:p w14:paraId="491E18AD">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废水</w:t>
                  </w:r>
                </w:p>
              </w:tc>
              <w:tc>
                <w:tcPr>
                  <w:tcW w:w="232" w:type="pct"/>
                  <w:vMerge w:val="restart"/>
                  <w:noWrap/>
                  <w:vAlign w:val="center"/>
                </w:tcPr>
                <w:p w14:paraId="3824D138">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生活污水</w:t>
                  </w:r>
                </w:p>
              </w:tc>
              <w:tc>
                <w:tcPr>
                  <w:tcW w:w="743" w:type="pct"/>
                  <w:noWrap/>
                  <w:vAlign w:val="center"/>
                </w:tcPr>
                <w:p w14:paraId="4501BCF0">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水量</w:t>
                  </w:r>
                </w:p>
              </w:tc>
              <w:tc>
                <w:tcPr>
                  <w:tcW w:w="707" w:type="pct"/>
                  <w:noWrap/>
                  <w:vAlign w:val="center"/>
                </w:tcPr>
                <w:p w14:paraId="01180115">
                  <w:pPr>
                    <w:adjustRightInd w:val="0"/>
                    <w:snapToGrid w:val="0"/>
                    <w:jc w:val="center"/>
                    <w:rPr>
                      <w:color w:val="000000" w:themeColor="text1"/>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0</w:t>
                  </w:r>
                </w:p>
              </w:tc>
              <w:tc>
                <w:tcPr>
                  <w:tcW w:w="710" w:type="dxa"/>
                  <w:noWrap/>
                  <w:vAlign w:val="center"/>
                </w:tcPr>
                <w:p w14:paraId="5C23CBAB">
                  <w:pPr>
                    <w:jc w:val="center"/>
                    <w:rPr>
                      <w:color w:val="000000" w:themeColor="text1"/>
                      <w:sz w:val="21"/>
                      <w:szCs w:val="21"/>
                      <w:highlight w:val="none"/>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540</w:t>
                  </w:r>
                </w:p>
              </w:tc>
              <w:tc>
                <w:tcPr>
                  <w:tcW w:w="493" w:type="pct"/>
                  <w:noWrap/>
                  <w:vAlign w:val="center"/>
                </w:tcPr>
                <w:p w14:paraId="44904A3E">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823" w:type="dxa"/>
                  <w:noWrap/>
                  <w:vAlign w:val="center"/>
                </w:tcPr>
                <w:p w14:paraId="0FADED8F">
                  <w:pPr>
                    <w:jc w:val="center"/>
                    <w:rPr>
                      <w:color w:val="000000" w:themeColor="text1"/>
                      <w:sz w:val="21"/>
                      <w:szCs w:val="21"/>
                      <w:highlight w:val="none"/>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540</w:t>
                  </w:r>
                </w:p>
              </w:tc>
              <w:tc>
                <w:tcPr>
                  <w:tcW w:w="603" w:type="pct"/>
                  <w:noWrap/>
                  <w:vAlign w:val="center"/>
                </w:tcPr>
                <w:p w14:paraId="5A0A3A6D">
                  <w:pPr>
                    <w:adjustRightInd w:val="0"/>
                    <w:snapToGrid w:val="0"/>
                    <w:jc w:val="center"/>
                    <w:rPr>
                      <w:color w:val="000000" w:themeColor="text1"/>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0</w:t>
                  </w:r>
                </w:p>
              </w:tc>
              <w:tc>
                <w:tcPr>
                  <w:tcW w:w="811" w:type="dxa"/>
                  <w:noWrap/>
                  <w:vAlign w:val="center"/>
                </w:tcPr>
                <w:p w14:paraId="369DADD3">
                  <w:pPr>
                    <w:jc w:val="center"/>
                    <w:rPr>
                      <w:color w:val="000000" w:themeColor="text1"/>
                      <w:sz w:val="21"/>
                      <w:szCs w:val="21"/>
                      <w:highlight w:val="none"/>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540</w:t>
                  </w:r>
                </w:p>
              </w:tc>
              <w:tc>
                <w:tcPr>
                  <w:tcW w:w="1065" w:type="dxa"/>
                  <w:noWrap/>
                  <w:vAlign w:val="center"/>
                </w:tcPr>
                <w:p w14:paraId="2B13BC9A">
                  <w:pPr>
                    <w:jc w:val="center"/>
                    <w:rPr>
                      <w:color w:val="000000" w:themeColor="text1"/>
                      <w:sz w:val="21"/>
                      <w:szCs w:val="21"/>
                      <w:highlight w:val="none"/>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+540</w:t>
                  </w:r>
                </w:p>
              </w:tc>
            </w:tr>
            <w:tr w14:paraId="5365A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4" w:type="pct"/>
                  <w:vMerge w:val="continue"/>
                  <w:noWrap/>
                  <w:vAlign w:val="center"/>
                </w:tcPr>
                <w:p w14:paraId="2FA62733">
                  <w:pPr>
                    <w:jc w:val="center"/>
                    <w:rPr>
                      <w:color w:val="000000" w:themeColor="text1"/>
                      <w:sz w:val="21"/>
                      <w:szCs w:val="21"/>
                      <w:highlight w:val="none"/>
                      <w14:textFill>
                        <w14:solidFill>
                          <w14:schemeClr w14:val="tx1"/>
                        </w14:solidFill>
                      </w14:textFill>
                    </w:rPr>
                  </w:pPr>
                </w:p>
              </w:tc>
              <w:tc>
                <w:tcPr>
                  <w:tcW w:w="232" w:type="pct"/>
                  <w:vMerge w:val="continue"/>
                  <w:noWrap/>
                  <w:vAlign w:val="center"/>
                </w:tcPr>
                <w:p w14:paraId="6B43F832">
                  <w:pPr>
                    <w:jc w:val="center"/>
                    <w:rPr>
                      <w:color w:val="000000" w:themeColor="text1"/>
                      <w:sz w:val="21"/>
                      <w:szCs w:val="21"/>
                      <w:highlight w:val="none"/>
                      <w14:textFill>
                        <w14:solidFill>
                          <w14:schemeClr w14:val="tx1"/>
                        </w14:solidFill>
                      </w14:textFill>
                    </w:rPr>
                  </w:pPr>
                </w:p>
              </w:tc>
              <w:tc>
                <w:tcPr>
                  <w:tcW w:w="743" w:type="pct"/>
                  <w:noWrap/>
                  <w:vAlign w:val="center"/>
                </w:tcPr>
                <w:p w14:paraId="38D1B718">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COD</w:t>
                  </w:r>
                </w:p>
              </w:tc>
              <w:tc>
                <w:tcPr>
                  <w:tcW w:w="707" w:type="pct"/>
                  <w:noWrap/>
                  <w:vAlign w:val="center"/>
                </w:tcPr>
                <w:p w14:paraId="54857706">
                  <w:pPr>
                    <w:adjustRightInd w:val="0"/>
                    <w:snapToGrid w:val="0"/>
                    <w:jc w:val="center"/>
                    <w:rPr>
                      <w:color w:val="000000" w:themeColor="text1"/>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0</w:t>
                  </w:r>
                </w:p>
              </w:tc>
              <w:tc>
                <w:tcPr>
                  <w:tcW w:w="710" w:type="dxa"/>
                  <w:noWrap/>
                  <w:vAlign w:val="center"/>
                </w:tcPr>
                <w:p w14:paraId="50D7B2E3">
                  <w:pPr>
                    <w:jc w:val="center"/>
                    <w:rPr>
                      <w:color w:val="000000" w:themeColor="text1"/>
                      <w:sz w:val="21"/>
                      <w:szCs w:val="21"/>
                      <w:highlight w:val="none"/>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0.189</w:t>
                  </w:r>
                </w:p>
              </w:tc>
              <w:tc>
                <w:tcPr>
                  <w:tcW w:w="493" w:type="pct"/>
                  <w:noWrap/>
                  <w:vAlign w:val="center"/>
                </w:tcPr>
                <w:p w14:paraId="218F1F5B">
                  <w:pPr>
                    <w:jc w:val="center"/>
                    <w:rPr>
                      <w:color w:val="000000" w:themeColor="text1"/>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0</w:t>
                  </w:r>
                </w:p>
              </w:tc>
              <w:tc>
                <w:tcPr>
                  <w:tcW w:w="823" w:type="dxa"/>
                  <w:noWrap/>
                  <w:vAlign w:val="center"/>
                </w:tcPr>
                <w:p w14:paraId="23FF801F">
                  <w:pPr>
                    <w:jc w:val="center"/>
                    <w:rPr>
                      <w:rFonts w:hint="default"/>
                      <w:color w:val="000000" w:themeColor="text1"/>
                      <w:sz w:val="21"/>
                      <w:szCs w:val="21"/>
                      <w:highlight w:val="none"/>
                      <w:lang w:val="en-US"/>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0.189/0.027</w:t>
                  </w:r>
                </w:p>
              </w:tc>
              <w:tc>
                <w:tcPr>
                  <w:tcW w:w="603" w:type="pct"/>
                  <w:noWrap/>
                  <w:vAlign w:val="center"/>
                </w:tcPr>
                <w:p w14:paraId="02F2F94E">
                  <w:pPr>
                    <w:adjustRightInd w:val="0"/>
                    <w:snapToGrid w:val="0"/>
                    <w:jc w:val="center"/>
                    <w:rPr>
                      <w:color w:val="000000" w:themeColor="text1"/>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0</w:t>
                  </w:r>
                </w:p>
              </w:tc>
              <w:tc>
                <w:tcPr>
                  <w:tcW w:w="811" w:type="dxa"/>
                  <w:noWrap/>
                  <w:vAlign w:val="center"/>
                </w:tcPr>
                <w:p w14:paraId="0CDA582B">
                  <w:pPr>
                    <w:jc w:val="center"/>
                    <w:rPr>
                      <w:color w:val="000000" w:themeColor="text1"/>
                      <w:sz w:val="21"/>
                      <w:szCs w:val="21"/>
                      <w:highlight w:val="none"/>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0.189/0.027</w:t>
                  </w:r>
                </w:p>
              </w:tc>
              <w:tc>
                <w:tcPr>
                  <w:tcW w:w="1065" w:type="dxa"/>
                  <w:noWrap/>
                  <w:vAlign w:val="center"/>
                </w:tcPr>
                <w:p w14:paraId="61380BCD">
                  <w:pPr>
                    <w:jc w:val="center"/>
                    <w:rPr>
                      <w:color w:val="000000" w:themeColor="text1"/>
                      <w:sz w:val="21"/>
                      <w:szCs w:val="21"/>
                      <w:highlight w:val="none"/>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+0.189/+0.027</w:t>
                  </w:r>
                </w:p>
              </w:tc>
            </w:tr>
            <w:tr w14:paraId="6AEEA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4" w:type="pct"/>
                  <w:vMerge w:val="continue"/>
                  <w:noWrap/>
                  <w:vAlign w:val="center"/>
                </w:tcPr>
                <w:p w14:paraId="52945C33">
                  <w:pPr>
                    <w:jc w:val="center"/>
                    <w:rPr>
                      <w:color w:val="000000" w:themeColor="text1"/>
                      <w:sz w:val="21"/>
                      <w:szCs w:val="21"/>
                      <w:highlight w:val="none"/>
                      <w14:textFill>
                        <w14:solidFill>
                          <w14:schemeClr w14:val="tx1"/>
                        </w14:solidFill>
                      </w14:textFill>
                    </w:rPr>
                  </w:pPr>
                </w:p>
              </w:tc>
              <w:tc>
                <w:tcPr>
                  <w:tcW w:w="232" w:type="pct"/>
                  <w:vMerge w:val="continue"/>
                  <w:noWrap/>
                  <w:vAlign w:val="center"/>
                </w:tcPr>
                <w:p w14:paraId="22B6615C">
                  <w:pPr>
                    <w:jc w:val="center"/>
                    <w:rPr>
                      <w:color w:val="000000" w:themeColor="text1"/>
                      <w:sz w:val="21"/>
                      <w:szCs w:val="21"/>
                      <w:highlight w:val="none"/>
                      <w14:textFill>
                        <w14:solidFill>
                          <w14:schemeClr w14:val="tx1"/>
                        </w14:solidFill>
                      </w14:textFill>
                    </w:rPr>
                  </w:pPr>
                </w:p>
              </w:tc>
              <w:tc>
                <w:tcPr>
                  <w:tcW w:w="743" w:type="pct"/>
                  <w:noWrap/>
                  <w:vAlign w:val="center"/>
                </w:tcPr>
                <w:p w14:paraId="3FEFD1D3">
                  <w:pPr>
                    <w:jc w:val="center"/>
                    <w:rPr>
                      <w:color w:val="000000" w:themeColor="text1"/>
                      <w:sz w:val="2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BOD</w:t>
                  </w:r>
                  <w:r>
                    <w:rPr>
                      <w:rFonts w:hint="eastAsia"/>
                      <w:color w:val="000000" w:themeColor="text1"/>
                      <w:szCs w:val="21"/>
                      <w:highlight w:val="none"/>
                      <w:vertAlign w:val="subscript"/>
                      <w14:textFill>
                        <w14:solidFill>
                          <w14:schemeClr w14:val="tx1"/>
                        </w14:solidFill>
                      </w14:textFill>
                    </w:rPr>
                    <w:t>5</w:t>
                  </w:r>
                </w:p>
              </w:tc>
              <w:tc>
                <w:tcPr>
                  <w:tcW w:w="707" w:type="pct"/>
                  <w:noWrap/>
                  <w:vAlign w:val="center"/>
                </w:tcPr>
                <w:p w14:paraId="6DE1DA7E">
                  <w:pPr>
                    <w:adjustRightInd w:val="0"/>
                    <w:snapToGrid w:val="0"/>
                    <w:jc w:val="center"/>
                    <w:rPr>
                      <w:rFonts w:hint="eastAsia"/>
                      <w:color w:val="000000" w:themeColor="text1"/>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0</w:t>
                  </w:r>
                </w:p>
              </w:tc>
              <w:tc>
                <w:tcPr>
                  <w:tcW w:w="710" w:type="dxa"/>
                  <w:noWrap/>
                  <w:vAlign w:val="center"/>
                </w:tcPr>
                <w:p w14:paraId="58CFACA6">
                  <w:pPr>
                    <w:jc w:val="center"/>
                    <w:rPr>
                      <w:rFonts w:hint="eastAsia"/>
                      <w:bCs/>
                      <w:color w:val="000000" w:themeColor="text1"/>
                      <w:kern w:val="0"/>
                      <w:sz w:val="21"/>
                      <w:szCs w:val="21"/>
                      <w:highlight w:val="none"/>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0.081</w:t>
                  </w:r>
                </w:p>
              </w:tc>
              <w:tc>
                <w:tcPr>
                  <w:tcW w:w="493" w:type="pct"/>
                  <w:noWrap/>
                  <w:vAlign w:val="center"/>
                </w:tcPr>
                <w:p w14:paraId="6B866C9F">
                  <w:pPr>
                    <w:jc w:val="center"/>
                    <w:rPr>
                      <w:rFonts w:hint="eastAsia" w:eastAsia="宋体"/>
                      <w:bCs/>
                      <w:color w:val="000000" w:themeColor="text1"/>
                      <w:kern w:val="0"/>
                      <w:sz w:val="21"/>
                      <w:szCs w:val="21"/>
                      <w:highlight w:val="none"/>
                      <w:lang w:val="en-US" w:eastAsia="zh-CN"/>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0</w:t>
                  </w:r>
                </w:p>
              </w:tc>
              <w:tc>
                <w:tcPr>
                  <w:tcW w:w="823" w:type="dxa"/>
                  <w:noWrap/>
                  <w:vAlign w:val="center"/>
                </w:tcPr>
                <w:p w14:paraId="3B9FE154">
                  <w:pPr>
                    <w:jc w:val="center"/>
                    <w:rPr>
                      <w:rFonts w:hint="default"/>
                      <w:bCs/>
                      <w:color w:val="000000" w:themeColor="text1"/>
                      <w:kern w:val="0"/>
                      <w:sz w:val="21"/>
                      <w:szCs w:val="21"/>
                      <w:highlight w:val="none"/>
                      <w:lang w:val="en-US"/>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0.081/0.0054</w:t>
                  </w:r>
                </w:p>
              </w:tc>
              <w:tc>
                <w:tcPr>
                  <w:tcW w:w="603" w:type="pct"/>
                  <w:noWrap/>
                  <w:vAlign w:val="center"/>
                </w:tcPr>
                <w:p w14:paraId="59578962">
                  <w:pPr>
                    <w:adjustRightInd w:val="0"/>
                    <w:snapToGrid w:val="0"/>
                    <w:jc w:val="center"/>
                    <w:rPr>
                      <w:rFonts w:hint="eastAsia"/>
                      <w:color w:val="000000" w:themeColor="text1"/>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0</w:t>
                  </w:r>
                </w:p>
              </w:tc>
              <w:tc>
                <w:tcPr>
                  <w:tcW w:w="811" w:type="dxa"/>
                  <w:noWrap/>
                  <w:vAlign w:val="center"/>
                </w:tcPr>
                <w:p w14:paraId="64167529">
                  <w:pPr>
                    <w:jc w:val="center"/>
                    <w:rPr>
                      <w:rFonts w:hint="eastAsia"/>
                      <w:bCs/>
                      <w:color w:val="000000" w:themeColor="text1"/>
                      <w:kern w:val="0"/>
                      <w:sz w:val="21"/>
                      <w:szCs w:val="21"/>
                      <w:highlight w:val="none"/>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0.081/0.0054</w:t>
                  </w:r>
                </w:p>
              </w:tc>
              <w:tc>
                <w:tcPr>
                  <w:tcW w:w="1065" w:type="dxa"/>
                  <w:noWrap/>
                  <w:vAlign w:val="center"/>
                </w:tcPr>
                <w:p w14:paraId="40B4566D">
                  <w:pPr>
                    <w:jc w:val="center"/>
                    <w:rPr>
                      <w:rFonts w:hint="eastAsia"/>
                      <w:bCs/>
                      <w:color w:val="000000" w:themeColor="text1"/>
                      <w:kern w:val="0"/>
                      <w:sz w:val="21"/>
                      <w:szCs w:val="21"/>
                      <w:highlight w:val="none"/>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+0.081/+0.0054</w:t>
                  </w:r>
                </w:p>
              </w:tc>
            </w:tr>
            <w:tr w14:paraId="6BDA6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4" w:type="pct"/>
                  <w:vMerge w:val="continue"/>
                  <w:noWrap/>
                  <w:vAlign w:val="center"/>
                </w:tcPr>
                <w:p w14:paraId="5BECBC97">
                  <w:pPr>
                    <w:jc w:val="center"/>
                    <w:rPr>
                      <w:color w:val="000000" w:themeColor="text1"/>
                      <w:sz w:val="21"/>
                      <w:szCs w:val="21"/>
                      <w:highlight w:val="none"/>
                      <w14:textFill>
                        <w14:solidFill>
                          <w14:schemeClr w14:val="tx1"/>
                        </w14:solidFill>
                      </w14:textFill>
                    </w:rPr>
                  </w:pPr>
                </w:p>
              </w:tc>
              <w:tc>
                <w:tcPr>
                  <w:tcW w:w="232" w:type="pct"/>
                  <w:vMerge w:val="continue"/>
                  <w:noWrap/>
                  <w:vAlign w:val="center"/>
                </w:tcPr>
                <w:p w14:paraId="28332D21">
                  <w:pPr>
                    <w:jc w:val="center"/>
                    <w:rPr>
                      <w:color w:val="000000" w:themeColor="text1"/>
                      <w:sz w:val="21"/>
                      <w:szCs w:val="21"/>
                      <w:highlight w:val="none"/>
                      <w14:textFill>
                        <w14:solidFill>
                          <w14:schemeClr w14:val="tx1"/>
                        </w14:solidFill>
                      </w14:textFill>
                    </w:rPr>
                  </w:pPr>
                </w:p>
              </w:tc>
              <w:tc>
                <w:tcPr>
                  <w:tcW w:w="743" w:type="pct"/>
                  <w:noWrap/>
                  <w:vAlign w:val="center"/>
                </w:tcPr>
                <w:p w14:paraId="3F38A997">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SS</w:t>
                  </w:r>
                </w:p>
              </w:tc>
              <w:tc>
                <w:tcPr>
                  <w:tcW w:w="707" w:type="pct"/>
                  <w:noWrap/>
                  <w:vAlign w:val="center"/>
                </w:tcPr>
                <w:p w14:paraId="67BA1483">
                  <w:pPr>
                    <w:adjustRightInd w:val="0"/>
                    <w:snapToGrid w:val="0"/>
                    <w:jc w:val="center"/>
                    <w:rPr>
                      <w:color w:val="000000" w:themeColor="text1"/>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0</w:t>
                  </w:r>
                </w:p>
              </w:tc>
              <w:tc>
                <w:tcPr>
                  <w:tcW w:w="710" w:type="dxa"/>
                  <w:noWrap/>
                  <w:vAlign w:val="center"/>
                </w:tcPr>
                <w:p w14:paraId="1F7DF8C8">
                  <w:pPr>
                    <w:jc w:val="center"/>
                    <w:rPr>
                      <w:color w:val="000000" w:themeColor="text1"/>
                      <w:sz w:val="21"/>
                      <w:szCs w:val="21"/>
                      <w:highlight w:val="none"/>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0.108</w:t>
                  </w:r>
                </w:p>
              </w:tc>
              <w:tc>
                <w:tcPr>
                  <w:tcW w:w="493" w:type="pct"/>
                  <w:noWrap/>
                  <w:vAlign w:val="center"/>
                </w:tcPr>
                <w:p w14:paraId="29E5C8AE">
                  <w:pPr>
                    <w:jc w:val="center"/>
                    <w:rPr>
                      <w:color w:val="000000" w:themeColor="text1"/>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0</w:t>
                  </w:r>
                </w:p>
              </w:tc>
              <w:tc>
                <w:tcPr>
                  <w:tcW w:w="823" w:type="dxa"/>
                  <w:noWrap/>
                  <w:vAlign w:val="center"/>
                </w:tcPr>
                <w:p w14:paraId="601683B5">
                  <w:pPr>
                    <w:jc w:val="center"/>
                    <w:rPr>
                      <w:rFonts w:hint="default"/>
                      <w:color w:val="000000" w:themeColor="text1"/>
                      <w:sz w:val="21"/>
                      <w:szCs w:val="21"/>
                      <w:highlight w:val="none"/>
                      <w:lang w:val="en-US"/>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0.108/0.0054</w:t>
                  </w:r>
                </w:p>
              </w:tc>
              <w:tc>
                <w:tcPr>
                  <w:tcW w:w="603" w:type="pct"/>
                  <w:noWrap/>
                  <w:vAlign w:val="center"/>
                </w:tcPr>
                <w:p w14:paraId="1C88BD06">
                  <w:pPr>
                    <w:adjustRightInd w:val="0"/>
                    <w:snapToGrid w:val="0"/>
                    <w:jc w:val="center"/>
                    <w:rPr>
                      <w:color w:val="000000" w:themeColor="text1"/>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0</w:t>
                  </w:r>
                </w:p>
              </w:tc>
              <w:tc>
                <w:tcPr>
                  <w:tcW w:w="811" w:type="dxa"/>
                  <w:noWrap/>
                  <w:vAlign w:val="center"/>
                </w:tcPr>
                <w:p w14:paraId="219CBCA2">
                  <w:pPr>
                    <w:jc w:val="center"/>
                    <w:rPr>
                      <w:color w:val="000000" w:themeColor="text1"/>
                      <w:sz w:val="21"/>
                      <w:szCs w:val="21"/>
                      <w:highlight w:val="none"/>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0.108/0.0054</w:t>
                  </w:r>
                </w:p>
              </w:tc>
              <w:tc>
                <w:tcPr>
                  <w:tcW w:w="1065" w:type="dxa"/>
                  <w:noWrap/>
                  <w:vAlign w:val="center"/>
                </w:tcPr>
                <w:p w14:paraId="334645E0">
                  <w:pPr>
                    <w:jc w:val="center"/>
                    <w:rPr>
                      <w:color w:val="000000" w:themeColor="text1"/>
                      <w:sz w:val="21"/>
                      <w:szCs w:val="21"/>
                      <w:highlight w:val="none"/>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+0.108/+0.0054</w:t>
                  </w:r>
                </w:p>
              </w:tc>
            </w:tr>
            <w:tr w14:paraId="0DBFB3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4" w:type="pct"/>
                  <w:vMerge w:val="continue"/>
                  <w:noWrap/>
                  <w:vAlign w:val="center"/>
                </w:tcPr>
                <w:p w14:paraId="3DDE328F">
                  <w:pPr>
                    <w:jc w:val="center"/>
                    <w:rPr>
                      <w:color w:val="000000" w:themeColor="text1"/>
                      <w:sz w:val="21"/>
                      <w:szCs w:val="21"/>
                      <w:highlight w:val="none"/>
                      <w14:textFill>
                        <w14:solidFill>
                          <w14:schemeClr w14:val="tx1"/>
                        </w14:solidFill>
                      </w14:textFill>
                    </w:rPr>
                  </w:pPr>
                </w:p>
              </w:tc>
              <w:tc>
                <w:tcPr>
                  <w:tcW w:w="232" w:type="pct"/>
                  <w:vMerge w:val="continue"/>
                  <w:noWrap/>
                  <w:vAlign w:val="center"/>
                </w:tcPr>
                <w:p w14:paraId="646927DE">
                  <w:pPr>
                    <w:jc w:val="center"/>
                    <w:rPr>
                      <w:color w:val="000000" w:themeColor="text1"/>
                      <w:sz w:val="21"/>
                      <w:szCs w:val="21"/>
                      <w:highlight w:val="none"/>
                      <w14:textFill>
                        <w14:solidFill>
                          <w14:schemeClr w14:val="tx1"/>
                        </w14:solidFill>
                      </w14:textFill>
                    </w:rPr>
                  </w:pPr>
                </w:p>
              </w:tc>
              <w:tc>
                <w:tcPr>
                  <w:tcW w:w="743" w:type="pct"/>
                  <w:noWrap/>
                  <w:vAlign w:val="center"/>
                </w:tcPr>
                <w:p w14:paraId="530C3CE2">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NH</w:t>
                  </w:r>
                  <w:r>
                    <w:rPr>
                      <w:rFonts w:hint="eastAsia"/>
                      <w:color w:val="000000" w:themeColor="text1"/>
                      <w:sz w:val="21"/>
                      <w:szCs w:val="21"/>
                      <w:highlight w:val="none"/>
                      <w:vertAlign w:val="sub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-N</w:t>
                  </w:r>
                </w:p>
              </w:tc>
              <w:tc>
                <w:tcPr>
                  <w:tcW w:w="707" w:type="pct"/>
                  <w:noWrap/>
                  <w:vAlign w:val="center"/>
                </w:tcPr>
                <w:p w14:paraId="54ABD32A">
                  <w:pPr>
                    <w:adjustRightInd w:val="0"/>
                    <w:snapToGrid w:val="0"/>
                    <w:jc w:val="center"/>
                    <w:rPr>
                      <w:color w:val="000000" w:themeColor="text1"/>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0</w:t>
                  </w:r>
                </w:p>
              </w:tc>
              <w:tc>
                <w:tcPr>
                  <w:tcW w:w="710" w:type="dxa"/>
                  <w:noWrap/>
                  <w:vAlign w:val="center"/>
                </w:tcPr>
                <w:p w14:paraId="6F445434">
                  <w:pPr>
                    <w:jc w:val="center"/>
                    <w:rPr>
                      <w:color w:val="000000" w:themeColor="text1"/>
                      <w:sz w:val="21"/>
                      <w:szCs w:val="21"/>
                      <w:highlight w:val="none"/>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0.0162</w:t>
                  </w:r>
                </w:p>
              </w:tc>
              <w:tc>
                <w:tcPr>
                  <w:tcW w:w="493" w:type="pct"/>
                  <w:noWrap/>
                  <w:vAlign w:val="center"/>
                </w:tcPr>
                <w:p w14:paraId="64EE44FC">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823" w:type="dxa"/>
                  <w:noWrap/>
                  <w:vAlign w:val="center"/>
                </w:tcPr>
                <w:p w14:paraId="28F4E9CB">
                  <w:pPr>
                    <w:jc w:val="center"/>
                    <w:rPr>
                      <w:rFonts w:hint="default"/>
                      <w:color w:val="000000" w:themeColor="text1"/>
                      <w:sz w:val="21"/>
                      <w:szCs w:val="21"/>
                      <w:highlight w:val="none"/>
                      <w:lang w:val="en-US"/>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0.0162/0.0022</w:t>
                  </w:r>
                </w:p>
              </w:tc>
              <w:tc>
                <w:tcPr>
                  <w:tcW w:w="603" w:type="pct"/>
                  <w:noWrap/>
                  <w:vAlign w:val="center"/>
                </w:tcPr>
                <w:p w14:paraId="4C88221B">
                  <w:pPr>
                    <w:adjustRightInd w:val="0"/>
                    <w:snapToGrid w:val="0"/>
                    <w:jc w:val="center"/>
                    <w:rPr>
                      <w:color w:val="000000" w:themeColor="text1"/>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0</w:t>
                  </w:r>
                </w:p>
              </w:tc>
              <w:tc>
                <w:tcPr>
                  <w:tcW w:w="811" w:type="dxa"/>
                  <w:noWrap/>
                  <w:vAlign w:val="center"/>
                </w:tcPr>
                <w:p w14:paraId="6C11CAA7">
                  <w:pPr>
                    <w:jc w:val="center"/>
                    <w:rPr>
                      <w:color w:val="000000" w:themeColor="text1"/>
                      <w:sz w:val="21"/>
                      <w:szCs w:val="21"/>
                      <w:highlight w:val="none"/>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0.0162/0.0022</w:t>
                  </w:r>
                </w:p>
              </w:tc>
              <w:tc>
                <w:tcPr>
                  <w:tcW w:w="1065" w:type="dxa"/>
                  <w:noWrap/>
                  <w:vAlign w:val="center"/>
                </w:tcPr>
                <w:p w14:paraId="56DD17F9">
                  <w:pPr>
                    <w:jc w:val="center"/>
                    <w:rPr>
                      <w:color w:val="000000" w:themeColor="text1"/>
                      <w:sz w:val="21"/>
                      <w:szCs w:val="21"/>
                      <w:highlight w:val="none"/>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+0.0162/+0.0022</w:t>
                  </w:r>
                </w:p>
              </w:tc>
            </w:tr>
            <w:tr w14:paraId="3BDD94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4" w:type="pct"/>
                  <w:vMerge w:val="continue"/>
                  <w:noWrap/>
                  <w:vAlign w:val="center"/>
                </w:tcPr>
                <w:p w14:paraId="548372EC">
                  <w:pPr>
                    <w:jc w:val="center"/>
                    <w:rPr>
                      <w:color w:val="000000" w:themeColor="text1"/>
                      <w:sz w:val="21"/>
                      <w:szCs w:val="21"/>
                      <w:highlight w:val="none"/>
                      <w14:textFill>
                        <w14:solidFill>
                          <w14:schemeClr w14:val="tx1"/>
                        </w14:solidFill>
                      </w14:textFill>
                    </w:rPr>
                  </w:pPr>
                </w:p>
              </w:tc>
              <w:tc>
                <w:tcPr>
                  <w:tcW w:w="232" w:type="pct"/>
                  <w:vMerge w:val="continue"/>
                  <w:noWrap/>
                  <w:vAlign w:val="center"/>
                </w:tcPr>
                <w:p w14:paraId="36B30D2C">
                  <w:pPr>
                    <w:jc w:val="center"/>
                    <w:rPr>
                      <w:color w:val="000000" w:themeColor="text1"/>
                      <w:sz w:val="21"/>
                      <w:szCs w:val="21"/>
                      <w:highlight w:val="none"/>
                      <w14:textFill>
                        <w14:solidFill>
                          <w14:schemeClr w14:val="tx1"/>
                        </w14:solidFill>
                      </w14:textFill>
                    </w:rPr>
                  </w:pPr>
                </w:p>
              </w:tc>
              <w:tc>
                <w:tcPr>
                  <w:tcW w:w="743" w:type="pct"/>
                  <w:noWrap/>
                  <w:vAlign w:val="center"/>
                </w:tcPr>
                <w:p w14:paraId="11957CD4">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TP</w:t>
                  </w:r>
                </w:p>
              </w:tc>
              <w:tc>
                <w:tcPr>
                  <w:tcW w:w="707" w:type="pct"/>
                  <w:noWrap/>
                  <w:vAlign w:val="center"/>
                </w:tcPr>
                <w:p w14:paraId="446606B5">
                  <w:pPr>
                    <w:adjustRightInd w:val="0"/>
                    <w:snapToGrid w:val="0"/>
                    <w:jc w:val="center"/>
                    <w:rPr>
                      <w:color w:val="000000" w:themeColor="text1"/>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0</w:t>
                  </w:r>
                </w:p>
              </w:tc>
              <w:tc>
                <w:tcPr>
                  <w:tcW w:w="710" w:type="dxa"/>
                  <w:noWrap/>
                  <w:vAlign w:val="center"/>
                </w:tcPr>
                <w:p w14:paraId="1D53E3E4">
                  <w:pPr>
                    <w:jc w:val="center"/>
                    <w:rPr>
                      <w:color w:val="000000" w:themeColor="text1"/>
                      <w:sz w:val="21"/>
                      <w:szCs w:val="21"/>
                      <w:highlight w:val="none"/>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0.0032</w:t>
                  </w:r>
                </w:p>
              </w:tc>
              <w:tc>
                <w:tcPr>
                  <w:tcW w:w="493" w:type="pct"/>
                  <w:noWrap/>
                  <w:vAlign w:val="center"/>
                </w:tcPr>
                <w:p w14:paraId="17BC0CC4">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823" w:type="dxa"/>
                  <w:noWrap/>
                  <w:vAlign w:val="center"/>
                </w:tcPr>
                <w:p w14:paraId="1124C7A1">
                  <w:pPr>
                    <w:jc w:val="center"/>
                    <w:rPr>
                      <w:rFonts w:hint="default"/>
                      <w:color w:val="000000" w:themeColor="text1"/>
                      <w:sz w:val="21"/>
                      <w:szCs w:val="21"/>
                      <w:highlight w:val="none"/>
                      <w:lang w:val="en-US"/>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0.0032/0.0003</w:t>
                  </w:r>
                </w:p>
              </w:tc>
              <w:tc>
                <w:tcPr>
                  <w:tcW w:w="603" w:type="pct"/>
                  <w:noWrap/>
                  <w:vAlign w:val="center"/>
                </w:tcPr>
                <w:p w14:paraId="30866528">
                  <w:pPr>
                    <w:adjustRightInd w:val="0"/>
                    <w:snapToGrid w:val="0"/>
                    <w:jc w:val="center"/>
                    <w:rPr>
                      <w:color w:val="000000" w:themeColor="text1"/>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0</w:t>
                  </w:r>
                </w:p>
              </w:tc>
              <w:tc>
                <w:tcPr>
                  <w:tcW w:w="811" w:type="dxa"/>
                  <w:noWrap/>
                  <w:vAlign w:val="center"/>
                </w:tcPr>
                <w:p w14:paraId="609D3860">
                  <w:pPr>
                    <w:jc w:val="center"/>
                    <w:rPr>
                      <w:color w:val="000000" w:themeColor="text1"/>
                      <w:sz w:val="21"/>
                      <w:szCs w:val="21"/>
                      <w:highlight w:val="none"/>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0.0032/0.0003</w:t>
                  </w:r>
                </w:p>
              </w:tc>
              <w:tc>
                <w:tcPr>
                  <w:tcW w:w="1065" w:type="dxa"/>
                  <w:noWrap/>
                  <w:vAlign w:val="center"/>
                </w:tcPr>
                <w:p w14:paraId="25CED81D">
                  <w:pPr>
                    <w:jc w:val="center"/>
                    <w:rPr>
                      <w:color w:val="000000" w:themeColor="text1"/>
                      <w:sz w:val="21"/>
                      <w:szCs w:val="21"/>
                      <w:highlight w:val="none"/>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+0.0032/+0.0003</w:t>
                  </w:r>
                </w:p>
              </w:tc>
            </w:tr>
            <w:tr w14:paraId="35DCC2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4" w:type="pct"/>
                  <w:vMerge w:val="continue"/>
                  <w:noWrap/>
                  <w:vAlign w:val="center"/>
                </w:tcPr>
                <w:p w14:paraId="1DC60C33">
                  <w:pPr>
                    <w:jc w:val="center"/>
                    <w:rPr>
                      <w:color w:val="000000" w:themeColor="text1"/>
                      <w:sz w:val="21"/>
                      <w:szCs w:val="21"/>
                      <w:highlight w:val="none"/>
                      <w14:textFill>
                        <w14:solidFill>
                          <w14:schemeClr w14:val="tx1"/>
                        </w14:solidFill>
                      </w14:textFill>
                    </w:rPr>
                  </w:pPr>
                </w:p>
              </w:tc>
              <w:tc>
                <w:tcPr>
                  <w:tcW w:w="232" w:type="pct"/>
                  <w:vMerge w:val="continue"/>
                  <w:noWrap/>
                  <w:vAlign w:val="center"/>
                </w:tcPr>
                <w:p w14:paraId="5110F10B">
                  <w:pPr>
                    <w:jc w:val="center"/>
                    <w:rPr>
                      <w:color w:val="000000" w:themeColor="text1"/>
                      <w:sz w:val="21"/>
                      <w:szCs w:val="21"/>
                      <w:highlight w:val="none"/>
                      <w14:textFill>
                        <w14:solidFill>
                          <w14:schemeClr w14:val="tx1"/>
                        </w14:solidFill>
                      </w14:textFill>
                    </w:rPr>
                  </w:pPr>
                </w:p>
              </w:tc>
              <w:tc>
                <w:tcPr>
                  <w:tcW w:w="743" w:type="pct"/>
                  <w:noWrap/>
                  <w:vAlign w:val="center"/>
                </w:tcPr>
                <w:p w14:paraId="36120C93">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TN</w:t>
                  </w:r>
                </w:p>
              </w:tc>
              <w:tc>
                <w:tcPr>
                  <w:tcW w:w="707" w:type="pct"/>
                  <w:noWrap/>
                  <w:vAlign w:val="center"/>
                </w:tcPr>
                <w:p w14:paraId="5E0DD74F">
                  <w:pPr>
                    <w:widowControl/>
                    <w:spacing w:line="320" w:lineRule="exact"/>
                    <w:jc w:val="center"/>
                    <w:rPr>
                      <w:color w:val="000000" w:themeColor="text1"/>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0</w:t>
                  </w:r>
                </w:p>
              </w:tc>
              <w:tc>
                <w:tcPr>
                  <w:tcW w:w="710" w:type="dxa"/>
                  <w:noWrap/>
                  <w:vAlign w:val="center"/>
                </w:tcPr>
                <w:p w14:paraId="19BFE6F2">
                  <w:pPr>
                    <w:jc w:val="center"/>
                    <w:rPr>
                      <w:color w:val="000000" w:themeColor="text1"/>
                      <w:sz w:val="21"/>
                      <w:szCs w:val="21"/>
                      <w:highlight w:val="none"/>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0.0216</w:t>
                  </w:r>
                </w:p>
              </w:tc>
              <w:tc>
                <w:tcPr>
                  <w:tcW w:w="493" w:type="pct"/>
                  <w:noWrap/>
                  <w:vAlign w:val="center"/>
                </w:tcPr>
                <w:p w14:paraId="544BCC03">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823" w:type="dxa"/>
                  <w:noWrap/>
                  <w:vAlign w:val="center"/>
                </w:tcPr>
                <w:p w14:paraId="7EED110C">
                  <w:pPr>
                    <w:jc w:val="center"/>
                    <w:rPr>
                      <w:rFonts w:hint="default"/>
                      <w:color w:val="000000" w:themeColor="text1"/>
                      <w:kern w:val="0"/>
                      <w:sz w:val="21"/>
                      <w:szCs w:val="21"/>
                      <w:highlight w:val="none"/>
                      <w:lang w:val="en-US"/>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0.0216/0.0065</w:t>
                  </w:r>
                </w:p>
              </w:tc>
              <w:tc>
                <w:tcPr>
                  <w:tcW w:w="603" w:type="pct"/>
                  <w:noWrap/>
                  <w:vAlign w:val="center"/>
                </w:tcPr>
                <w:p w14:paraId="66558930">
                  <w:pPr>
                    <w:widowControl/>
                    <w:spacing w:line="320" w:lineRule="exact"/>
                    <w:jc w:val="center"/>
                    <w:rPr>
                      <w:color w:val="000000" w:themeColor="text1"/>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0</w:t>
                  </w:r>
                </w:p>
              </w:tc>
              <w:tc>
                <w:tcPr>
                  <w:tcW w:w="811" w:type="dxa"/>
                  <w:noWrap/>
                  <w:vAlign w:val="center"/>
                </w:tcPr>
                <w:p w14:paraId="652C5E74">
                  <w:pPr>
                    <w:jc w:val="center"/>
                    <w:rPr>
                      <w:color w:val="000000" w:themeColor="text1"/>
                      <w:sz w:val="21"/>
                      <w:szCs w:val="21"/>
                      <w:highlight w:val="none"/>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0.0216/0.0065</w:t>
                  </w:r>
                </w:p>
              </w:tc>
              <w:tc>
                <w:tcPr>
                  <w:tcW w:w="1065" w:type="dxa"/>
                  <w:noWrap/>
                  <w:vAlign w:val="center"/>
                </w:tcPr>
                <w:p w14:paraId="61807F72">
                  <w:pPr>
                    <w:jc w:val="center"/>
                    <w:rPr>
                      <w:color w:val="000000" w:themeColor="text1"/>
                      <w:kern w:val="0"/>
                      <w:sz w:val="21"/>
                      <w:szCs w:val="21"/>
                      <w:highlight w:val="none"/>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+0.0216/+0.0065</w:t>
                  </w:r>
                </w:p>
              </w:tc>
            </w:tr>
            <w:tr w14:paraId="388E96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6" w:type="pct"/>
                  <w:gridSpan w:val="2"/>
                  <w:vMerge w:val="restart"/>
                  <w:noWrap/>
                  <w:vAlign w:val="center"/>
                </w:tcPr>
                <w:p w14:paraId="520AC5FB">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固废</w:t>
                  </w:r>
                </w:p>
              </w:tc>
              <w:tc>
                <w:tcPr>
                  <w:tcW w:w="743" w:type="pct"/>
                  <w:noWrap/>
                  <w:vAlign w:val="center"/>
                </w:tcPr>
                <w:p w14:paraId="030ED698">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一般工业固废</w:t>
                  </w:r>
                </w:p>
              </w:tc>
              <w:tc>
                <w:tcPr>
                  <w:tcW w:w="707" w:type="pct"/>
                  <w:noWrap/>
                  <w:vAlign w:val="center"/>
                </w:tcPr>
                <w:p w14:paraId="001F7AA6">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421" w:type="pct"/>
                  <w:noWrap/>
                  <w:vAlign w:val="center"/>
                </w:tcPr>
                <w:p w14:paraId="5929C5BF">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10.32</w:t>
                  </w:r>
                </w:p>
              </w:tc>
              <w:tc>
                <w:tcPr>
                  <w:tcW w:w="493" w:type="pct"/>
                  <w:noWrap/>
                  <w:vAlign w:val="center"/>
                </w:tcPr>
                <w:p w14:paraId="36C9C032">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10.32</w:t>
                  </w:r>
                </w:p>
              </w:tc>
              <w:tc>
                <w:tcPr>
                  <w:tcW w:w="489" w:type="pct"/>
                  <w:noWrap/>
                  <w:vAlign w:val="center"/>
                </w:tcPr>
                <w:p w14:paraId="5FBD8373">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603" w:type="pct"/>
                  <w:noWrap/>
                  <w:vAlign w:val="center"/>
                </w:tcPr>
                <w:p w14:paraId="046597FC">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481" w:type="pct"/>
                  <w:noWrap/>
                  <w:vAlign w:val="center"/>
                </w:tcPr>
                <w:p w14:paraId="02968FBB">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632" w:type="pct"/>
                  <w:noWrap/>
                  <w:vAlign w:val="center"/>
                </w:tcPr>
                <w:p w14:paraId="38C2CB8F">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r>
            <w:tr w14:paraId="53ADD1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6" w:type="pct"/>
                  <w:gridSpan w:val="2"/>
                  <w:vMerge w:val="continue"/>
                  <w:noWrap/>
                  <w:vAlign w:val="center"/>
                </w:tcPr>
                <w:p w14:paraId="44A4AD65">
                  <w:pPr>
                    <w:jc w:val="center"/>
                    <w:rPr>
                      <w:color w:val="000000" w:themeColor="text1"/>
                      <w:sz w:val="21"/>
                      <w:szCs w:val="21"/>
                      <w:highlight w:val="none"/>
                      <w14:textFill>
                        <w14:solidFill>
                          <w14:schemeClr w14:val="tx1"/>
                        </w14:solidFill>
                      </w14:textFill>
                    </w:rPr>
                  </w:pPr>
                </w:p>
              </w:tc>
              <w:tc>
                <w:tcPr>
                  <w:tcW w:w="743" w:type="pct"/>
                  <w:noWrap/>
                  <w:vAlign w:val="center"/>
                </w:tcPr>
                <w:p w14:paraId="17E92462">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危险废物</w:t>
                  </w:r>
                </w:p>
              </w:tc>
              <w:tc>
                <w:tcPr>
                  <w:tcW w:w="707" w:type="pct"/>
                  <w:noWrap/>
                  <w:vAlign w:val="center"/>
                </w:tcPr>
                <w:p w14:paraId="7CBD387B">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421" w:type="pct"/>
                  <w:noWrap/>
                  <w:vAlign w:val="center"/>
                </w:tcPr>
                <w:p w14:paraId="7315FB03">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7.52</w:t>
                  </w:r>
                </w:p>
              </w:tc>
              <w:tc>
                <w:tcPr>
                  <w:tcW w:w="493" w:type="pct"/>
                  <w:noWrap/>
                  <w:vAlign w:val="center"/>
                </w:tcPr>
                <w:p w14:paraId="3B15C92F">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7.52</w:t>
                  </w:r>
                </w:p>
              </w:tc>
              <w:tc>
                <w:tcPr>
                  <w:tcW w:w="489" w:type="pct"/>
                  <w:noWrap/>
                  <w:vAlign w:val="center"/>
                </w:tcPr>
                <w:p w14:paraId="679D6440">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603" w:type="pct"/>
                  <w:noWrap/>
                  <w:vAlign w:val="center"/>
                </w:tcPr>
                <w:p w14:paraId="50C645CA">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481" w:type="pct"/>
                  <w:noWrap/>
                  <w:vAlign w:val="center"/>
                </w:tcPr>
                <w:p w14:paraId="38CD90EC">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632" w:type="pct"/>
                  <w:noWrap/>
                  <w:vAlign w:val="center"/>
                </w:tcPr>
                <w:p w14:paraId="424F5E09">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r>
            <w:tr w14:paraId="6EB49F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6" w:type="pct"/>
                  <w:gridSpan w:val="2"/>
                  <w:vMerge w:val="continue"/>
                  <w:noWrap/>
                  <w:vAlign w:val="center"/>
                </w:tcPr>
                <w:p w14:paraId="4E169FC9">
                  <w:pPr>
                    <w:jc w:val="center"/>
                    <w:rPr>
                      <w:color w:val="000000" w:themeColor="text1"/>
                      <w:sz w:val="21"/>
                      <w:szCs w:val="21"/>
                      <w:highlight w:val="none"/>
                      <w14:textFill>
                        <w14:solidFill>
                          <w14:schemeClr w14:val="tx1"/>
                        </w14:solidFill>
                      </w14:textFill>
                    </w:rPr>
                  </w:pPr>
                </w:p>
              </w:tc>
              <w:tc>
                <w:tcPr>
                  <w:tcW w:w="743" w:type="pct"/>
                  <w:noWrap/>
                  <w:vAlign w:val="center"/>
                </w:tcPr>
                <w:p w14:paraId="7D8731A5">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生活垃圾</w:t>
                  </w:r>
                </w:p>
              </w:tc>
              <w:tc>
                <w:tcPr>
                  <w:tcW w:w="707" w:type="pct"/>
                  <w:noWrap/>
                  <w:vAlign w:val="center"/>
                </w:tcPr>
                <w:p w14:paraId="06849967">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421" w:type="pct"/>
                  <w:noWrap/>
                  <w:vAlign w:val="center"/>
                </w:tcPr>
                <w:p w14:paraId="047BD62C">
                  <w:pPr>
                    <w:jc w:val="center"/>
                    <w:rPr>
                      <w:color w:val="000000" w:themeColor="text1"/>
                      <w:sz w:val="21"/>
                      <w:szCs w:val="21"/>
                      <w:highlight w:val="none"/>
                      <w14:textFill>
                        <w14:solidFill>
                          <w14:schemeClr w14:val="tx1"/>
                        </w14:solidFill>
                      </w14:textFill>
                    </w:rPr>
                  </w:pPr>
                  <w:r>
                    <w:rPr>
                      <w:rFonts w:hint="eastAsia"/>
                      <w:color w:val="000000" w:themeColor="text1"/>
                      <w:szCs w:val="21"/>
                      <w:lang w:val="en-US" w:eastAsia="zh-CN"/>
                      <w14:textFill>
                        <w14:solidFill>
                          <w14:schemeClr w14:val="tx1"/>
                        </w14:solidFill>
                      </w14:textFill>
                    </w:rPr>
                    <w:t>6.75</w:t>
                  </w:r>
                </w:p>
              </w:tc>
              <w:tc>
                <w:tcPr>
                  <w:tcW w:w="493" w:type="pct"/>
                  <w:noWrap/>
                  <w:vAlign w:val="center"/>
                </w:tcPr>
                <w:p w14:paraId="7464BD84">
                  <w:pPr>
                    <w:jc w:val="center"/>
                    <w:rPr>
                      <w:color w:val="000000" w:themeColor="text1"/>
                      <w:sz w:val="21"/>
                      <w:szCs w:val="21"/>
                      <w:highlight w:val="none"/>
                      <w14:textFill>
                        <w14:solidFill>
                          <w14:schemeClr w14:val="tx1"/>
                        </w14:solidFill>
                      </w14:textFill>
                    </w:rPr>
                  </w:pPr>
                  <w:r>
                    <w:rPr>
                      <w:rFonts w:hint="eastAsia"/>
                      <w:color w:val="000000" w:themeColor="text1"/>
                      <w:szCs w:val="21"/>
                      <w:lang w:val="en-US" w:eastAsia="zh-CN"/>
                      <w14:textFill>
                        <w14:solidFill>
                          <w14:schemeClr w14:val="tx1"/>
                        </w14:solidFill>
                      </w14:textFill>
                    </w:rPr>
                    <w:t>6.75</w:t>
                  </w:r>
                </w:p>
              </w:tc>
              <w:tc>
                <w:tcPr>
                  <w:tcW w:w="489" w:type="pct"/>
                  <w:noWrap/>
                  <w:vAlign w:val="center"/>
                </w:tcPr>
                <w:p w14:paraId="7BDE14A1">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603" w:type="pct"/>
                  <w:noWrap/>
                  <w:vAlign w:val="center"/>
                </w:tcPr>
                <w:p w14:paraId="6B199D19">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481" w:type="pct"/>
                  <w:noWrap/>
                  <w:vAlign w:val="center"/>
                </w:tcPr>
                <w:p w14:paraId="260C4A1D">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632" w:type="pct"/>
                  <w:noWrap/>
                  <w:vAlign w:val="center"/>
                </w:tcPr>
                <w:p w14:paraId="3E32AB9D">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r>
          </w:tbl>
          <w:p w14:paraId="3B0FF366">
            <w:pPr>
              <w:spacing w:line="420" w:lineRule="exact"/>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说明：</w:t>
            </w:r>
            <w:r>
              <w:rPr>
                <w:rFonts w:hint="eastAsia"/>
                <w:snapToGrid w:val="0"/>
                <w:color w:val="000000" w:themeColor="text1"/>
                <w:spacing w:val="-16"/>
                <w:kern w:val="21"/>
                <w:szCs w:val="21"/>
                <w:highlight w:val="none"/>
                <w14:textFill>
                  <w14:solidFill>
                    <w14:schemeClr w14:val="tx1"/>
                  </w14:solidFill>
                </w14:textFill>
              </w:rPr>
              <w:t>“/”前数据为接管量，“/”后数据为排入外环境量。</w:t>
            </w:r>
          </w:p>
          <w:p w14:paraId="049FCDB0">
            <w:pPr>
              <w:spacing w:line="42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废气：</w:t>
            </w:r>
            <w:r>
              <w:rPr>
                <w:rFonts w:hint="eastAsia"/>
                <w:bCs/>
                <w:color w:val="000000" w:themeColor="text1"/>
                <w:szCs w:val="21"/>
                <w14:textFill>
                  <w14:solidFill>
                    <w14:schemeClr w14:val="tx1"/>
                  </w14:solidFill>
                </w14:textFill>
              </w:rPr>
              <w:t>本</w:t>
            </w:r>
            <w:r>
              <w:rPr>
                <w:bCs/>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VOCs（以非甲烷总烃计）</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颗粒物</w:t>
            </w:r>
            <w:r>
              <w:rPr>
                <w:bCs/>
                <w:color w:val="000000" w:themeColor="text1"/>
                <w:szCs w:val="21"/>
                <w14:textFill>
                  <w14:solidFill>
                    <w14:schemeClr w14:val="tx1"/>
                  </w14:solidFill>
                </w14:textFill>
              </w:rPr>
              <w:t>在</w:t>
            </w:r>
            <w:r>
              <w:rPr>
                <w:rFonts w:hint="eastAsia"/>
                <w:bCs/>
                <w:color w:val="000000" w:themeColor="text1"/>
                <w:szCs w:val="21"/>
                <w14:textFill>
                  <w14:solidFill>
                    <w14:schemeClr w14:val="tx1"/>
                  </w14:solidFill>
                </w14:textFill>
              </w:rPr>
              <w:t>常熟高新技术开发区</w:t>
            </w:r>
            <w:r>
              <w:rPr>
                <w:bCs/>
                <w:color w:val="000000" w:themeColor="text1"/>
                <w:szCs w:val="21"/>
                <w14:textFill>
                  <w14:solidFill>
                    <w14:schemeClr w14:val="tx1"/>
                  </w14:solidFill>
                </w14:textFill>
              </w:rPr>
              <w:t>内平衡</w:t>
            </w:r>
            <w:r>
              <w:rPr>
                <w:bCs/>
                <w:color w:val="000000" w:themeColor="text1"/>
                <w:kern w:val="0"/>
                <w:szCs w:val="21"/>
                <w14:textFill>
                  <w14:solidFill>
                    <w14:schemeClr w14:val="tx1"/>
                  </w14:solidFill>
                </w14:textFill>
              </w:rPr>
              <w:t>。</w:t>
            </w:r>
          </w:p>
          <w:p w14:paraId="4A67A36C">
            <w:pPr>
              <w:spacing w:line="42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废水：</w:t>
            </w:r>
            <w:r>
              <w:rPr>
                <w:rFonts w:hint="eastAsia"/>
                <w:bCs/>
                <w:color w:val="000000" w:themeColor="text1"/>
                <w:szCs w:val="21"/>
                <w:lang w:val="en-US" w:eastAsia="zh-CN"/>
                <w14:textFill>
                  <w14:solidFill>
                    <w14:schemeClr w14:val="tx1"/>
                  </w14:solidFill>
                </w14:textFill>
              </w:rPr>
              <w:t>本项目生活污水总量在</w:t>
            </w:r>
            <w:r>
              <w:rPr>
                <w:rFonts w:hint="eastAsia" w:cs="Times New Roman"/>
                <w:color w:val="000000" w:themeColor="text1"/>
                <w:szCs w:val="21"/>
                <w:highlight w:val="none"/>
                <w:lang w:eastAsia="zh-CN"/>
                <w14:textFill>
                  <w14:solidFill>
                    <w14:schemeClr w14:val="tx1"/>
                  </w14:solidFill>
                </w14:textFill>
              </w:rPr>
              <w:t>江苏中法水务股份有限公司（城东水质净化厂）</w:t>
            </w:r>
            <w:r>
              <w:rPr>
                <w:rFonts w:hint="eastAsia"/>
                <w:bCs/>
                <w:color w:val="000000" w:themeColor="text1"/>
                <w:szCs w:val="21"/>
                <w14:textFill>
                  <w14:solidFill>
                    <w14:schemeClr w14:val="tx1"/>
                  </w14:solidFill>
                </w14:textFill>
              </w:rPr>
              <w:t>内平衡</w:t>
            </w:r>
            <w:r>
              <w:rPr>
                <w:bCs/>
                <w:color w:val="000000" w:themeColor="text1"/>
                <w:szCs w:val="21"/>
                <w14:textFill>
                  <w14:solidFill>
                    <w14:schemeClr w14:val="tx1"/>
                  </w14:solidFill>
                </w14:textFill>
              </w:rPr>
              <w:t>。</w:t>
            </w:r>
          </w:p>
          <w:p w14:paraId="5E28BBF7">
            <w:pPr>
              <w:spacing w:line="420" w:lineRule="exact"/>
              <w:ind w:firstLine="420" w:firstLineChars="200"/>
              <w:rPr>
                <w:rFonts w:eastAsia="仿宋"/>
                <w:color w:val="000000" w:themeColor="text1"/>
                <w:kern w:val="0"/>
                <w:sz w:val="30"/>
                <w:szCs w:val="30"/>
                <w14:textFill>
                  <w14:solidFill>
                    <w14:schemeClr w14:val="tx1"/>
                  </w14:solidFill>
                </w14:textFill>
              </w:rPr>
            </w:pPr>
            <w:r>
              <w:rPr>
                <w:bCs/>
                <w:color w:val="000000" w:themeColor="text1"/>
                <w:szCs w:val="21"/>
                <w14:textFill>
                  <w14:solidFill>
                    <w14:schemeClr w14:val="tx1"/>
                  </w14:solidFill>
                </w14:textFill>
              </w:rPr>
              <w:t>固废：</w:t>
            </w:r>
            <w:r>
              <w:rPr>
                <w:rFonts w:hint="eastAsia"/>
                <w:bCs/>
                <w:color w:val="000000" w:themeColor="text1"/>
                <w:szCs w:val="21"/>
                <w14:textFill>
                  <w14:solidFill>
                    <w14:schemeClr w14:val="tx1"/>
                  </w14:solidFill>
                </w14:textFill>
              </w:rPr>
              <w:t>本</w:t>
            </w:r>
            <w:r>
              <w:rPr>
                <w:bCs/>
                <w:color w:val="000000" w:themeColor="text1"/>
                <w:szCs w:val="21"/>
                <w14:textFill>
                  <w14:solidFill>
                    <w14:schemeClr w14:val="tx1"/>
                  </w14:solidFill>
                </w14:textFill>
              </w:rPr>
              <w:t>项目固体废弃物处置率100%，排放量为零，</w:t>
            </w:r>
            <w:r>
              <w:rPr>
                <w:rFonts w:hint="eastAsia"/>
                <w:bCs/>
                <w:color w:val="000000" w:themeColor="text1"/>
                <w:szCs w:val="21"/>
                <w14:textFill>
                  <w14:solidFill>
                    <w14:schemeClr w14:val="tx1"/>
                  </w14:solidFill>
                </w14:textFill>
              </w:rPr>
              <w:t>无</w:t>
            </w:r>
            <w:r>
              <w:rPr>
                <w:bCs/>
                <w:color w:val="000000" w:themeColor="text1"/>
                <w:szCs w:val="21"/>
                <w14:textFill>
                  <w14:solidFill>
                    <w14:schemeClr w14:val="tx1"/>
                  </w14:solidFill>
                </w14:textFill>
              </w:rPr>
              <w:t>需申请总量。</w:t>
            </w:r>
          </w:p>
        </w:tc>
      </w:tr>
    </w:tbl>
    <w:p w14:paraId="6FA831ED">
      <w:pPr>
        <w:pStyle w:val="18"/>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6"/>
          <w:szCs w:val="36"/>
          <w14:textFill>
            <w14:solidFill>
              <w14:schemeClr w14:val="tx1"/>
            </w14:solidFill>
          </w14:textFill>
        </w:rPr>
        <w:br w:type="page"/>
      </w:r>
      <w:r>
        <w:rPr>
          <w:rFonts w:ascii="Times New Roman" w:hAnsi="Times New Roman" w:eastAsia="黑体"/>
          <w:snapToGrid w:val="0"/>
          <w:color w:val="000000" w:themeColor="text1"/>
          <w:sz w:val="30"/>
          <w:szCs w:val="30"/>
          <w14:textFill>
            <w14:solidFill>
              <w14:schemeClr w14:val="tx1"/>
            </w14:solidFill>
          </w14:textFill>
        </w:rPr>
        <w:t>四、主要环境影响和保护措施</w:t>
      </w:r>
    </w:p>
    <w:tbl>
      <w:tblPr>
        <w:tblStyle w:val="22"/>
        <w:tblW w:w="527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9"/>
        <w:gridCol w:w="193"/>
        <w:gridCol w:w="8859"/>
      </w:tblGrid>
      <w:tr w14:paraId="142C30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gridSpan w:val="2"/>
            <w:noWrap/>
            <w:tcMar>
              <w:left w:w="28" w:type="dxa"/>
              <w:right w:w="28" w:type="dxa"/>
            </w:tcMar>
            <w:vAlign w:val="center"/>
          </w:tcPr>
          <w:p w14:paraId="70AACC32">
            <w:pPr>
              <w:pStyle w:val="18"/>
              <w:adjustRightInd w:val="0"/>
              <w:snapToGrid w:val="0"/>
              <w:spacing w:before="0" w:beforeAutospacing="0" w:after="0" w:afterAutospacing="0"/>
              <w:jc w:val="center"/>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施工</w:t>
            </w:r>
          </w:p>
          <w:p w14:paraId="6E1D2A29">
            <w:pPr>
              <w:pStyle w:val="18"/>
              <w:adjustRightInd w:val="0"/>
              <w:snapToGrid w:val="0"/>
              <w:spacing w:before="0" w:beforeAutospacing="0" w:after="0" w:afterAutospacing="0"/>
              <w:jc w:val="center"/>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期环</w:t>
            </w:r>
          </w:p>
          <w:p w14:paraId="187B0304">
            <w:pPr>
              <w:pStyle w:val="18"/>
              <w:adjustRightInd w:val="0"/>
              <w:snapToGrid w:val="0"/>
              <w:spacing w:before="0" w:beforeAutospacing="0" w:after="0" w:afterAutospacing="0"/>
              <w:jc w:val="center"/>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境保</w:t>
            </w:r>
          </w:p>
          <w:p w14:paraId="5F768EDF">
            <w:pPr>
              <w:pStyle w:val="18"/>
              <w:adjustRightInd w:val="0"/>
              <w:snapToGrid w:val="0"/>
              <w:spacing w:before="0" w:beforeAutospacing="0" w:after="0" w:afterAutospacing="0"/>
              <w:jc w:val="center"/>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护措</w:t>
            </w:r>
          </w:p>
          <w:p w14:paraId="09F3FC86">
            <w:pPr>
              <w:pStyle w:val="18"/>
              <w:adjustRightInd w:val="0"/>
              <w:snapToGrid w:val="0"/>
              <w:spacing w:before="0" w:beforeAutospacing="0" w:after="0" w:afterAutospacing="0"/>
              <w:jc w:val="center"/>
              <w:rPr>
                <w:rFonts w:ascii="Times New Roman" w:hAnsi="Times New Roman"/>
                <w:bCs/>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施</w:t>
            </w:r>
          </w:p>
        </w:tc>
        <w:tc>
          <w:tcPr>
            <w:tcW w:w="4676" w:type="pct"/>
            <w:noWrap/>
          </w:tcPr>
          <w:p w14:paraId="5CAC894D">
            <w:pPr>
              <w:adjustRightInd w:val="0"/>
              <w:snapToGrid w:val="0"/>
              <w:spacing w:line="360" w:lineRule="auto"/>
              <w:ind w:firstLine="420" w:firstLineChars="200"/>
              <w:rPr>
                <w:bCs/>
                <w:color w:val="000000" w:themeColor="text1"/>
                <w:spacing w:val="-10"/>
                <w:szCs w:val="2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利用现有已购</w:t>
            </w:r>
            <w:r>
              <w:rPr>
                <w:color w:val="000000" w:themeColor="text1"/>
                <w14:textFill>
                  <w14:solidFill>
                    <w14:schemeClr w14:val="tx1"/>
                  </w14:solidFill>
                </w14:textFill>
              </w:rPr>
              <w:t>厂房</w:t>
            </w:r>
            <w:r>
              <w:rPr>
                <w:rFonts w:hint="eastAsia"/>
                <w:color w:val="000000" w:themeColor="text1"/>
                <w:lang w:val="en-US" w:eastAsia="zh-CN"/>
                <w14:textFill>
                  <w14:solidFill>
                    <w14:schemeClr w14:val="tx1"/>
                  </w14:solidFill>
                </w14:textFill>
              </w:rPr>
              <w:t>和设备</w:t>
            </w:r>
            <w:r>
              <w:rPr>
                <w:color w:val="000000" w:themeColor="text1"/>
                <w14:textFill>
                  <w14:solidFill>
                    <w14:schemeClr w14:val="tx1"/>
                  </w14:solidFill>
                </w14:textFill>
              </w:rPr>
              <w:t>，无建设期，</w:t>
            </w:r>
            <w:r>
              <w:rPr>
                <w:rFonts w:hint="eastAsia"/>
                <w:bCs/>
                <w:color w:val="000000" w:themeColor="text1"/>
                <w:szCs w:val="21"/>
                <w:lang w:val="en-US" w:eastAsia="zh-CN"/>
                <w14:textFill>
                  <w14:solidFill>
                    <w14:schemeClr w14:val="tx1"/>
                  </w14:solidFill>
                </w14:textFill>
              </w:rPr>
              <w:t>基本无</w:t>
            </w:r>
            <w:r>
              <w:rPr>
                <w:bCs/>
                <w:color w:val="000000" w:themeColor="text1"/>
                <w:szCs w:val="21"/>
                <w14:textFill>
                  <w14:solidFill>
                    <w14:schemeClr w14:val="tx1"/>
                  </w14:solidFill>
                </w14:textFill>
              </w:rPr>
              <w:t>污染物产生，对周边环境基本无影响，故不对建设期进行污染分析。</w:t>
            </w:r>
          </w:p>
        </w:tc>
      </w:tr>
      <w:tr w14:paraId="1EDFC4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noWrap/>
            <w:tcMar>
              <w:left w:w="28" w:type="dxa"/>
              <w:right w:w="28" w:type="dxa"/>
            </w:tcMar>
            <w:vAlign w:val="center"/>
          </w:tcPr>
          <w:p w14:paraId="75FBBF23">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运营</w:t>
            </w:r>
          </w:p>
          <w:p w14:paraId="6436B2D3">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期环</w:t>
            </w:r>
          </w:p>
          <w:p w14:paraId="57AF145D">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境影</w:t>
            </w:r>
          </w:p>
          <w:p w14:paraId="0AFD7C0D">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响和</w:t>
            </w:r>
          </w:p>
          <w:p w14:paraId="37D2F49B">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保护</w:t>
            </w:r>
          </w:p>
          <w:p w14:paraId="409F2A23">
            <w:pPr>
              <w:adjustRightInd w:val="0"/>
              <w:snapToGrid w:val="0"/>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措施</w:t>
            </w:r>
          </w:p>
        </w:tc>
        <w:tc>
          <w:tcPr>
            <w:tcW w:w="4778" w:type="pct"/>
            <w:gridSpan w:val="2"/>
            <w:noWrap/>
          </w:tcPr>
          <w:p w14:paraId="12DA3E51">
            <w:pPr>
              <w:adjustRightInd w:val="0"/>
              <w:snapToGrid w:val="0"/>
              <w:spacing w:line="360" w:lineRule="auto"/>
              <w:ind w:firstLine="422" w:firstLineChars="20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4.1废气</w:t>
            </w:r>
          </w:p>
          <w:p w14:paraId="733FFE95">
            <w:pPr>
              <w:adjustRightInd w:val="0"/>
              <w:snapToGrid w:val="0"/>
              <w:spacing w:line="360" w:lineRule="auto"/>
              <w:ind w:firstLine="422" w:firstLineChars="200"/>
              <w:rPr>
                <w:bCs/>
                <w:color w:val="000000" w:themeColor="text1"/>
                <w:szCs w:val="21"/>
                <w14:textFill>
                  <w14:solidFill>
                    <w14:schemeClr w14:val="tx1"/>
                  </w14:solidFill>
                </w14:textFill>
              </w:rPr>
            </w:pPr>
            <w:r>
              <w:rPr>
                <w:b/>
                <w:color w:val="000000" w:themeColor="text1"/>
                <w:szCs w:val="21"/>
                <w14:textFill>
                  <w14:solidFill>
                    <w14:schemeClr w14:val="tx1"/>
                  </w14:solidFill>
                </w14:textFill>
              </w:rPr>
              <w:t>4.1.1污染物产生及排放情况</w:t>
            </w:r>
          </w:p>
          <w:p w14:paraId="201E631E">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本项目废气污染源主要为</w:t>
            </w:r>
            <w:r>
              <w:rPr>
                <w:rFonts w:hint="eastAsia"/>
                <w:color w:val="000000" w:themeColor="text1"/>
                <w:szCs w:val="21"/>
                <w:highlight w:val="none"/>
                <w:lang w:val="en-US" w:eastAsia="zh-CN"/>
                <w14:textFill>
                  <w14:solidFill>
                    <w14:schemeClr w14:val="tx1"/>
                  </w14:solidFill>
                </w14:textFill>
              </w:rPr>
              <w:t>吹塑</w:t>
            </w:r>
            <w:r>
              <w:rPr>
                <w:rFonts w:hint="eastAsia"/>
                <w:color w:val="000000" w:themeColor="text1"/>
                <w14:textFill>
                  <w14:solidFill>
                    <w14:schemeClr w14:val="tx1"/>
                  </w14:solidFill>
                </w14:textFill>
              </w:rPr>
              <w:t>工序产生的有机废气G1、</w:t>
            </w:r>
            <w:r>
              <w:rPr>
                <w:rFonts w:hint="eastAsia"/>
                <w:color w:val="000000" w:themeColor="text1"/>
                <w:szCs w:val="21"/>
                <w:highlight w:val="none"/>
                <w:lang w:val="en-US" w:eastAsia="zh-CN"/>
                <w14:textFill>
                  <w14:solidFill>
                    <w14:schemeClr w14:val="tx1"/>
                  </w14:solidFill>
                </w14:textFill>
              </w:rPr>
              <w:t>印刷</w:t>
            </w:r>
            <w:r>
              <w:rPr>
                <w:rFonts w:hint="eastAsia"/>
                <w:color w:val="000000" w:themeColor="text1"/>
                <w14:textFill>
                  <w14:solidFill>
                    <w14:schemeClr w14:val="tx1"/>
                  </w14:solidFill>
                </w14:textFill>
              </w:rPr>
              <w:t>工序产生的有机废气G2、</w:t>
            </w:r>
            <w:r>
              <w:rPr>
                <w:rFonts w:hint="eastAsia"/>
                <w:color w:val="000000" w:themeColor="text1"/>
                <w:szCs w:val="21"/>
                <w:highlight w:val="none"/>
                <w:lang w:val="en-US" w:eastAsia="zh-CN"/>
                <w14:textFill>
                  <w14:solidFill>
                    <w14:schemeClr w14:val="tx1"/>
                  </w14:solidFill>
                </w14:textFill>
              </w:rPr>
              <w:t>烘干</w:t>
            </w:r>
            <w:r>
              <w:rPr>
                <w:rFonts w:hint="eastAsia"/>
                <w:color w:val="000000" w:themeColor="text1"/>
                <w14:textFill>
                  <w14:solidFill>
                    <w14:schemeClr w14:val="tx1"/>
                  </w14:solidFill>
                </w14:textFill>
              </w:rPr>
              <w:t>工序产生的有机废气G3</w:t>
            </w:r>
            <w:r>
              <w:rPr>
                <w:rFonts w:hint="eastAsia"/>
                <w:color w:val="000000" w:themeColor="text1"/>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破碎</w:t>
            </w:r>
            <w:r>
              <w:rPr>
                <w:rFonts w:hint="eastAsia"/>
                <w:color w:val="000000" w:themeColor="text1"/>
                <w14:textFill>
                  <w14:solidFill>
                    <w14:schemeClr w14:val="tx1"/>
                  </w14:solidFill>
                </w14:textFill>
              </w:rPr>
              <w:t>工序产生的</w:t>
            </w:r>
            <w:r>
              <w:rPr>
                <w:rFonts w:hint="eastAsia"/>
                <w:color w:val="000000" w:themeColor="text1"/>
                <w:lang w:val="en-US" w:eastAsia="zh-CN"/>
                <w14:textFill>
                  <w14:solidFill>
                    <w14:schemeClr w14:val="tx1"/>
                  </w14:solidFill>
                </w14:textFill>
              </w:rPr>
              <w:t>粉尘</w:t>
            </w:r>
            <w:r>
              <w:rPr>
                <w:rFonts w:hint="eastAsia"/>
                <w:color w:val="000000" w:themeColor="text1"/>
                <w14:textFill>
                  <w14:solidFill>
                    <w14:schemeClr w14:val="tx1"/>
                  </w14:solidFill>
                </w14:textFill>
              </w:rPr>
              <w:t>G</w:t>
            </w:r>
            <w:r>
              <w:rPr>
                <w:rFonts w:hint="eastAsia"/>
                <w:color w:val="000000" w:themeColor="text1"/>
                <w:lang w:val="en-US" w:eastAsia="zh-CN"/>
                <w14:textFill>
                  <w14:solidFill>
                    <w14:schemeClr w14:val="tx1"/>
                  </w14:solidFill>
                </w14:textFill>
              </w:rPr>
              <w:t>4、</w:t>
            </w:r>
            <w:r>
              <w:rPr>
                <w:rFonts w:hint="eastAsia"/>
                <w:color w:val="000000" w:themeColor="text1"/>
                <w:szCs w:val="21"/>
                <w:highlight w:val="none"/>
                <w:lang w:val="en-US" w:eastAsia="zh-CN"/>
                <w14:textFill>
                  <w14:solidFill>
                    <w14:schemeClr w14:val="tx1"/>
                  </w14:solidFill>
                </w14:textFill>
              </w:rPr>
              <w:t>印刷加清理</w:t>
            </w:r>
            <w:r>
              <w:rPr>
                <w:rFonts w:hint="eastAsia"/>
                <w:color w:val="000000" w:themeColor="text1"/>
                <w14:textFill>
                  <w14:solidFill>
                    <w14:schemeClr w14:val="tx1"/>
                  </w14:solidFill>
                </w14:textFill>
              </w:rPr>
              <w:t>工序产生的有机废气G</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w:t>
            </w:r>
          </w:p>
          <w:p w14:paraId="2CDE6738">
            <w:pPr>
              <w:adjustRightInd w:val="0"/>
              <w:snapToGrid w:val="0"/>
              <w:spacing w:line="360" w:lineRule="auto"/>
              <w:ind w:firstLine="422" w:firstLineChars="200"/>
              <w:rPr>
                <w:rFonts w:hint="eastAsia"/>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1、有组织废气</w:t>
            </w:r>
          </w:p>
          <w:p w14:paraId="18D6AD70">
            <w:pPr>
              <w:numPr>
                <w:ilvl w:val="255"/>
                <w:numId w:val="0"/>
              </w:numPr>
              <w:spacing w:line="360" w:lineRule="auto"/>
              <w:ind w:firstLine="420" w:firstLineChars="200"/>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①</w:t>
            </w:r>
            <w:r>
              <w:rPr>
                <w:rFonts w:hint="eastAsia"/>
                <w:color w:val="000000" w:themeColor="text1"/>
                <w14:textFill>
                  <w14:solidFill>
                    <w14:schemeClr w14:val="tx1"/>
                  </w14:solidFill>
                </w14:textFill>
              </w:rPr>
              <w:t>吹</w:t>
            </w:r>
            <w:r>
              <w:rPr>
                <w:rFonts w:hint="eastAsia"/>
                <w:color w:val="000000" w:themeColor="text1"/>
                <w:szCs w:val="21"/>
                <w:highlight w:val="none"/>
                <w:lang w:val="en-US" w:eastAsia="zh-CN"/>
                <w14:textFill>
                  <w14:solidFill>
                    <w14:schemeClr w14:val="tx1"/>
                  </w14:solidFill>
                </w14:textFill>
              </w:rPr>
              <w:t>塑有机</w:t>
            </w:r>
            <w:r>
              <w:rPr>
                <w:rFonts w:hint="eastAsia"/>
                <w:color w:val="000000" w:themeColor="text1"/>
                <w14:textFill>
                  <w14:solidFill>
                    <w14:schemeClr w14:val="tx1"/>
                  </w14:solidFill>
                </w14:textFill>
              </w:rPr>
              <w:t>废气</w:t>
            </w:r>
          </w:p>
          <w:p w14:paraId="5B6CC192">
            <w:pPr>
              <w:numPr>
                <w:ilvl w:val="255"/>
                <w:numId w:val="0"/>
              </w:num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吹</w:t>
            </w:r>
            <w:r>
              <w:rPr>
                <w:rFonts w:hint="eastAsia"/>
                <w:color w:val="000000" w:themeColor="text1"/>
                <w:szCs w:val="21"/>
                <w:highlight w:val="none"/>
                <w:lang w:val="en-US" w:eastAsia="zh-CN"/>
                <w14:textFill>
                  <w14:solidFill>
                    <w14:schemeClr w14:val="tx1"/>
                  </w14:solidFill>
                </w14:textFill>
              </w:rPr>
              <w:t>塑</w:t>
            </w:r>
            <w:bookmarkStart w:id="6" w:name="OLE_LINK147"/>
            <w:r>
              <w:rPr>
                <w:rFonts w:hint="eastAsia"/>
                <w:color w:val="000000" w:themeColor="text1"/>
                <w14:textFill>
                  <w14:solidFill>
                    <w14:schemeClr w14:val="tx1"/>
                  </w14:solidFill>
                </w14:textFill>
              </w:rPr>
              <w:t>过程产生的污染因子主要</w:t>
            </w:r>
            <w:bookmarkEnd w:id="6"/>
            <w:r>
              <w:rPr>
                <w:rFonts w:hint="eastAsia"/>
                <w:color w:val="000000" w:themeColor="text1"/>
                <w:lang w:val="en-US" w:eastAsia="zh-CN"/>
                <w14:textFill>
                  <w14:solidFill>
                    <w14:schemeClr w14:val="tx1"/>
                  </w14:solidFill>
                </w14:textFill>
              </w:rPr>
              <w:t>为</w:t>
            </w:r>
            <w:r>
              <w:rPr>
                <w:rFonts w:hint="eastAsia"/>
                <w:color w:val="000000" w:themeColor="text1"/>
                <w14:textFill>
                  <w14:solidFill>
                    <w14:schemeClr w14:val="tx1"/>
                  </w14:solidFill>
                </w14:textFill>
              </w:rPr>
              <w:t>非甲烷总烃。</w:t>
            </w:r>
          </w:p>
          <w:p w14:paraId="227F4CF6">
            <w:pPr>
              <w:spacing w:line="360" w:lineRule="auto"/>
              <w:ind w:firstLine="420"/>
              <w:rPr>
                <w:color w:val="000000" w:themeColor="text1"/>
                <w:szCs w:val="21"/>
                <w14:textFill>
                  <w14:solidFill>
                    <w14:schemeClr w14:val="tx1"/>
                  </w14:solidFill>
                </w14:textFill>
              </w:rPr>
            </w:pPr>
            <w:bookmarkStart w:id="7" w:name="OLE_LINK150"/>
            <w:r>
              <w:rPr>
                <w:rFonts w:hint="eastAsia"/>
                <w:color w:val="000000" w:themeColor="text1"/>
                <w:szCs w:val="21"/>
                <w14:textFill>
                  <w14:solidFill>
                    <w14:schemeClr w14:val="tx1"/>
                  </w14:solidFill>
                </w14:textFill>
              </w:rPr>
              <w:t>根据《排放源统计调查产排污核算方法和系数手册》（塑料制品业系数手册）</w:t>
            </w:r>
            <w:r>
              <w:rPr>
                <w:rFonts w:hint="eastAsia" w:ascii="Times New Roman" w:hAnsi="Times New Roman"/>
                <w:color w:val="000000" w:themeColor="text1"/>
                <w:highlight w:val="none"/>
                <w14:textFill>
                  <w14:solidFill>
                    <w14:schemeClr w14:val="tx1"/>
                  </w14:solidFill>
                </w14:textFill>
              </w:rPr>
              <w:t>中塑料零件及其他塑料制品制造行业，即塑料零件</w:t>
            </w:r>
            <w:r>
              <w:rPr>
                <w:rFonts w:hint="eastAsia" w:ascii="Times New Roman" w:hAnsi="Times New Roman"/>
                <w:color w:val="000000" w:themeColor="text1"/>
                <w:highlight w:val="none"/>
                <w:lang w:val="en-US" w:eastAsia="zh-CN"/>
                <w14:textFill>
                  <w14:solidFill>
                    <w14:schemeClr w14:val="tx1"/>
                  </w14:solidFill>
                </w14:textFill>
              </w:rPr>
              <w:t>吹塑</w:t>
            </w:r>
            <w:r>
              <w:rPr>
                <w:rFonts w:hint="eastAsia" w:ascii="Times New Roman" w:hAnsi="Times New Roman"/>
                <w:color w:val="000000" w:themeColor="text1"/>
                <w:highlight w:val="none"/>
                <w14:textFill>
                  <w14:solidFill>
                    <w14:schemeClr w14:val="tx1"/>
                  </w14:solidFill>
                </w14:textFill>
              </w:rPr>
              <w:t>环节</w:t>
            </w:r>
            <w:r>
              <w:rPr>
                <w:rFonts w:ascii="Times New Roman" w:hAnsi="Times New Roman"/>
                <w:color w:val="000000" w:themeColor="text1"/>
                <w:highlight w:val="none"/>
                <w14:textFill>
                  <w14:solidFill>
                    <w14:schemeClr w14:val="tx1"/>
                  </w14:solidFill>
                </w14:textFill>
              </w:rPr>
              <w:t>产污系数以</w:t>
            </w:r>
            <w:r>
              <w:rPr>
                <w:rFonts w:hint="eastAsia" w:ascii="Times New Roman" w:hAnsi="Times New Roman"/>
                <w:color w:val="000000" w:themeColor="text1"/>
                <w:highlight w:val="none"/>
                <w14:textFill>
                  <w14:solidFill>
                    <w14:schemeClr w14:val="tx1"/>
                  </w14:solidFill>
                </w14:textFill>
              </w:rPr>
              <w:t>2.7</w:t>
            </w:r>
            <w:r>
              <w:rPr>
                <w:rFonts w:ascii="Times New Roman" w:hAnsi="Times New Roman"/>
                <w:color w:val="000000" w:themeColor="text1"/>
                <w:highlight w:val="none"/>
                <w14:textFill>
                  <w14:solidFill>
                    <w14:schemeClr w14:val="tx1"/>
                  </w14:solidFill>
                </w14:textFill>
              </w:rPr>
              <w:t>kg/t</w:t>
            </w:r>
            <w:r>
              <w:rPr>
                <w:rFonts w:hint="eastAsia" w:ascii="Times New Roman" w:hAnsi="Times New Roman"/>
                <w:color w:val="000000" w:themeColor="text1"/>
                <w:highlight w:val="none"/>
                <w14:textFill>
                  <w14:solidFill>
                    <w14:schemeClr w14:val="tx1"/>
                  </w14:solidFill>
                </w14:textFill>
              </w:rPr>
              <w:t>产品</w:t>
            </w:r>
            <w:r>
              <w:rPr>
                <w:rFonts w:ascii="Times New Roman" w:hAnsi="Times New Roman"/>
                <w:color w:val="000000" w:themeColor="text1"/>
                <w:highlight w:val="none"/>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吹塑</w:t>
            </w:r>
            <w:r>
              <w:rPr>
                <w:rFonts w:hint="eastAsia" w:ascii="Times New Roman" w:hAnsi="Times New Roman"/>
                <w:color w:val="000000" w:themeColor="text1"/>
                <w:highlight w:val="none"/>
                <w14:textFill>
                  <w14:solidFill>
                    <w14:schemeClr w14:val="tx1"/>
                  </w14:solidFill>
                </w14:textFill>
              </w:rPr>
              <w:t>件</w:t>
            </w:r>
            <w:r>
              <w:rPr>
                <w:rFonts w:ascii="Times New Roman" w:hAnsi="Times New Roman"/>
                <w:color w:val="000000" w:themeColor="text1"/>
                <w:highlight w:val="none"/>
                <w14:textFill>
                  <w14:solidFill>
                    <w14:schemeClr w14:val="tx1"/>
                  </w14:solidFill>
                </w14:textFill>
              </w:rPr>
              <w:t>）计</w:t>
            </w:r>
            <w:r>
              <w:rPr>
                <w:rFonts w:hint="eastAsia"/>
                <w:color w:val="000000" w:themeColor="text1"/>
                <w:szCs w:val="21"/>
                <w14:textFill>
                  <w14:solidFill>
                    <w14:schemeClr w14:val="tx1"/>
                  </w14:solidFill>
                </w14:textFill>
              </w:rPr>
              <w:t>，本项目</w:t>
            </w:r>
            <w:r>
              <w:rPr>
                <w:rFonts w:hint="default" w:ascii="Times New Roman" w:hAnsi="Times New Roman" w:cs="Times New Roman"/>
                <w:color w:val="000000" w:themeColor="text1"/>
                <w:sz w:val="21"/>
                <w:szCs w:val="21"/>
                <w14:textFill>
                  <w14:solidFill>
                    <w14:schemeClr w14:val="tx1"/>
                  </w14:solidFill>
                </w14:textFill>
              </w:rPr>
              <w:t>HDPE</w:t>
            </w:r>
            <w:r>
              <w:rPr>
                <w:rFonts w:hint="eastAsia"/>
                <w:color w:val="000000" w:themeColor="text1"/>
                <w:szCs w:val="21"/>
                <w14:textFill>
                  <w14:solidFill>
                    <w14:schemeClr w14:val="tx1"/>
                  </w14:solidFill>
                </w14:textFill>
              </w:rPr>
              <w:t>塑料粒子用量为40</w:t>
            </w:r>
            <w:r>
              <w:rPr>
                <w:rFonts w:hint="eastAsia"/>
                <w:color w:val="000000" w:themeColor="text1"/>
                <w:szCs w:val="21"/>
                <w:lang w:val="en-US" w:eastAsia="zh-CN"/>
                <w14:textFill>
                  <w14:solidFill>
                    <w14:schemeClr w14:val="tx1"/>
                  </w14:solidFill>
                </w14:textFill>
              </w:rPr>
              <w:t>0</w:t>
            </w:r>
            <w:r>
              <w:rPr>
                <w:rFonts w:hint="eastAsia"/>
                <w:color w:val="000000" w:themeColor="text1"/>
                <w:szCs w:val="21"/>
                <w14:textFill>
                  <w14:solidFill>
                    <w14:schemeClr w14:val="tx1"/>
                  </w14:solidFill>
                </w14:textFill>
              </w:rPr>
              <w:t>t/a，则</w:t>
            </w:r>
            <w:r>
              <w:rPr>
                <w:rFonts w:hint="eastAsia"/>
                <w:color w:val="000000" w:themeColor="text1"/>
                <w14:textFill>
                  <w14:solidFill>
                    <w14:schemeClr w14:val="tx1"/>
                  </w14:solidFill>
                </w14:textFill>
              </w:rPr>
              <w:t>吹</w:t>
            </w:r>
            <w:r>
              <w:rPr>
                <w:rFonts w:hint="eastAsia"/>
                <w:color w:val="000000" w:themeColor="text1"/>
                <w:szCs w:val="21"/>
                <w:highlight w:val="none"/>
                <w:lang w:val="en-US" w:eastAsia="zh-CN"/>
                <w14:textFill>
                  <w14:solidFill>
                    <w14:schemeClr w14:val="tx1"/>
                  </w14:solidFill>
                </w14:textFill>
              </w:rPr>
              <w:t>塑</w:t>
            </w:r>
            <w:r>
              <w:rPr>
                <w:rFonts w:hint="eastAsia"/>
                <w:color w:val="000000" w:themeColor="text1"/>
                <w:szCs w:val="21"/>
                <w14:textFill>
                  <w14:solidFill>
                    <w14:schemeClr w14:val="tx1"/>
                  </w14:solidFill>
                </w14:textFill>
              </w:rPr>
              <w:t>过程非甲烷总烃产生量为</w:t>
            </w:r>
            <w:r>
              <w:rPr>
                <w:rFonts w:hint="eastAsia"/>
                <w:color w:val="000000" w:themeColor="text1"/>
                <w:szCs w:val="21"/>
                <w:lang w:val="en-US" w:eastAsia="zh-CN"/>
                <w14:textFill>
                  <w14:solidFill>
                    <w14:schemeClr w14:val="tx1"/>
                  </w14:solidFill>
                </w14:textFill>
              </w:rPr>
              <w:t>1.08</w:t>
            </w:r>
            <w:r>
              <w:rPr>
                <w:rFonts w:hint="eastAsia"/>
                <w:color w:val="000000" w:themeColor="text1"/>
                <w:szCs w:val="21"/>
                <w14:textFill>
                  <w14:solidFill>
                    <w14:schemeClr w14:val="tx1"/>
                  </w14:solidFill>
                </w14:textFill>
              </w:rPr>
              <w:t>t/a。</w:t>
            </w:r>
          </w:p>
          <w:bookmarkEnd w:id="7"/>
          <w:p w14:paraId="5419C97B">
            <w:pPr>
              <w:numPr>
                <w:ilvl w:val="255"/>
                <w:numId w:val="0"/>
              </w:numPr>
              <w:spacing w:line="360" w:lineRule="auto"/>
              <w:ind w:firstLine="420" w:firstLineChars="2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hint="eastAsia"/>
                <w:color w:val="000000" w:themeColor="text1"/>
                <w:szCs w:val="21"/>
                <w:highlight w:val="none"/>
                <w:lang w:val="en-US" w:eastAsia="zh-CN"/>
                <w14:textFill>
                  <w14:solidFill>
                    <w14:schemeClr w14:val="tx1"/>
                  </w14:solidFill>
                </w14:textFill>
              </w:rPr>
              <w:t>印刷、烘干</w:t>
            </w:r>
            <w:r>
              <w:rPr>
                <w:rFonts w:hint="eastAsia"/>
                <w:color w:val="000000" w:themeColor="text1"/>
                <w:szCs w:val="21"/>
                <w:lang w:val="en-US" w:eastAsia="zh-CN"/>
                <w14:textFill>
                  <w14:solidFill>
                    <w14:schemeClr w14:val="tx1"/>
                  </w14:solidFill>
                </w14:textFill>
              </w:rPr>
              <w:t>有机</w:t>
            </w:r>
            <w:r>
              <w:rPr>
                <w:rFonts w:hint="eastAsia"/>
                <w:color w:val="000000" w:themeColor="text1"/>
                <w14:textFill>
                  <w14:solidFill>
                    <w14:schemeClr w14:val="tx1"/>
                  </w14:solidFill>
                </w14:textFill>
              </w:rPr>
              <w:t>废气</w:t>
            </w:r>
          </w:p>
          <w:p w14:paraId="0511A017">
            <w:pPr>
              <w:spacing w:line="360" w:lineRule="auto"/>
              <w:ind w:firstLine="420" w:firstLineChars="200"/>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油性油墨印刷</w:t>
            </w:r>
            <w:r>
              <w:rPr>
                <w:rFonts w:hint="eastAsia"/>
                <w:color w:val="000000" w:themeColor="text1"/>
                <w:szCs w:val="21"/>
                <w:highlight w:val="none"/>
                <w:lang w:val="en-US" w:eastAsia="zh-CN"/>
                <w14:textFill>
                  <w14:solidFill>
                    <w14:schemeClr w14:val="tx1"/>
                  </w14:solidFill>
                </w14:textFill>
              </w:rPr>
              <w:t>、烘干</w:t>
            </w:r>
            <w:r>
              <w:rPr>
                <w:rFonts w:hint="eastAsia"/>
                <w:color w:val="000000" w:themeColor="text1"/>
                <w:lang w:val="en-US" w:eastAsia="zh-CN"/>
                <w14:textFill>
                  <w14:solidFill>
                    <w14:schemeClr w14:val="tx1"/>
                  </w14:solidFill>
                </w14:textFill>
              </w:rPr>
              <w:t>时油性油墨挥发</w:t>
            </w:r>
            <w:r>
              <w:rPr>
                <w:rFonts w:hint="eastAsia"/>
                <w:color w:val="000000" w:themeColor="text1"/>
                <w14:textFill>
                  <w14:solidFill>
                    <w14:schemeClr w14:val="tx1"/>
                  </w14:solidFill>
                </w14:textFill>
              </w:rPr>
              <w:t>产生有机废气（以非甲烷总烃计）。</w:t>
            </w:r>
            <w:r>
              <w:rPr>
                <w:rFonts w:hint="eastAsia"/>
                <w:color w:val="000000" w:themeColor="text1"/>
                <w:lang w:val="en-US" w:eastAsia="zh-CN"/>
                <w14:textFill>
                  <w14:solidFill>
                    <w14:schemeClr w14:val="tx1"/>
                  </w14:solidFill>
                </w14:textFill>
              </w:rPr>
              <w:t>油性油墨</w:t>
            </w:r>
            <w:r>
              <w:rPr>
                <w:rFonts w:hint="eastAsia"/>
                <w:color w:val="000000" w:themeColor="text1"/>
                <w14:textFill>
                  <w14:solidFill>
                    <w14:schemeClr w14:val="tx1"/>
                  </w14:solidFill>
                </w14:textFill>
              </w:rPr>
              <w:t>的使用量为</w:t>
            </w:r>
            <w:r>
              <w:rPr>
                <w:rFonts w:hint="eastAsia"/>
                <w:color w:val="000000" w:themeColor="text1"/>
                <w:lang w:val="en-US" w:eastAsia="zh-CN"/>
                <w14:textFill>
                  <w14:solidFill>
                    <w14:schemeClr w14:val="tx1"/>
                  </w14:solidFill>
                </w14:textFill>
              </w:rPr>
              <w:t>0.2</w:t>
            </w:r>
            <w:r>
              <w:rPr>
                <w:rFonts w:hint="eastAsia"/>
                <w:color w:val="000000" w:themeColor="text1"/>
                <w14:textFill>
                  <w14:solidFill>
                    <w14:schemeClr w14:val="tx1"/>
                  </w14:solidFill>
                </w14:textFill>
              </w:rPr>
              <w:t>t/a，VOCs含量为</w:t>
            </w:r>
            <w:r>
              <w:rPr>
                <w:rFonts w:hint="eastAsia"/>
                <w:color w:val="000000" w:themeColor="text1"/>
                <w:lang w:val="en-US" w:eastAsia="zh-CN"/>
                <w14:textFill>
                  <w14:solidFill>
                    <w14:schemeClr w14:val="tx1"/>
                  </w14:solidFill>
                </w14:textFill>
              </w:rPr>
              <w:t>35.4</w:t>
            </w:r>
            <w:r>
              <w:rPr>
                <w:rFonts w:hint="eastAsia"/>
                <w:color w:val="000000" w:themeColor="text1"/>
                <w14:textFill>
                  <w14:solidFill>
                    <w14:schemeClr w14:val="tx1"/>
                  </w14:solidFill>
                </w14:textFill>
              </w:rPr>
              <w:t>%，则非甲烷总烃产生量为</w:t>
            </w:r>
            <w:r>
              <w:rPr>
                <w:rFonts w:hint="eastAsia"/>
                <w:color w:val="000000" w:themeColor="text1"/>
                <w:lang w:val="en-US" w:eastAsia="zh-CN"/>
                <w14:textFill>
                  <w14:solidFill>
                    <w14:schemeClr w14:val="tx1"/>
                  </w14:solidFill>
                </w14:textFill>
              </w:rPr>
              <w:t>0.0708t/a</w:t>
            </w:r>
            <w:r>
              <w:rPr>
                <w:rFonts w:hint="eastAsia"/>
                <w:color w:val="000000" w:themeColor="text1"/>
                <w14:textFill>
                  <w14:solidFill>
                    <w14:schemeClr w14:val="tx1"/>
                  </w14:solidFill>
                </w14:textFill>
              </w:rPr>
              <w:t>。</w:t>
            </w:r>
          </w:p>
          <w:p w14:paraId="0A715F96">
            <w:pPr>
              <w:spacing w:line="360" w:lineRule="auto"/>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③</w:t>
            </w:r>
            <w:r>
              <w:rPr>
                <w:rFonts w:hint="eastAsia" w:ascii="Times New Roman" w:hAnsi="Times New Roman" w:eastAsia="宋体" w:cs="Times New Roman"/>
                <w:color w:val="000000" w:themeColor="text1"/>
                <w:lang w:val="en-US" w:eastAsia="zh-CN"/>
                <w14:textFill>
                  <w14:solidFill>
                    <w14:schemeClr w14:val="tx1"/>
                  </w14:solidFill>
                </w14:textFill>
              </w:rPr>
              <w:t>印刷机清理废气</w:t>
            </w:r>
          </w:p>
          <w:p w14:paraId="7764E18E">
            <w:pPr>
              <w:spacing w:line="360" w:lineRule="auto"/>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本项目印刷机清理过程使用</w:t>
            </w:r>
            <w:r>
              <w:rPr>
                <w:rFonts w:hint="default" w:ascii="Times New Roman" w:hAnsi="Times New Roman" w:cs="Times New Roman"/>
                <w:color w:val="000000" w:themeColor="text1"/>
                <w:sz w:val="21"/>
                <w:szCs w:val="21"/>
                <w14:textFill>
                  <w14:solidFill>
                    <w14:schemeClr w14:val="tx1"/>
                  </w14:solidFill>
                </w14:textFill>
              </w:rPr>
              <w:t>清洗剂</w:t>
            </w:r>
            <w:r>
              <w:rPr>
                <w:rFonts w:hint="eastAsia" w:ascii="Times New Roman" w:hAnsi="Times New Roman" w:eastAsia="宋体" w:cs="Times New Roman"/>
                <w:color w:val="000000" w:themeColor="text1"/>
                <w:lang w:val="en-US" w:eastAsia="zh-CN"/>
                <w14:textFill>
                  <w14:solidFill>
                    <w14:schemeClr w14:val="tx1"/>
                  </w14:solidFill>
                </w14:textFill>
              </w:rPr>
              <w:t>挥发产生有机废气（以非甲烷总烃计）。本项目</w:t>
            </w:r>
            <w:r>
              <w:rPr>
                <w:rFonts w:hint="default" w:ascii="Times New Roman" w:hAnsi="Times New Roman" w:cs="Times New Roman"/>
                <w:color w:val="000000" w:themeColor="text1"/>
                <w:sz w:val="21"/>
                <w:szCs w:val="21"/>
                <w14:textFill>
                  <w14:solidFill>
                    <w14:schemeClr w14:val="tx1"/>
                  </w14:solidFill>
                </w14:textFill>
              </w:rPr>
              <w:t>清洗剂</w:t>
            </w:r>
            <w:r>
              <w:rPr>
                <w:rFonts w:hint="eastAsia" w:ascii="Times New Roman" w:hAnsi="Times New Roman" w:eastAsia="宋体" w:cs="Times New Roman"/>
                <w:color w:val="000000" w:themeColor="text1"/>
                <w:lang w:val="en-US" w:eastAsia="zh-CN"/>
                <w14:textFill>
                  <w14:solidFill>
                    <w14:schemeClr w14:val="tx1"/>
                  </w14:solidFill>
                </w14:textFill>
              </w:rPr>
              <w:t>年用量0.03t，</w:t>
            </w:r>
            <w:r>
              <w:rPr>
                <w:rFonts w:hint="eastAsia"/>
                <w:color w:val="000000" w:themeColor="text1"/>
                <w14:textFill>
                  <w14:solidFill>
                    <w14:schemeClr w14:val="tx1"/>
                  </w14:solidFill>
                </w14:textFill>
              </w:rPr>
              <w:t>VOC含量为</w:t>
            </w:r>
            <w:r>
              <w:rPr>
                <w:rFonts w:hint="eastAsia"/>
                <w:color w:val="000000" w:themeColor="text1"/>
                <w:lang w:val="en-US" w:eastAsia="zh-CN"/>
                <w14:textFill>
                  <w14:solidFill>
                    <w14:schemeClr w14:val="tx1"/>
                  </w14:solidFill>
                </w14:textFill>
              </w:rPr>
              <w:t>806.4</w:t>
            </w:r>
            <w:r>
              <w:rPr>
                <w:rFonts w:hint="eastAsia"/>
                <w:color w:val="000000" w:themeColor="text1"/>
                <w14:textFill>
                  <w14:solidFill>
                    <w14:schemeClr w14:val="tx1"/>
                  </w14:solidFill>
                </w14:textFill>
              </w:rPr>
              <w:t>g/L</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eastAsia"/>
                <w:color w:val="000000" w:themeColor="text1"/>
                <w:szCs w:val="21"/>
                <w14:textFill>
                  <w14:solidFill>
                    <w14:schemeClr w14:val="tx1"/>
                  </w14:solidFill>
                </w14:textFill>
              </w:rPr>
              <w:t>密度</w:t>
            </w:r>
            <w:r>
              <w:rPr>
                <w:rFonts w:hint="eastAsia"/>
                <w:color w:val="000000" w:themeColor="text1"/>
                <w:szCs w:val="21"/>
                <w:lang w:val="en-US" w:eastAsia="zh-CN"/>
                <w14:textFill>
                  <w14:solidFill>
                    <w14:schemeClr w14:val="tx1"/>
                  </w14:solidFill>
                </w14:textFill>
              </w:rPr>
              <w:t>为0.85-0.9</w:t>
            </w:r>
            <w:r>
              <w:rPr>
                <w:rFonts w:hint="eastAsia"/>
                <w:color w:val="000000" w:themeColor="text1"/>
                <w:szCs w:val="21"/>
                <w14:textFill>
                  <w14:solidFill>
                    <w14:schemeClr w14:val="tx1"/>
                  </w14:solidFill>
                </w14:textFill>
              </w:rPr>
              <w:t>g/cm</w:t>
            </w:r>
            <w:r>
              <w:rPr>
                <w:rFonts w:hint="eastAsia"/>
                <w:color w:val="000000" w:themeColor="text1"/>
                <w:szCs w:val="21"/>
                <w:vertAlign w:val="superscript"/>
                <w14:textFill>
                  <w14:solidFill>
                    <w14:schemeClr w14:val="tx1"/>
                  </w14:solidFill>
                </w14:textFill>
              </w:rPr>
              <w:t>3</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由于清洗剂挥发量较大</w:t>
            </w:r>
            <w:r>
              <w:rPr>
                <w:rFonts w:hint="eastAsia"/>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按全部挥发计算，则印刷机清理过程非甲烷总烃产生量为</w:t>
            </w:r>
            <w:r>
              <w:rPr>
                <w:rFonts w:hint="eastAsia" w:cs="Times New Roman"/>
                <w:color w:val="000000" w:themeColor="text1"/>
                <w:lang w:val="en-US" w:eastAsia="zh-CN"/>
                <w14:textFill>
                  <w14:solidFill>
                    <w14:schemeClr w14:val="tx1"/>
                  </w14:solidFill>
                </w14:textFill>
              </w:rPr>
              <w:t>0.03</w:t>
            </w:r>
            <w:r>
              <w:rPr>
                <w:rFonts w:hint="eastAsia" w:ascii="Times New Roman" w:hAnsi="Times New Roman" w:eastAsia="宋体" w:cs="Times New Roman"/>
                <w:color w:val="000000" w:themeColor="text1"/>
                <w:lang w:val="en-US" w:eastAsia="zh-CN"/>
                <w14:textFill>
                  <w14:solidFill>
                    <w14:schemeClr w14:val="tx1"/>
                  </w14:solidFill>
                </w14:textFill>
              </w:rPr>
              <w:t>t/a。</w:t>
            </w:r>
          </w:p>
          <w:p w14:paraId="141E5DA4">
            <w:pPr>
              <w:spacing w:line="360" w:lineRule="auto"/>
              <w:ind w:firstLine="420" w:firstLineChars="20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本项目</w:t>
            </w:r>
            <w:r>
              <w:rPr>
                <w:rFonts w:hint="eastAsia"/>
                <w:color w:val="000000" w:themeColor="text1"/>
                <w14:textFill>
                  <w14:solidFill>
                    <w14:schemeClr w14:val="tx1"/>
                  </w14:solidFill>
                </w14:textFill>
              </w:rPr>
              <w:t>吹</w:t>
            </w:r>
            <w:r>
              <w:rPr>
                <w:rFonts w:hint="eastAsia"/>
                <w:color w:val="000000" w:themeColor="text1"/>
                <w:szCs w:val="21"/>
                <w:highlight w:val="none"/>
                <w:lang w:val="en-US" w:eastAsia="zh-CN"/>
                <w14:textFill>
                  <w14:solidFill>
                    <w14:schemeClr w14:val="tx1"/>
                  </w14:solidFill>
                </w14:textFill>
              </w:rPr>
              <w:t>塑、</w:t>
            </w:r>
            <w:r>
              <w:rPr>
                <w:rFonts w:hint="eastAsia" w:ascii="Times New Roman" w:hAnsi="Times New Roman" w:eastAsia="宋体" w:cs="Times New Roman"/>
                <w:color w:val="000000" w:themeColor="text1"/>
                <w:lang w:val="en-US" w:eastAsia="zh-CN"/>
                <w14:textFill>
                  <w14:solidFill>
                    <w14:schemeClr w14:val="tx1"/>
                  </w14:solidFill>
                </w14:textFill>
              </w:rPr>
              <w:t>油性油墨印刷、烘干以及印刷机清理过程产生的非甲烷总烃，共计</w:t>
            </w:r>
            <w:r>
              <w:rPr>
                <w:rFonts w:hint="eastAsia" w:cs="Times New Roman"/>
                <w:color w:val="000000" w:themeColor="text1"/>
                <w:lang w:val="en-US" w:eastAsia="zh-CN"/>
                <w14:textFill>
                  <w14:solidFill>
                    <w14:schemeClr w14:val="tx1"/>
                  </w14:solidFill>
                </w14:textFill>
              </w:rPr>
              <w:t>1.1808</w:t>
            </w:r>
            <w:r>
              <w:rPr>
                <w:rFonts w:hint="eastAsia" w:ascii="Times New Roman" w:hAnsi="Times New Roman" w:eastAsia="宋体" w:cs="Times New Roman"/>
                <w:color w:val="000000" w:themeColor="text1"/>
                <w:lang w:val="en-US" w:eastAsia="zh-CN"/>
                <w14:textFill>
                  <w14:solidFill>
                    <w14:schemeClr w14:val="tx1"/>
                  </w14:solidFill>
                </w14:textFill>
              </w:rPr>
              <w:t>t/a，通过包围式集气罩+二级活性炭收集处理后通过25m高1#排气筒排</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放，风量</w:t>
            </w:r>
            <w:r>
              <w:rPr>
                <w:rFonts w:hint="eastAsia" w:cs="Times New Roman"/>
                <w:color w:val="000000" w:themeColor="text1"/>
                <w:highlight w:val="none"/>
                <w:lang w:val="en-US" w:eastAsia="zh-CN"/>
                <w14:textFill>
                  <w14:solidFill>
                    <w14:schemeClr w14:val="tx1"/>
                  </w14:solidFill>
                </w14:textFill>
              </w:rPr>
              <w:t>12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000m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/h，</w:t>
            </w:r>
            <w:r>
              <w:rPr>
                <w:rFonts w:hint="eastAsia" w:ascii="Times New Roman" w:hAnsi="Times New Roman" w:eastAsia="宋体" w:cs="Times New Roman"/>
                <w:color w:val="000000" w:themeColor="text1"/>
                <w:lang w:val="en-US" w:eastAsia="zh-CN"/>
                <w14:textFill>
                  <w14:solidFill>
                    <w14:schemeClr w14:val="tx1"/>
                  </w14:solidFill>
                </w14:textFill>
              </w:rPr>
              <w:t>收集率80%，处理率</w:t>
            </w:r>
            <w:r>
              <w:rPr>
                <w:rFonts w:hint="eastAsia" w:cs="Times New Roman"/>
                <w:color w:val="000000" w:themeColor="text1"/>
                <w:lang w:val="en-US" w:eastAsia="zh-CN"/>
                <w14:textFill>
                  <w14:solidFill>
                    <w14:schemeClr w14:val="tx1"/>
                  </w14:solidFill>
                </w14:textFill>
              </w:rPr>
              <w:t>90</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年工作时间为7200h</w:t>
            </w:r>
            <w:r>
              <w:rPr>
                <w:rFonts w:hint="eastAsia" w:ascii="Times New Roman" w:hAnsi="Times New Roman" w:eastAsia="宋体" w:cs="Times New Roman"/>
                <w:color w:val="000000" w:themeColor="text1"/>
                <w:lang w:val="en-US" w:eastAsia="zh-CN"/>
                <w14:textFill>
                  <w14:solidFill>
                    <w14:schemeClr w14:val="tx1"/>
                  </w14:solidFill>
                </w14:textFill>
              </w:rPr>
              <w:t>。</w:t>
            </w:r>
          </w:p>
          <w:p w14:paraId="410C6A2F">
            <w:pPr>
              <w:spacing w:line="360" w:lineRule="auto"/>
              <w:ind w:firstLine="420" w:firstLineChars="20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风量计算：根据《印刷工业污染防治可行技术指南》（HJ1089—2020）D.3.2 外部排风罩风量计算，风量=罩口平均风速*排风罩开口面面积*3600，</w:t>
            </w:r>
            <w:r>
              <w:rPr>
                <w:rFonts w:hint="eastAsia"/>
                <w:color w:val="000000" w:themeColor="text1"/>
                <w:highlight w:val="none"/>
                <w14:textFill>
                  <w14:solidFill>
                    <w14:schemeClr w14:val="tx1"/>
                  </w14:solidFill>
                </w14:textFill>
              </w:rPr>
              <w:t>项目设置</w:t>
            </w:r>
            <w:r>
              <w:rPr>
                <w:rFonts w:hint="eastAsia" w:ascii="宋体" w:hAnsi="宋体"/>
                <w:color w:val="000000" w:themeColor="text1"/>
                <w:sz w:val="21"/>
                <w:szCs w:val="21"/>
                <w:highlight w:val="none"/>
                <w14:textFill>
                  <w14:solidFill>
                    <w14:schemeClr w14:val="tx1"/>
                  </w14:solidFill>
                </w14:textFill>
              </w:rPr>
              <w:t>吹塑机</w:t>
            </w:r>
            <w:r>
              <w:rPr>
                <w:rFonts w:hint="eastAsia"/>
                <w:color w:val="000000" w:themeColor="text1"/>
                <w:highlight w:val="none"/>
                <w:lang w:val="en-US" w:eastAsia="zh-CN"/>
                <w14:textFill>
                  <w14:solidFill>
                    <w14:schemeClr w14:val="tx1"/>
                  </w14:solidFill>
                </w14:textFill>
              </w:rPr>
              <w:t>13</w:t>
            </w:r>
            <w:r>
              <w:rPr>
                <w:rFonts w:hint="eastAsia"/>
                <w:color w:val="000000" w:themeColor="text1"/>
                <w:highlight w:val="none"/>
                <w14:textFill>
                  <w14:solidFill>
                    <w14:schemeClr w14:val="tx1"/>
                  </w14:solidFill>
                </w14:textFill>
              </w:rPr>
              <w:t>台，</w:t>
            </w:r>
            <w:r>
              <w:rPr>
                <w:rFonts w:hint="eastAsia"/>
                <w:color w:val="000000" w:themeColor="text1"/>
                <w:highlight w:val="none"/>
                <w:lang w:val="en-US" w:eastAsia="zh-CN"/>
                <w14:textFill>
                  <w14:solidFill>
                    <w14:schemeClr w14:val="tx1"/>
                  </w14:solidFill>
                </w14:textFill>
              </w:rPr>
              <w:t>包围式</w:t>
            </w:r>
            <w:r>
              <w:rPr>
                <w:rFonts w:hint="eastAsia"/>
                <w:color w:val="000000" w:themeColor="text1"/>
                <w:highlight w:val="none"/>
                <w14:textFill>
                  <w14:solidFill>
                    <w14:schemeClr w14:val="tx1"/>
                  </w14:solidFill>
                </w14:textFill>
              </w:rPr>
              <w:t>集气罩尺寸约为</w:t>
            </w:r>
            <w:r>
              <w:rPr>
                <w:rFonts w:hint="eastAsia"/>
                <w:color w:val="000000" w:themeColor="text1"/>
                <w:highlight w:val="none"/>
                <w:lang w:val="en-US" w:eastAsia="zh-CN"/>
                <w14:textFill>
                  <w14:solidFill>
                    <w14:schemeClr w14:val="tx1"/>
                  </w14:solidFill>
                </w14:textFill>
              </w:rPr>
              <w:t>0.75</w:t>
            </w:r>
            <w:r>
              <w:rPr>
                <w:rFonts w:hint="eastAsia"/>
                <w:color w:val="000000" w:themeColor="text1"/>
                <w:highlight w:val="none"/>
                <w14:textFill>
                  <w14:solidFill>
                    <w14:schemeClr w14:val="tx1"/>
                  </w14:solidFill>
                </w14:textFill>
              </w:rPr>
              <w:t>m*0.</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m</w:t>
            </w:r>
            <w:r>
              <w:rPr>
                <w:rFonts w:hint="eastAsia"/>
                <w:color w:val="000000" w:themeColor="text1"/>
                <w:highlight w:val="none"/>
                <w:lang w:val="en-US" w:eastAsia="zh-CN"/>
                <w14:textFill>
                  <w14:solidFill>
                    <w14:schemeClr w14:val="tx1"/>
                  </w14:solidFill>
                </w14:textFill>
              </w:rPr>
              <w:t>/台</w:t>
            </w:r>
            <w:r>
              <w:rPr>
                <w:rFonts w:hint="eastAsia"/>
                <w:color w:val="000000" w:themeColor="text1"/>
                <w:highlight w:val="none"/>
                <w:lang w:eastAsia="zh-CN"/>
                <w14:textFill>
                  <w14:solidFill>
                    <w14:schemeClr w14:val="tx1"/>
                  </w14:solidFill>
                </w14:textFill>
              </w:rPr>
              <w:t>；</w:t>
            </w:r>
            <w:r>
              <w:rPr>
                <w:rFonts w:hint="eastAsia" w:ascii="宋体" w:hAnsi="宋体"/>
                <w:color w:val="000000" w:themeColor="text1"/>
                <w:sz w:val="21"/>
                <w:szCs w:val="21"/>
                <w:highlight w:val="none"/>
                <w14:textFill>
                  <w14:solidFill>
                    <w14:schemeClr w14:val="tx1"/>
                  </w14:solidFill>
                </w14:textFill>
              </w:rPr>
              <w:t>丝网印刷机</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台</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印刷机清理在印刷机包围式集气罩下方</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包围式</w:t>
            </w:r>
            <w:r>
              <w:rPr>
                <w:rFonts w:hint="eastAsia"/>
                <w:color w:val="000000" w:themeColor="text1"/>
                <w:highlight w:val="none"/>
                <w14:textFill>
                  <w14:solidFill>
                    <w14:schemeClr w14:val="tx1"/>
                  </w14:solidFill>
                </w14:textFill>
              </w:rPr>
              <w:t>集气罩尺寸约为</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m*</w:t>
            </w:r>
            <w:r>
              <w:rPr>
                <w:rFonts w:hint="eastAsia"/>
                <w:color w:val="000000" w:themeColor="text1"/>
                <w:highlight w:val="none"/>
                <w:lang w:val="en-US" w:eastAsia="zh-CN"/>
                <w14:textFill>
                  <w14:solidFill>
                    <w14:schemeClr w14:val="tx1"/>
                  </w14:solidFill>
                </w14:textFill>
              </w:rPr>
              <w:t>0.6</w:t>
            </w:r>
            <w:r>
              <w:rPr>
                <w:rFonts w:hint="eastAsia"/>
                <w:color w:val="000000" w:themeColor="text1"/>
                <w:highlight w:val="none"/>
                <w14:textFill>
                  <w14:solidFill>
                    <w14:schemeClr w14:val="tx1"/>
                  </w14:solidFill>
                </w14:textFill>
              </w:rPr>
              <w:t>m</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烘道进出口设置包围式集气罩各一个</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包围式</w:t>
            </w:r>
            <w:r>
              <w:rPr>
                <w:rFonts w:hint="eastAsia"/>
                <w:color w:val="000000" w:themeColor="text1"/>
                <w:highlight w:val="none"/>
                <w14:textFill>
                  <w14:solidFill>
                    <w14:schemeClr w14:val="tx1"/>
                  </w14:solidFill>
                </w14:textFill>
              </w:rPr>
              <w:t>集气罩尺寸</w:t>
            </w:r>
            <w:r>
              <w:rPr>
                <w:rFonts w:hint="eastAsia"/>
                <w:color w:val="000000" w:themeColor="text1"/>
                <w:highlight w:val="none"/>
                <w:lang w:val="en-US" w:eastAsia="zh-CN"/>
                <w14:textFill>
                  <w14:solidFill>
                    <w14:schemeClr w14:val="tx1"/>
                  </w14:solidFill>
                </w14:textFill>
              </w:rPr>
              <w:t>均</w:t>
            </w:r>
            <w:r>
              <w:rPr>
                <w:rFonts w:hint="eastAsia"/>
                <w:color w:val="000000" w:themeColor="text1"/>
                <w:highlight w:val="none"/>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m*</w:t>
            </w:r>
            <w:r>
              <w:rPr>
                <w:rFonts w:hint="eastAsia"/>
                <w:color w:val="000000" w:themeColor="text1"/>
                <w:highlight w:val="none"/>
                <w:lang w:val="en-US" w:eastAsia="zh-CN"/>
                <w14:textFill>
                  <w14:solidFill>
                    <w14:schemeClr w14:val="tx1"/>
                  </w14:solidFill>
                </w14:textFill>
              </w:rPr>
              <w:t>0.5</w:t>
            </w:r>
            <w:r>
              <w:rPr>
                <w:rFonts w:hint="eastAsia"/>
                <w:color w:val="000000" w:themeColor="text1"/>
                <w:highlight w:val="none"/>
                <w14:textFill>
                  <w14:solidFill>
                    <w14:schemeClr w14:val="tx1"/>
                  </w14:solidFill>
                </w14:textFill>
              </w:rPr>
              <w:t>m</w:t>
            </w:r>
            <w:r>
              <w:rPr>
                <w:rFonts w:hint="eastAsia"/>
                <w:color w:val="000000" w:themeColor="text1"/>
                <w:highlight w:val="none"/>
                <w:lang w:val="en-US" w:eastAsia="zh-CN"/>
                <w14:textFill>
                  <w14:solidFill>
                    <w14:schemeClr w14:val="tx1"/>
                  </w14:solidFill>
                </w14:textFill>
              </w:rPr>
              <w:t>，罩口平均风速</w:t>
            </w:r>
            <w:r>
              <w:rPr>
                <w:rFonts w:hint="eastAsia"/>
                <w:color w:val="000000" w:themeColor="text1"/>
                <w:highlight w:val="none"/>
                <w14:textFill>
                  <w14:solidFill>
                    <w14:schemeClr w14:val="tx1"/>
                  </w14:solidFill>
                </w14:textFill>
              </w:rPr>
              <w:t>为0.</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m/s，</w:t>
            </w:r>
            <w:r>
              <w:rPr>
                <w:rFonts w:hint="eastAsia"/>
                <w:color w:val="000000" w:themeColor="text1"/>
                <w:highlight w:val="none"/>
                <w:lang w:val="en-US" w:eastAsia="zh-CN"/>
                <w14:textFill>
                  <w14:solidFill>
                    <w14:schemeClr w14:val="tx1"/>
                  </w14:solidFill>
                </w14:textFill>
              </w:rPr>
              <w:t>则风量为</w:t>
            </w:r>
            <w:r>
              <w:rPr>
                <w:rFonts w:hint="eastAsia"/>
                <w:color w:val="000000" w:themeColor="text1"/>
                <w:kern w:val="1"/>
                <w:szCs w:val="21"/>
                <w:highlight w:val="none"/>
                <w:lang w:val="en-US" w:eastAsia="zh-CN"/>
                <w14:textFill>
                  <w14:solidFill>
                    <w14:schemeClr w14:val="tx1"/>
                  </w14:solidFill>
                </w14:textFill>
              </w:rPr>
              <w:t>9900</w:t>
            </w:r>
            <w:r>
              <w:rPr>
                <w:rFonts w:eastAsia="楷体"/>
                <w:color w:val="000000" w:themeColor="text1"/>
                <w:kern w:val="1"/>
                <w:szCs w:val="21"/>
                <w:highlight w:val="none"/>
                <w14:textFill>
                  <w14:solidFill>
                    <w14:schemeClr w14:val="tx1"/>
                  </w14:solidFill>
                </w14:textFill>
              </w:rPr>
              <w:t>m</w:t>
            </w:r>
            <w:r>
              <w:rPr>
                <w:rFonts w:eastAsia="楷体"/>
                <w:color w:val="000000" w:themeColor="text1"/>
                <w:kern w:val="1"/>
                <w:szCs w:val="21"/>
                <w:highlight w:val="none"/>
                <w:vertAlign w:val="superscript"/>
                <w14:textFill>
                  <w14:solidFill>
                    <w14:schemeClr w14:val="tx1"/>
                  </w14:solidFill>
                </w14:textFill>
              </w:rPr>
              <w:t>3</w:t>
            </w:r>
            <w:r>
              <w:rPr>
                <w:rFonts w:eastAsia="楷体"/>
                <w:color w:val="000000" w:themeColor="text1"/>
                <w:kern w:val="1"/>
                <w:szCs w:val="21"/>
                <w:highlight w:val="none"/>
                <w14:textFill>
                  <w14:solidFill>
                    <w14:schemeClr w14:val="tx1"/>
                  </w14:solidFill>
                </w14:textFill>
              </w:rPr>
              <w:t>/h，</w:t>
            </w:r>
            <w:r>
              <w:rPr>
                <w:color w:val="000000" w:themeColor="text1"/>
                <w:kern w:val="1"/>
                <w:szCs w:val="21"/>
                <w:highlight w:val="none"/>
                <w14:textFill>
                  <w14:solidFill>
                    <w14:schemeClr w14:val="tx1"/>
                  </w14:solidFill>
                </w14:textFill>
              </w:rPr>
              <w:t>考虑损耗风量，设计风量取整1</w:t>
            </w:r>
            <w:r>
              <w:rPr>
                <w:rFonts w:hint="eastAsia"/>
                <w:color w:val="000000" w:themeColor="text1"/>
                <w:kern w:val="1"/>
                <w:szCs w:val="21"/>
                <w:highlight w:val="none"/>
                <w:lang w:val="en-US" w:eastAsia="zh-CN"/>
                <w14:textFill>
                  <w14:solidFill>
                    <w14:schemeClr w14:val="tx1"/>
                  </w14:solidFill>
                </w14:textFill>
              </w:rPr>
              <w:t>2</w:t>
            </w:r>
            <w:r>
              <w:rPr>
                <w:color w:val="000000" w:themeColor="text1"/>
                <w:kern w:val="1"/>
                <w:szCs w:val="21"/>
                <w:highlight w:val="none"/>
                <w14:textFill>
                  <w14:solidFill>
                    <w14:schemeClr w14:val="tx1"/>
                  </w14:solidFill>
                </w14:textFill>
              </w:rPr>
              <w:t>000</w:t>
            </w:r>
            <w:r>
              <w:rPr>
                <w:rFonts w:eastAsia="楷体"/>
                <w:color w:val="000000" w:themeColor="text1"/>
                <w:kern w:val="1"/>
                <w:szCs w:val="21"/>
                <w:highlight w:val="none"/>
                <w14:textFill>
                  <w14:solidFill>
                    <w14:schemeClr w14:val="tx1"/>
                  </w14:solidFill>
                </w14:textFill>
              </w:rPr>
              <w:t>m</w:t>
            </w:r>
            <w:r>
              <w:rPr>
                <w:rFonts w:eastAsia="楷体"/>
                <w:color w:val="000000" w:themeColor="text1"/>
                <w:kern w:val="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highlight w:val="none"/>
                <w14:textFill>
                  <w14:solidFill>
                    <w14:schemeClr w14:val="tx1"/>
                  </w14:solidFill>
                </w14:textFill>
              </w:rPr>
              <w:t>/h。</w:t>
            </w:r>
          </w:p>
          <w:p w14:paraId="3357B8CD">
            <w:pPr>
              <w:spacing w:line="360" w:lineRule="auto"/>
              <w:ind w:firstLine="420" w:firstLineChars="200"/>
              <w:rPr>
                <w:color w:val="000000" w:themeColor="text1"/>
                <w:highlight w:val="none"/>
                <w14:textFill>
                  <w14:solidFill>
                    <w14:schemeClr w14:val="tx1"/>
                  </w14:solidFill>
                </w14:textFill>
              </w:rPr>
            </w:pPr>
            <w:r>
              <w:rPr>
                <w:rStyle w:val="32"/>
                <w:rFonts w:hint="eastAsia"/>
                <w:color w:val="000000" w:themeColor="text1"/>
                <w:kern w:val="0"/>
                <w:szCs w:val="20"/>
                <w:highlight w:val="none"/>
                <w:lang w:val="en-US" w:eastAsia="zh-CN"/>
                <w14:textFill>
                  <w14:solidFill>
                    <w14:schemeClr w14:val="tx1"/>
                  </w14:solidFill>
                </w14:textFill>
              </w:rPr>
              <w:t>收集处理率依据：</w:t>
            </w:r>
            <w:r>
              <w:rPr>
                <w:rStyle w:val="32"/>
                <w:rFonts w:hint="eastAsia" w:ascii="Times New Roman" w:hAnsi="Times New Roman"/>
                <w:color w:val="000000" w:themeColor="text1"/>
                <w:kern w:val="0"/>
                <w:szCs w:val="20"/>
                <w:highlight w:val="none"/>
                <w:lang w:val="en-US" w:eastAsia="zh-CN"/>
                <w14:textFill>
                  <w14:solidFill>
                    <w14:schemeClr w14:val="tx1"/>
                  </w14:solidFill>
                </w14:textFill>
              </w:rPr>
              <w:t>根据</w:t>
            </w:r>
            <w:r>
              <w:rPr>
                <w:rFonts w:hint="eastAsia"/>
                <w:color w:val="000000" w:themeColor="text1"/>
                <w:szCs w:val="21"/>
                <w:highlight w:val="none"/>
                <w14:textFill>
                  <w14:solidFill>
                    <w14:schemeClr w14:val="tx1"/>
                  </w14:solidFill>
                </w14:textFill>
              </w:rPr>
              <w:t>《浙江省重点行业 VOCs 污染排放源排放量计算方法（1.1 版）》（浙江省环境保护科学设计研究院浙江环科环境研究院有限公司2015年11月），表1-</w:t>
            </w:r>
            <w:r>
              <w:rPr>
                <w:rFonts w:hint="eastAsia"/>
                <w:color w:val="000000" w:themeColor="text1"/>
                <w:szCs w:val="21"/>
                <w:highlight w:val="none"/>
                <w:lang w:val="en-US" w:eastAsia="zh-CN"/>
                <w14:textFill>
                  <w14:solidFill>
                    <w14:schemeClr w14:val="tx1"/>
                  </w14:solidFill>
                </w14:textFill>
              </w:rPr>
              <w:t>1</w:t>
            </w:r>
            <w:r>
              <w:rPr>
                <w:rFonts w:hint="eastAsia"/>
                <w:color w:val="000000" w:themeColor="text1"/>
                <w:szCs w:val="21"/>
                <w:highlight w:val="none"/>
                <w14:textFill>
                  <w14:solidFill>
                    <w14:schemeClr w14:val="tx1"/>
                  </w14:solidFill>
                </w14:textFill>
              </w:rPr>
              <w:t xml:space="preserve"> VOCs 认定</w:t>
            </w:r>
            <w:r>
              <w:rPr>
                <w:rFonts w:hint="eastAsia"/>
                <w:color w:val="000000" w:themeColor="text1"/>
                <w:szCs w:val="21"/>
                <w:highlight w:val="none"/>
                <w:lang w:val="en-US" w:eastAsia="zh-CN"/>
                <w14:textFill>
                  <w14:solidFill>
                    <w14:schemeClr w14:val="tx1"/>
                  </w14:solidFill>
                </w14:textFill>
              </w:rPr>
              <w:t>收集</w:t>
            </w:r>
            <w:r>
              <w:rPr>
                <w:rFonts w:hint="eastAsia"/>
                <w:color w:val="000000" w:themeColor="text1"/>
                <w:szCs w:val="21"/>
                <w:highlight w:val="none"/>
                <w14:textFill>
                  <w14:solidFill>
                    <w14:schemeClr w14:val="tx1"/>
                  </w14:solidFill>
                </w14:textFill>
              </w:rPr>
              <w:t>效率表</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半密闭罩或通风橱方式收集效率为65-85%，达到上限效率必须满足的条件为：污染物产生点（面）处，往吸入口方向的控制风速不小于某一数值（喷漆不小于0.75m/s，其余不小于0.5m/s），本项目采用包围式集气罩收集，</w:t>
            </w:r>
            <w:r>
              <w:rPr>
                <w:rFonts w:ascii="Times New Roman" w:hAnsi="Times New Roman"/>
                <w:color w:val="000000" w:themeColor="text1"/>
                <w14:textFill>
                  <w14:solidFill>
                    <w14:schemeClr w14:val="tx1"/>
                  </w14:solidFill>
                </w14:textFill>
              </w:rPr>
              <w:t>操作口吸入速度</w:t>
            </w:r>
            <w:r>
              <w:rPr>
                <w:rFonts w:hint="eastAsia"/>
                <w:color w:val="000000" w:themeColor="text1"/>
                <w:highlight w:val="none"/>
                <w14:textFill>
                  <w14:solidFill>
                    <w14:schemeClr w14:val="tx1"/>
                  </w14:solidFill>
                </w14:textFill>
              </w:rPr>
              <w:t>为0.</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m/s</w:t>
            </w:r>
            <w:r>
              <w:rPr>
                <w:rStyle w:val="32"/>
                <w:rFonts w:hint="eastAsia" w:ascii="Times New Roman" w:hAnsi="Times New Roman"/>
                <w:color w:val="000000" w:themeColor="text1"/>
                <w:kern w:val="0"/>
                <w:szCs w:val="20"/>
                <w:highlight w:val="none"/>
                <w:lang w:val="en-US" w:eastAsia="zh-CN"/>
                <w14:textFill>
                  <w14:solidFill>
                    <w14:schemeClr w14:val="tx1"/>
                  </w14:solidFill>
                </w14:textFill>
              </w:rPr>
              <w:t>，收集率</w:t>
            </w:r>
            <w:r>
              <w:rPr>
                <w:rStyle w:val="32"/>
                <w:rFonts w:hint="eastAsia"/>
                <w:color w:val="000000" w:themeColor="text1"/>
                <w:kern w:val="0"/>
                <w:szCs w:val="20"/>
                <w:highlight w:val="none"/>
                <w:lang w:val="en-US" w:eastAsia="zh-CN"/>
                <w14:textFill>
                  <w14:solidFill>
                    <w14:schemeClr w14:val="tx1"/>
                  </w14:solidFill>
                </w14:textFill>
              </w:rPr>
              <w:t>取</w:t>
            </w:r>
            <w:r>
              <w:rPr>
                <w:rStyle w:val="32"/>
                <w:rFonts w:hint="eastAsia" w:ascii="Times New Roman" w:hAnsi="Times New Roman"/>
                <w:color w:val="000000" w:themeColor="text1"/>
                <w:kern w:val="0"/>
                <w:szCs w:val="20"/>
                <w:highlight w:val="none"/>
                <w:lang w:val="en-US" w:eastAsia="zh-CN"/>
                <w14:textFill>
                  <w14:solidFill>
                    <w14:schemeClr w14:val="tx1"/>
                  </w14:solidFill>
                </w14:textFill>
              </w:rPr>
              <w:t>80%</w:t>
            </w:r>
            <w:r>
              <w:rPr>
                <w:rFonts w:hint="eastAsia"/>
                <w:color w:val="000000" w:themeColor="text1"/>
                <w:highlight w:val="none"/>
                <w:lang w:val="en-US" w:eastAsia="zh-CN"/>
                <w14:textFill>
                  <w14:solidFill>
                    <w14:schemeClr w14:val="tx1"/>
                  </w14:solidFill>
                </w14:textFill>
              </w:rPr>
              <w:t>；</w:t>
            </w:r>
            <w:r>
              <w:rPr>
                <w:rFonts w:hint="eastAsia"/>
                <w:color w:val="000000" w:themeColor="text1"/>
                <w:szCs w:val="21"/>
                <w:highlight w:val="none"/>
                <w14:textFill>
                  <w14:solidFill>
                    <w14:schemeClr w14:val="tx1"/>
                  </w14:solidFill>
                </w14:textFill>
              </w:rPr>
              <w:t>根据《浙江省重点行业 VOCs 污染排放源排放量计算方法（1.1 版）》（浙江省环境保护科学设计研究院浙江环科环境研究院有限公司2015年11月），表1-2 VOCs 认定净化效率表，活性炭吸附抛弃法直接将“活性炭年更换量×15%”作为废气处理设施VOCs削减量，并进行复核</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1#二级活性炭吸附装置</w:t>
            </w:r>
            <w:r>
              <w:rPr>
                <w:rFonts w:hint="eastAsia"/>
                <w:color w:val="000000" w:themeColor="text1"/>
                <w:szCs w:val="21"/>
                <w:highlight w:val="none"/>
                <w14:textFill>
                  <w14:solidFill>
                    <w14:schemeClr w14:val="tx1"/>
                  </w14:solidFill>
                </w14:textFill>
              </w:rPr>
              <w:t>计算得活性炭年更换量为</w:t>
            </w:r>
            <w:r>
              <w:rPr>
                <w:rFonts w:hint="eastAsia"/>
                <w:color w:val="000000" w:themeColor="text1"/>
                <w:szCs w:val="21"/>
                <w:highlight w:val="none"/>
                <w:lang w:val="en-US" w:eastAsia="zh-CN"/>
                <w14:textFill>
                  <w14:solidFill>
                    <w14:schemeClr w14:val="tx1"/>
                  </w14:solidFill>
                </w14:textFill>
              </w:rPr>
              <w:t>6</w:t>
            </w:r>
            <w:r>
              <w:rPr>
                <w:rFonts w:hint="eastAsia"/>
                <w:color w:val="000000" w:themeColor="text1"/>
                <w:szCs w:val="21"/>
                <w:highlight w:val="none"/>
                <w14:textFill>
                  <w14:solidFill>
                    <w14:schemeClr w14:val="tx1"/>
                  </w14:solidFill>
                </w14:textFill>
              </w:rPr>
              <w:t>t，则该二级活性炭吸附装置VOCs削减量可达</w:t>
            </w:r>
            <w:r>
              <w:rPr>
                <w:rFonts w:hint="eastAsia"/>
                <w:color w:val="000000" w:themeColor="text1"/>
                <w:szCs w:val="21"/>
                <w:highlight w:val="none"/>
                <w:lang w:val="en-US" w:eastAsia="zh-CN"/>
                <w14:textFill>
                  <w14:solidFill>
                    <w14:schemeClr w14:val="tx1"/>
                  </w14:solidFill>
                </w14:textFill>
              </w:rPr>
              <w:t>0.9</w:t>
            </w:r>
            <w:r>
              <w:rPr>
                <w:rFonts w:hint="eastAsia"/>
                <w:color w:val="000000" w:themeColor="text1"/>
                <w:szCs w:val="21"/>
                <w:highlight w:val="none"/>
                <w14:textFill>
                  <w14:solidFill>
                    <w14:schemeClr w14:val="tx1"/>
                  </w14:solidFill>
                </w14:textFill>
              </w:rPr>
              <w:t>t</w:t>
            </w:r>
            <w:r>
              <w:rPr>
                <w:rFonts w:hint="eastAsia"/>
                <w:color w:val="000000" w:themeColor="text1"/>
                <w:szCs w:val="21"/>
                <w:highlight w:val="none"/>
                <w:lang w:val="en-US" w:eastAsia="zh-CN"/>
                <w14:textFill>
                  <w14:solidFill>
                    <w14:schemeClr w14:val="tx1"/>
                  </w14:solidFill>
                </w14:textFill>
              </w:rPr>
              <w:t>/a</w:t>
            </w:r>
            <w:r>
              <w:rPr>
                <w:rFonts w:hint="eastAsia"/>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1#二级活性炭吸附装置对应工段</w:t>
            </w:r>
            <w:r>
              <w:rPr>
                <w:rFonts w:hint="eastAsia"/>
                <w:color w:val="000000" w:themeColor="text1"/>
                <w:szCs w:val="21"/>
                <w:highlight w:val="none"/>
                <w14:textFill>
                  <w14:solidFill>
                    <w14:schemeClr w14:val="tx1"/>
                  </w14:solidFill>
                </w14:textFill>
              </w:rPr>
              <w:t>VOCs 有组织产生量为</w:t>
            </w:r>
            <w:r>
              <w:rPr>
                <w:rFonts w:hint="eastAsia"/>
                <w:color w:val="000000" w:themeColor="text1"/>
                <w:szCs w:val="21"/>
                <w:highlight w:val="none"/>
                <w:lang w:val="en-US" w:eastAsia="zh-CN"/>
                <w14:textFill>
                  <w14:solidFill>
                    <w14:schemeClr w14:val="tx1"/>
                  </w14:solidFill>
                </w14:textFill>
              </w:rPr>
              <w:t>0.9446t/a</w:t>
            </w:r>
            <w:r>
              <w:rPr>
                <w:rFonts w:hint="eastAsia"/>
                <w:color w:val="000000" w:themeColor="text1"/>
                <w:szCs w:val="21"/>
                <w:highlight w:val="none"/>
                <w14:textFill>
                  <w14:solidFill>
                    <w14:schemeClr w14:val="tx1"/>
                  </w14:solidFill>
                </w14:textFill>
              </w:rPr>
              <w:t>，即在保证活性炭更换频次要求的基础上，二级活性炭吸附装置VOCs有组织产生量去除效率可达</w:t>
            </w:r>
            <w:r>
              <w:rPr>
                <w:rFonts w:hint="eastAsia"/>
                <w:color w:val="000000" w:themeColor="text1"/>
                <w:szCs w:val="21"/>
                <w:highlight w:val="none"/>
                <w:lang w:val="en-US" w:eastAsia="zh-CN"/>
                <w14:textFill>
                  <w14:solidFill>
                    <w14:schemeClr w14:val="tx1"/>
                  </w14:solidFill>
                </w14:textFill>
              </w:rPr>
              <w:t>95</w:t>
            </w:r>
            <w:r>
              <w:rPr>
                <w:rFonts w:hint="eastAsia"/>
                <w:color w:val="000000" w:themeColor="text1"/>
                <w:szCs w:val="21"/>
                <w:highlight w:val="none"/>
                <w14:textFill>
                  <w14:solidFill>
                    <w14:schemeClr w14:val="tx1"/>
                  </w14:solidFill>
                </w14:textFill>
              </w:rPr>
              <w:t>%，本评价取90%</w:t>
            </w:r>
            <w:r>
              <w:rPr>
                <w:rFonts w:hint="eastAsia"/>
                <w:color w:val="000000" w:themeColor="text1"/>
                <w:szCs w:val="21"/>
                <w:highlight w:val="none"/>
                <w:lang w:eastAsia="zh-CN"/>
                <w14:textFill>
                  <w14:solidFill>
                    <w14:schemeClr w14:val="tx1"/>
                  </w14:solidFill>
                </w14:textFill>
              </w:rPr>
              <w:t>。</w:t>
            </w:r>
          </w:p>
          <w:p w14:paraId="2F79AA8C">
            <w:pPr>
              <w:numPr>
                <w:ilvl w:val="255"/>
                <w:numId w:val="0"/>
              </w:numPr>
              <w:spacing w:line="360" w:lineRule="auto"/>
              <w:ind w:firstLine="420" w:firstLineChars="200"/>
              <w:rPr>
                <w:color w:val="000000" w:themeColor="text1"/>
                <w:sz w:val="24"/>
                <w:szCs w:val="32"/>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w:t>
            </w:r>
            <w:r>
              <w:rPr>
                <w:rFonts w:hint="eastAsia"/>
                <w:color w:val="000000" w:themeColor="text1"/>
                <w:szCs w:val="21"/>
                <w:highlight w:val="none"/>
                <w:lang w:val="en-US" w:eastAsia="zh-CN"/>
                <w14:textFill>
                  <w14:solidFill>
                    <w14:schemeClr w14:val="tx1"/>
                  </w14:solidFill>
                </w14:textFill>
              </w:rPr>
              <w:t>1#排气筒</w:t>
            </w:r>
            <w:r>
              <w:rPr>
                <w:rFonts w:hint="eastAsia"/>
                <w:color w:val="000000" w:themeColor="text1"/>
                <w:szCs w:val="21"/>
                <w:highlight w:val="none"/>
                <w14:textFill>
                  <w14:solidFill>
                    <w14:schemeClr w14:val="tx1"/>
                  </w14:solidFill>
                </w14:textFill>
              </w:rPr>
              <w:t>有组织非甲烷总烃排放量为</w:t>
            </w:r>
            <w:r>
              <w:rPr>
                <w:rFonts w:hint="eastAsia"/>
                <w:color w:val="000000" w:themeColor="text1"/>
                <w:szCs w:val="21"/>
                <w:highlight w:val="none"/>
                <w:lang w:val="en-US" w:eastAsia="zh-CN"/>
                <w14:textFill>
                  <w14:solidFill>
                    <w14:schemeClr w14:val="tx1"/>
                  </w14:solidFill>
                </w14:textFill>
              </w:rPr>
              <w:t>0.0945</w:t>
            </w:r>
            <w:r>
              <w:rPr>
                <w:rFonts w:hint="eastAsia"/>
                <w:color w:val="000000" w:themeColor="text1"/>
                <w:szCs w:val="21"/>
                <w:highlight w:val="none"/>
                <w14:textFill>
                  <w14:solidFill>
                    <w14:schemeClr w14:val="tx1"/>
                  </w14:solidFill>
                </w14:textFill>
              </w:rPr>
              <w:t>t/a，排放速率为0.0</w:t>
            </w:r>
            <w:r>
              <w:rPr>
                <w:rFonts w:hint="eastAsia"/>
                <w:color w:val="000000" w:themeColor="text1"/>
                <w:szCs w:val="21"/>
                <w:highlight w:val="none"/>
                <w:lang w:val="en-US" w:eastAsia="zh-CN"/>
                <w14:textFill>
                  <w14:solidFill>
                    <w14:schemeClr w14:val="tx1"/>
                  </w14:solidFill>
                </w14:textFill>
              </w:rPr>
              <w:t>131</w:t>
            </w:r>
            <w:r>
              <w:rPr>
                <w:rFonts w:hint="eastAsia"/>
                <w:color w:val="000000" w:themeColor="text1"/>
                <w:szCs w:val="21"/>
                <w:highlight w:val="none"/>
                <w14:textFill>
                  <w14:solidFill>
                    <w14:schemeClr w14:val="tx1"/>
                  </w14:solidFill>
                </w14:textFill>
              </w:rPr>
              <w:t>kg/h，排放浓度为</w:t>
            </w:r>
            <w:r>
              <w:rPr>
                <w:rFonts w:hint="eastAsia"/>
                <w:color w:val="000000" w:themeColor="text1"/>
                <w:szCs w:val="21"/>
                <w:highlight w:val="none"/>
                <w:lang w:val="en-US" w:eastAsia="zh-CN"/>
                <w14:textFill>
                  <w14:solidFill>
                    <w14:schemeClr w14:val="tx1"/>
                  </w14:solidFill>
                </w14:textFill>
              </w:rPr>
              <w:t>1.09</w:t>
            </w:r>
            <w:r>
              <w:rPr>
                <w:rFonts w:hint="eastAsia"/>
                <w:color w:val="000000" w:themeColor="text1"/>
                <w:szCs w:val="21"/>
                <w:highlight w:val="none"/>
                <w14:textFill>
                  <w14:solidFill>
                    <w14:schemeClr w14:val="tx1"/>
                  </w14:solidFill>
                </w14:textFill>
              </w:rPr>
              <w:t>mg/m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；无组织非甲烷总烃排放量为</w:t>
            </w:r>
            <w:r>
              <w:rPr>
                <w:rFonts w:hint="eastAsia"/>
                <w:color w:val="000000" w:themeColor="text1"/>
                <w:szCs w:val="21"/>
                <w:highlight w:val="none"/>
                <w:lang w:val="en-US" w:eastAsia="zh-CN"/>
                <w14:textFill>
                  <w14:solidFill>
                    <w14:schemeClr w14:val="tx1"/>
                  </w14:solidFill>
                </w14:textFill>
              </w:rPr>
              <w:t>0.2362</w:t>
            </w:r>
            <w:r>
              <w:rPr>
                <w:rFonts w:hint="eastAsia"/>
                <w:color w:val="000000" w:themeColor="text1"/>
                <w:szCs w:val="21"/>
                <w:highlight w:val="none"/>
                <w14:textFill>
                  <w14:solidFill>
                    <w14:schemeClr w14:val="tx1"/>
                  </w14:solidFill>
                </w14:textFill>
              </w:rPr>
              <w:t>t/a，排放速率</w:t>
            </w:r>
            <w:r>
              <w:rPr>
                <w:rFonts w:hint="eastAsia"/>
                <w:color w:val="000000" w:themeColor="text1"/>
                <w:szCs w:val="21"/>
                <w:highlight w:val="none"/>
                <w:lang w:val="en-US" w:eastAsia="zh-CN"/>
                <w14:textFill>
                  <w14:solidFill>
                    <w14:schemeClr w14:val="tx1"/>
                  </w14:solidFill>
                </w14:textFill>
              </w:rPr>
              <w:t>0.0328</w:t>
            </w:r>
            <w:r>
              <w:rPr>
                <w:rFonts w:hint="eastAsia"/>
                <w:color w:val="000000" w:themeColor="text1"/>
                <w:szCs w:val="21"/>
                <w:highlight w:val="none"/>
                <w14:textFill>
                  <w14:solidFill>
                    <w14:schemeClr w14:val="tx1"/>
                  </w14:solidFill>
                </w14:textFill>
              </w:rPr>
              <w:t>kg/h。</w:t>
            </w:r>
          </w:p>
          <w:p w14:paraId="71E8CC1C">
            <w:pPr>
              <w:spacing w:line="360" w:lineRule="auto"/>
              <w:ind w:firstLine="422" w:firstLineChars="200"/>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2、无组织废气</w:t>
            </w:r>
          </w:p>
          <w:p w14:paraId="3640AABD">
            <w:pPr>
              <w:pStyle w:val="2"/>
              <w:spacing w:before="0" w:after="0" w:line="360" w:lineRule="auto"/>
              <w:ind w:right="0" w:firstLine="420" w:firstLineChars="200"/>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破碎</w:t>
            </w:r>
            <w:r>
              <w:rPr>
                <w:rFonts w:hint="eastAsia"/>
                <w:color w:val="000000" w:themeColor="text1"/>
                <w:sz w:val="21"/>
                <w:szCs w:val="21"/>
                <w14:textFill>
                  <w14:solidFill>
                    <w14:schemeClr w14:val="tx1"/>
                  </w14:solidFill>
                </w14:textFill>
              </w:rPr>
              <w:t>粉尘</w:t>
            </w:r>
            <w:r>
              <w:rPr>
                <w:rFonts w:hint="eastAsia"/>
                <w:color w:val="000000" w:themeColor="text1"/>
                <w:sz w:val="21"/>
                <w:szCs w:val="21"/>
                <w:lang w:eastAsia="zh-CN"/>
                <w14:textFill>
                  <w14:solidFill>
                    <w14:schemeClr w14:val="tx1"/>
                  </w14:solidFill>
                </w14:textFill>
              </w:rPr>
              <w:t>：</w:t>
            </w:r>
          </w:p>
          <w:p w14:paraId="0FCEC082">
            <w:pPr>
              <w:pStyle w:val="2"/>
              <w:spacing w:before="0" w:after="0" w:line="360" w:lineRule="auto"/>
              <w:ind w:right="0" w:firstLine="420" w:firstLineChars="200"/>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本项目</w:t>
            </w:r>
            <w:r>
              <w:rPr>
                <w:rFonts w:hint="eastAsia"/>
                <w:color w:val="000000" w:themeColor="text1"/>
                <w:sz w:val="21"/>
                <w:szCs w:val="21"/>
                <w:lang w:val="en-US" w:eastAsia="zh-CN"/>
                <w14:textFill>
                  <w14:solidFill>
                    <w14:schemeClr w14:val="tx1"/>
                  </w14:solidFill>
                </w14:textFill>
              </w:rPr>
              <w:t>破碎</w:t>
            </w:r>
            <w:r>
              <w:rPr>
                <w:color w:val="000000" w:themeColor="text1"/>
                <w:sz w:val="21"/>
                <w:szCs w:val="21"/>
                <w14:textFill>
                  <w14:solidFill>
                    <w14:schemeClr w14:val="tx1"/>
                  </w14:solidFill>
                </w14:textFill>
              </w:rPr>
              <w:t>工序工作时加盖全密闭，仅在出料环节会产生少量粉尘（颗粒物）</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需破碎的不合格品、边角料</w:t>
            </w:r>
            <w:r>
              <w:rPr>
                <w:rFonts w:hint="eastAsia"/>
                <w:color w:val="000000" w:themeColor="text1"/>
                <w:sz w:val="21"/>
                <w:szCs w:val="21"/>
                <w:lang w:val="en-US" w:eastAsia="zh-CN"/>
                <w14:textFill>
                  <w14:solidFill>
                    <w14:schemeClr w14:val="tx1"/>
                  </w14:solidFill>
                </w14:textFill>
              </w:rPr>
              <w:t>来自修边检验、机加工、检验工序，其中修边检验过程产品的不合格率约2%，检验过程产品的不合格率约1%，修边检验、机加工过程边角料产生量约为8t/a，项目</w:t>
            </w:r>
            <w:r>
              <w:rPr>
                <w:rFonts w:hint="default" w:ascii="Times New Roman" w:hAnsi="Times New Roman" w:cs="Times New Roman"/>
                <w:color w:val="000000" w:themeColor="text1"/>
                <w:sz w:val="21"/>
                <w:szCs w:val="21"/>
                <w14:textFill>
                  <w14:solidFill>
                    <w14:schemeClr w14:val="tx1"/>
                  </w14:solidFill>
                </w14:textFill>
              </w:rPr>
              <w:t>HDPE</w:t>
            </w:r>
            <w:r>
              <w:rPr>
                <w:rFonts w:hint="eastAsia"/>
                <w:color w:val="000000" w:themeColor="text1"/>
                <w:sz w:val="21"/>
                <w:szCs w:val="21"/>
                <w14:textFill>
                  <w14:solidFill>
                    <w14:schemeClr w14:val="tx1"/>
                  </w14:solidFill>
                </w14:textFill>
              </w:rPr>
              <w:t>塑料粒子用量为40</w:t>
            </w:r>
            <w:r>
              <w:rPr>
                <w:rFonts w:hint="eastAsia"/>
                <w:color w:val="000000" w:themeColor="text1"/>
                <w:sz w:val="21"/>
                <w:szCs w:val="21"/>
                <w:lang w:val="en-US" w:eastAsia="zh-CN"/>
                <w14:textFill>
                  <w14:solidFill>
                    <w14:schemeClr w14:val="tx1"/>
                  </w14:solidFill>
                </w14:textFill>
              </w:rPr>
              <w:t>0</w:t>
            </w:r>
            <w:r>
              <w:rPr>
                <w:rFonts w:hint="eastAsia"/>
                <w:color w:val="000000" w:themeColor="text1"/>
                <w:sz w:val="21"/>
                <w:szCs w:val="21"/>
                <w14:textFill>
                  <w14:solidFill>
                    <w14:schemeClr w14:val="tx1"/>
                  </w14:solidFill>
                </w14:textFill>
              </w:rPr>
              <w:t>t/a</w:t>
            </w:r>
            <w:r>
              <w:rPr>
                <w:rFonts w:hint="eastAsia"/>
                <w:color w:val="000000" w:themeColor="text1"/>
                <w:sz w:val="21"/>
                <w:szCs w:val="21"/>
                <w:lang w:val="en-US" w:eastAsia="zh-CN"/>
                <w14:textFill>
                  <w14:solidFill>
                    <w14:schemeClr w14:val="tx1"/>
                  </w14:solidFill>
                </w14:textFill>
              </w:rPr>
              <w:t>，则不合格品和边角料产生量</w:t>
            </w:r>
            <w:r>
              <w:rPr>
                <w:color w:val="000000" w:themeColor="text1"/>
                <w:sz w:val="21"/>
                <w:szCs w:val="21"/>
                <w14:textFill>
                  <w14:solidFill>
                    <w14:schemeClr w14:val="tx1"/>
                  </w14:solidFill>
                </w14:textFill>
              </w:rPr>
              <w:t>合计约</w:t>
            </w:r>
            <w:r>
              <w:rPr>
                <w:rFonts w:hint="eastAsia"/>
                <w:color w:val="000000" w:themeColor="text1"/>
                <w:sz w:val="21"/>
                <w:szCs w:val="21"/>
                <w:lang w:val="en-US" w:eastAsia="zh-CN"/>
                <w14:textFill>
                  <w14:solidFill>
                    <w14:schemeClr w14:val="tx1"/>
                  </w14:solidFill>
                </w14:textFill>
              </w:rPr>
              <w:t>20</w:t>
            </w:r>
            <w:r>
              <w:rPr>
                <w:color w:val="000000" w:themeColor="text1"/>
                <w:sz w:val="21"/>
                <w:szCs w:val="21"/>
                <w14:textFill>
                  <w14:solidFill>
                    <w14:schemeClr w14:val="tx1"/>
                  </w14:solidFill>
                </w14:textFill>
              </w:rPr>
              <w:t>t/a，年加工时间为</w:t>
            </w:r>
            <w:r>
              <w:rPr>
                <w:rFonts w:hint="eastAsia"/>
                <w:color w:val="000000" w:themeColor="text1"/>
                <w:sz w:val="21"/>
                <w:szCs w:val="21"/>
                <w:lang w:val="en-US" w:eastAsia="zh-CN"/>
                <w14:textFill>
                  <w14:solidFill>
                    <w14:schemeClr w14:val="tx1"/>
                  </w14:solidFill>
                </w14:textFill>
              </w:rPr>
              <w:t>30</w:t>
            </w:r>
            <w:r>
              <w:rPr>
                <w:color w:val="000000" w:themeColor="text1"/>
                <w:sz w:val="21"/>
                <w:szCs w:val="21"/>
                <w14:textFill>
                  <w14:solidFill>
                    <w14:schemeClr w14:val="tx1"/>
                  </w14:solidFill>
                </w14:textFill>
              </w:rPr>
              <w:t>0h</w:t>
            </w:r>
            <w:r>
              <w:rPr>
                <w:rFonts w:hint="eastAsia"/>
                <w:color w:val="000000" w:themeColor="text1"/>
                <w:sz w:val="21"/>
                <w:szCs w:val="21"/>
                <w14:textFill>
                  <w14:solidFill>
                    <w14:schemeClr w14:val="tx1"/>
                  </w14:solidFill>
                </w14:textFill>
              </w:rPr>
              <w:t>。参考《排放源统计调查产排污核算方法和系数手册》（废弃资源综合利用行业系数手册）可知，废PE/PP干法破碎颗粒物产污系数为0.375kg/t原料（不合格品</w:t>
            </w:r>
            <w:r>
              <w:rPr>
                <w:color w:val="000000" w:themeColor="text1"/>
                <w:sz w:val="21"/>
                <w:szCs w:val="21"/>
                <w14:textFill>
                  <w14:solidFill>
                    <w14:schemeClr w14:val="tx1"/>
                  </w14:solidFill>
                </w14:textFill>
              </w:rPr>
              <w:t>、边角料</w:t>
            </w:r>
            <w:r>
              <w:rPr>
                <w:rFonts w:hint="eastAsia"/>
                <w:color w:val="000000" w:themeColor="text1"/>
                <w:sz w:val="21"/>
                <w:szCs w:val="21"/>
                <w14:textFill>
                  <w14:solidFill>
                    <w14:schemeClr w14:val="tx1"/>
                  </w14:solidFill>
                </w14:textFill>
              </w:rPr>
              <w:t>），则破碎工序的颗粒物</w:t>
            </w:r>
            <w:r>
              <w:rPr>
                <w:rFonts w:hint="eastAsia"/>
                <w:color w:val="000000" w:themeColor="text1"/>
                <w:sz w:val="21"/>
                <w:szCs w:val="21"/>
                <w:lang w:val="en-US" w:eastAsia="zh-CN"/>
                <w14:textFill>
                  <w14:solidFill>
                    <w14:schemeClr w14:val="tx1"/>
                  </w14:solidFill>
                </w14:textFill>
              </w:rPr>
              <w:t>产生</w:t>
            </w:r>
            <w:r>
              <w:rPr>
                <w:rFonts w:hint="eastAsia"/>
                <w:color w:val="000000" w:themeColor="text1"/>
                <w:sz w:val="21"/>
                <w:szCs w:val="21"/>
                <w14:textFill>
                  <w14:solidFill>
                    <w14:schemeClr w14:val="tx1"/>
                  </w14:solidFill>
                </w14:textFill>
              </w:rPr>
              <w:t>量为0.00</w:t>
            </w:r>
            <w:r>
              <w:rPr>
                <w:rFonts w:hint="eastAsia"/>
                <w:color w:val="000000" w:themeColor="text1"/>
                <w:sz w:val="21"/>
                <w:szCs w:val="21"/>
                <w:lang w:val="en-US" w:eastAsia="zh-CN"/>
                <w14:textFill>
                  <w14:solidFill>
                    <w14:schemeClr w14:val="tx1"/>
                  </w14:solidFill>
                </w14:textFill>
              </w:rPr>
              <w:t>75</w:t>
            </w:r>
            <w:r>
              <w:rPr>
                <w:rFonts w:hint="eastAsia"/>
                <w:color w:val="000000" w:themeColor="text1"/>
                <w:sz w:val="21"/>
                <w:szCs w:val="21"/>
                <w14:textFill>
                  <w14:solidFill>
                    <w14:schemeClr w14:val="tx1"/>
                  </w14:solidFill>
                </w14:textFill>
              </w:rPr>
              <w:t>t/a，</w:t>
            </w:r>
            <w:r>
              <w:rPr>
                <w:rFonts w:hint="eastAsia"/>
                <w:color w:val="000000" w:themeColor="text1"/>
                <w:sz w:val="21"/>
                <w:szCs w:val="21"/>
                <w:lang w:val="en-US" w:eastAsia="zh-CN"/>
                <w14:textFill>
                  <w14:solidFill>
                    <w14:schemeClr w14:val="tx1"/>
                  </w14:solidFill>
                </w14:textFill>
              </w:rPr>
              <w:t>破碎过程仅在开盖时有粉尘产生，开盖过程粉尘不易收集，且由于颗粒物</w:t>
            </w:r>
            <w:r>
              <w:rPr>
                <w:rFonts w:hint="eastAsia"/>
                <w:color w:val="000000" w:themeColor="text1"/>
                <w:sz w:val="21"/>
                <w:szCs w:val="21"/>
                <w14:textFill>
                  <w14:solidFill>
                    <w14:schemeClr w14:val="tx1"/>
                  </w14:solidFill>
                </w14:textFill>
              </w:rPr>
              <w:t>产生量较少，直接在车间内无组织排放，排放量为0.00</w:t>
            </w:r>
            <w:r>
              <w:rPr>
                <w:rFonts w:hint="eastAsia"/>
                <w:color w:val="000000" w:themeColor="text1"/>
                <w:sz w:val="21"/>
                <w:szCs w:val="21"/>
                <w:lang w:val="en-US" w:eastAsia="zh-CN"/>
                <w14:textFill>
                  <w14:solidFill>
                    <w14:schemeClr w14:val="tx1"/>
                  </w14:solidFill>
                </w14:textFill>
              </w:rPr>
              <w:t>75</w:t>
            </w:r>
            <w:r>
              <w:rPr>
                <w:rFonts w:hint="eastAsia"/>
                <w:color w:val="000000" w:themeColor="text1"/>
                <w:sz w:val="21"/>
                <w:szCs w:val="21"/>
                <w14:textFill>
                  <w14:solidFill>
                    <w14:schemeClr w14:val="tx1"/>
                  </w14:solidFill>
                </w14:textFill>
              </w:rPr>
              <w:t>t/a，排放速率为0.0</w:t>
            </w: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14:textFill>
                  <w14:solidFill>
                    <w14:schemeClr w14:val="tx1"/>
                  </w14:solidFill>
                </w14:textFill>
              </w:rPr>
              <w:t>5kg/h</w:t>
            </w:r>
            <w:r>
              <w:rPr>
                <w:color w:val="000000" w:themeColor="text1"/>
                <w:sz w:val="21"/>
                <w:szCs w:val="21"/>
                <w14:textFill>
                  <w14:solidFill>
                    <w14:schemeClr w14:val="tx1"/>
                  </w14:solidFill>
                </w14:textFill>
              </w:rPr>
              <w:t>。</w:t>
            </w:r>
          </w:p>
          <w:p w14:paraId="472C3345">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本项目生产废气产生、治理及排放情况见图4.1-1、表4.1-1。</w:t>
            </w:r>
          </w:p>
          <w:p w14:paraId="091B6C62">
            <w:pPr>
              <w:pStyle w:val="5"/>
              <w:ind w:firstLine="0" w:firstLineChars="0"/>
              <w:jc w:val="center"/>
              <w:rPr>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5608320" cy="1644650"/>
                  <wp:effectExtent l="0" t="0" r="11430" b="127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0"/>
                          <a:stretch>
                            <a:fillRect/>
                          </a:stretch>
                        </pic:blipFill>
                        <pic:spPr>
                          <a:xfrm>
                            <a:off x="0" y="0"/>
                            <a:ext cx="5608320" cy="1644650"/>
                          </a:xfrm>
                          <a:prstGeom prst="rect">
                            <a:avLst/>
                          </a:prstGeom>
                          <a:noFill/>
                          <a:ln>
                            <a:noFill/>
                          </a:ln>
                        </pic:spPr>
                      </pic:pic>
                    </a:graphicData>
                  </a:graphic>
                </wp:inline>
              </w:drawing>
            </w:r>
          </w:p>
          <w:p w14:paraId="5416318A">
            <w:pPr>
              <w:spacing w:beforeLines="30"/>
              <w:ind w:left="0" w:leftChars="0" w:firstLineChars="0"/>
              <w:jc w:val="center"/>
              <w:rPr>
                <w:color w:val="000000" w:themeColor="text1"/>
                <w14:textFill>
                  <w14:solidFill>
                    <w14:schemeClr w14:val="tx1"/>
                  </w14:solidFill>
                </w14:textFill>
              </w:rPr>
            </w:pPr>
            <w:r>
              <w:rPr>
                <w:rFonts w:hint="eastAsia"/>
                <w:b/>
                <w:bCs/>
                <w:color w:val="000000" w:themeColor="text1"/>
                <w:szCs w:val="21"/>
                <w14:textFill>
                  <w14:solidFill>
                    <w14:schemeClr w14:val="tx1"/>
                  </w14:solidFill>
                </w14:textFill>
              </w:rPr>
              <w:t>图</w:t>
            </w:r>
            <w:r>
              <w:rPr>
                <w:b/>
                <w:bCs/>
                <w:color w:val="000000" w:themeColor="text1"/>
                <w:szCs w:val="21"/>
                <w14:textFill>
                  <w14:solidFill>
                    <w14:schemeClr w14:val="tx1"/>
                  </w14:solidFill>
                </w14:textFill>
              </w:rPr>
              <w:t xml:space="preserve">4.1-1   </w:t>
            </w:r>
            <w:r>
              <w:rPr>
                <w:rFonts w:hint="eastAsia"/>
                <w:b/>
                <w:bCs/>
                <w:color w:val="000000" w:themeColor="text1"/>
                <w:szCs w:val="21"/>
                <w14:textFill>
                  <w14:solidFill>
                    <w14:schemeClr w14:val="tx1"/>
                  </w14:solidFill>
                </w14:textFill>
              </w:rPr>
              <w:t>本项目生产</w:t>
            </w:r>
            <w:r>
              <w:rPr>
                <w:b/>
                <w:bCs/>
                <w:color w:val="000000" w:themeColor="text1"/>
                <w:szCs w:val="21"/>
                <w14:textFill>
                  <w14:solidFill>
                    <w14:schemeClr w14:val="tx1"/>
                  </w14:solidFill>
                </w14:textFill>
              </w:rPr>
              <w:t>废气收集、处理及排放方式</w:t>
            </w:r>
            <w:r>
              <w:rPr>
                <w:rFonts w:hint="eastAsia"/>
                <w:b/>
                <w:bCs/>
                <w:color w:val="000000" w:themeColor="text1"/>
                <w:szCs w:val="21"/>
                <w14:textFill>
                  <w14:solidFill>
                    <w14:schemeClr w14:val="tx1"/>
                  </w14:solidFill>
                </w14:textFill>
              </w:rPr>
              <w:t>图</w:t>
            </w:r>
          </w:p>
        </w:tc>
      </w:tr>
    </w:tbl>
    <w:p w14:paraId="36E9CD70">
      <w:pPr>
        <w:adjustRightInd w:val="0"/>
        <w:snapToGrid w:val="0"/>
        <w:spacing w:line="360" w:lineRule="auto"/>
        <w:rPr>
          <w:b/>
          <w:color w:val="000000" w:themeColor="text1"/>
          <w:kern w:val="0"/>
          <w:sz w:val="28"/>
          <w:szCs w:val="28"/>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1"/>
        <w:gridCol w:w="12774"/>
      </w:tblGrid>
      <w:tr w14:paraId="5E9B54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4" w:hRule="atLeast"/>
          <w:jc w:val="center"/>
        </w:trPr>
        <w:tc>
          <w:tcPr>
            <w:tcW w:w="141" w:type="pct"/>
            <w:noWrap/>
            <w:tcMar>
              <w:left w:w="28" w:type="dxa"/>
              <w:right w:w="28" w:type="dxa"/>
            </w:tcMar>
            <w:vAlign w:val="center"/>
          </w:tcPr>
          <w:p w14:paraId="320B643E">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运营</w:t>
            </w:r>
          </w:p>
          <w:p w14:paraId="2E0FFFED">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期环</w:t>
            </w:r>
          </w:p>
          <w:p w14:paraId="41420142">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境影</w:t>
            </w:r>
          </w:p>
          <w:p w14:paraId="4CFF99A7">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响和</w:t>
            </w:r>
          </w:p>
          <w:p w14:paraId="54FF522D">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保护</w:t>
            </w:r>
          </w:p>
          <w:p w14:paraId="72DC048E">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措施</w:t>
            </w:r>
          </w:p>
        </w:tc>
        <w:tc>
          <w:tcPr>
            <w:tcW w:w="4858" w:type="pct"/>
            <w:noWrap/>
            <w:vAlign w:val="center"/>
          </w:tcPr>
          <w:p w14:paraId="472EAEF2">
            <w:pPr>
              <w:spacing w:beforeLines="30"/>
              <w:jc w:val="center"/>
              <w:rPr>
                <w:rFonts w:hint="default"/>
                <w:color w:val="000000" w:themeColor="text1"/>
                <w:sz w:val="24"/>
                <w:lang w:val="en-US"/>
                <w14:textFill>
                  <w14:solidFill>
                    <w14:schemeClr w14:val="tx1"/>
                  </w14:solidFill>
                </w14:textFill>
              </w:rPr>
            </w:pPr>
            <w:r>
              <w:rPr>
                <w:b/>
                <w:bCs/>
                <w:color w:val="000000" w:themeColor="text1"/>
                <w:szCs w:val="21"/>
                <w14:textFill>
                  <w14:solidFill>
                    <w14:schemeClr w14:val="tx1"/>
                  </w14:solidFill>
                </w14:textFill>
              </w:rPr>
              <w:t xml:space="preserve">表4.1-1  </w:t>
            </w:r>
            <w:r>
              <w:rPr>
                <w:rFonts w:hint="eastAsia"/>
                <w:b/>
                <w:bCs/>
                <w:color w:val="000000" w:themeColor="text1"/>
                <w:szCs w:val="21"/>
                <w14:textFill>
                  <w14:solidFill>
                    <w14:schemeClr w14:val="tx1"/>
                  </w14:solidFill>
                </w14:textFill>
              </w:rPr>
              <w:t>本项目</w:t>
            </w:r>
            <w:r>
              <w:rPr>
                <w:rFonts w:hint="eastAsia"/>
                <w:b/>
                <w:bCs/>
                <w:color w:val="000000" w:themeColor="text1"/>
                <w:szCs w:val="21"/>
                <w:lang w:val="en-US" w:eastAsia="zh-CN"/>
                <w14:textFill>
                  <w14:solidFill>
                    <w14:schemeClr w14:val="tx1"/>
                  </w14:solidFill>
                </w14:textFill>
              </w:rPr>
              <w:t>废气排放源强</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7"/>
              <w:gridCol w:w="576"/>
              <w:gridCol w:w="819"/>
              <w:gridCol w:w="751"/>
              <w:gridCol w:w="791"/>
              <w:gridCol w:w="507"/>
              <w:gridCol w:w="1035"/>
              <w:gridCol w:w="734"/>
              <w:gridCol w:w="545"/>
              <w:gridCol w:w="620"/>
              <w:gridCol w:w="784"/>
              <w:gridCol w:w="834"/>
              <w:gridCol w:w="790"/>
              <w:gridCol w:w="899"/>
              <w:gridCol w:w="822"/>
              <w:gridCol w:w="654"/>
              <w:gridCol w:w="644"/>
            </w:tblGrid>
            <w:tr w14:paraId="6E01E6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vMerge w:val="restart"/>
                  <w:noWrap/>
                  <w:vAlign w:val="center"/>
                </w:tcPr>
                <w:p w14:paraId="44BB0E59">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产排污环节</w:t>
                  </w:r>
                </w:p>
              </w:tc>
              <w:tc>
                <w:tcPr>
                  <w:tcW w:w="576" w:type="dxa"/>
                  <w:vMerge w:val="restart"/>
                  <w:noWrap/>
                  <w:vAlign w:val="center"/>
                </w:tcPr>
                <w:p w14:paraId="0FFAF800">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r>
                    <w:rPr>
                      <w:rFonts w:hint="eastAsia"/>
                      <w:b/>
                      <w:bCs/>
                      <w:color w:val="000000" w:themeColor="text1"/>
                      <w:szCs w:val="21"/>
                      <w14:textFill>
                        <w14:solidFill>
                          <w14:schemeClr w14:val="tx1"/>
                        </w14:solidFill>
                      </w14:textFill>
                    </w:rPr>
                    <w:t>种类</w:t>
                  </w:r>
                </w:p>
              </w:tc>
              <w:tc>
                <w:tcPr>
                  <w:tcW w:w="2361" w:type="dxa"/>
                  <w:gridSpan w:val="3"/>
                  <w:noWrap/>
                  <w:vAlign w:val="center"/>
                </w:tcPr>
                <w:p w14:paraId="6F4FEBD3">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污染物</w:t>
                  </w:r>
                  <w:r>
                    <w:rPr>
                      <w:b/>
                      <w:bCs/>
                      <w:color w:val="000000" w:themeColor="text1"/>
                      <w:szCs w:val="21"/>
                      <w14:textFill>
                        <w14:solidFill>
                          <w14:schemeClr w14:val="tx1"/>
                        </w14:solidFill>
                      </w14:textFill>
                    </w:rPr>
                    <w:t>产生状况</w:t>
                  </w:r>
                </w:p>
              </w:tc>
              <w:tc>
                <w:tcPr>
                  <w:tcW w:w="507" w:type="dxa"/>
                  <w:vMerge w:val="restart"/>
                  <w:noWrap/>
                  <w:vAlign w:val="center"/>
                </w:tcPr>
                <w:p w14:paraId="40333D72">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排放</w:t>
                  </w:r>
                </w:p>
                <w:p w14:paraId="1508E87C">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方式</w:t>
                  </w:r>
                </w:p>
              </w:tc>
              <w:tc>
                <w:tcPr>
                  <w:tcW w:w="3718" w:type="dxa"/>
                  <w:gridSpan w:val="5"/>
                  <w:noWrap/>
                  <w:vAlign w:val="center"/>
                </w:tcPr>
                <w:p w14:paraId="5D96FA1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治理</w:t>
                  </w:r>
                  <w:r>
                    <w:rPr>
                      <w:rFonts w:hint="eastAsia"/>
                      <w:b/>
                      <w:bCs/>
                      <w:color w:val="000000" w:themeColor="text1"/>
                      <w:szCs w:val="21"/>
                      <w14:textFill>
                        <w14:solidFill>
                          <w14:schemeClr w14:val="tx1"/>
                        </w14:solidFill>
                      </w14:textFill>
                    </w:rPr>
                    <w:t>设施</w:t>
                  </w:r>
                </w:p>
              </w:tc>
              <w:tc>
                <w:tcPr>
                  <w:tcW w:w="2523" w:type="dxa"/>
                  <w:gridSpan w:val="3"/>
                  <w:noWrap/>
                  <w:vAlign w:val="center"/>
                </w:tcPr>
                <w:p w14:paraId="1A6E792A">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污染物</w:t>
                  </w:r>
                  <w:r>
                    <w:rPr>
                      <w:b/>
                      <w:bCs/>
                      <w:color w:val="000000" w:themeColor="text1"/>
                      <w:szCs w:val="21"/>
                      <w14:textFill>
                        <w14:solidFill>
                          <w14:schemeClr w14:val="tx1"/>
                        </w14:solidFill>
                      </w14:textFill>
                    </w:rPr>
                    <w:t>排放状况</w:t>
                  </w:r>
                </w:p>
              </w:tc>
              <w:tc>
                <w:tcPr>
                  <w:tcW w:w="1476" w:type="dxa"/>
                  <w:gridSpan w:val="2"/>
                  <w:noWrap/>
                  <w:vAlign w:val="center"/>
                </w:tcPr>
                <w:p w14:paraId="393912A7">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排放标准</w:t>
                  </w:r>
                </w:p>
              </w:tc>
              <w:tc>
                <w:tcPr>
                  <w:tcW w:w="644" w:type="dxa"/>
                  <w:vMerge w:val="restart"/>
                  <w:noWrap/>
                  <w:vAlign w:val="center"/>
                </w:tcPr>
                <w:p w14:paraId="611B24CB">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排放口名称/面源名称</w:t>
                  </w:r>
                </w:p>
              </w:tc>
            </w:tr>
            <w:tr w14:paraId="61DD5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vMerge w:val="continue"/>
                  <w:noWrap/>
                  <w:vAlign w:val="center"/>
                </w:tcPr>
                <w:p w14:paraId="50E24E20">
                  <w:pPr>
                    <w:ind w:firstLine="360"/>
                    <w:jc w:val="center"/>
                    <w:rPr>
                      <w:b/>
                      <w:bCs/>
                      <w:color w:val="000000" w:themeColor="text1"/>
                      <w:szCs w:val="21"/>
                      <w14:textFill>
                        <w14:solidFill>
                          <w14:schemeClr w14:val="tx1"/>
                        </w14:solidFill>
                      </w14:textFill>
                    </w:rPr>
                  </w:pPr>
                </w:p>
              </w:tc>
              <w:tc>
                <w:tcPr>
                  <w:tcW w:w="576" w:type="dxa"/>
                  <w:vMerge w:val="continue"/>
                  <w:noWrap/>
                  <w:vAlign w:val="center"/>
                </w:tcPr>
                <w:p w14:paraId="19EAB408">
                  <w:pPr>
                    <w:ind w:firstLine="360"/>
                    <w:jc w:val="center"/>
                    <w:rPr>
                      <w:b/>
                      <w:bCs/>
                      <w:color w:val="000000" w:themeColor="text1"/>
                      <w:szCs w:val="21"/>
                      <w14:textFill>
                        <w14:solidFill>
                          <w14:schemeClr w14:val="tx1"/>
                        </w14:solidFill>
                      </w14:textFill>
                    </w:rPr>
                  </w:pPr>
                </w:p>
              </w:tc>
              <w:tc>
                <w:tcPr>
                  <w:tcW w:w="819" w:type="dxa"/>
                  <w:noWrap/>
                  <w:vAlign w:val="center"/>
                </w:tcPr>
                <w:p w14:paraId="1B47C74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浓度</w:t>
                  </w:r>
                </w:p>
                <w:p w14:paraId="1BBDDC4A">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mg/m</w:t>
                  </w:r>
                  <w:r>
                    <w:rPr>
                      <w:b/>
                      <w:bCs/>
                      <w:color w:val="000000" w:themeColor="text1"/>
                      <w:szCs w:val="21"/>
                      <w:vertAlign w:val="superscript"/>
                      <w14:textFill>
                        <w14:solidFill>
                          <w14:schemeClr w14:val="tx1"/>
                        </w14:solidFill>
                      </w14:textFill>
                    </w:rPr>
                    <w:t>3</w:t>
                  </w:r>
                </w:p>
              </w:tc>
              <w:tc>
                <w:tcPr>
                  <w:tcW w:w="751" w:type="dxa"/>
                  <w:noWrap/>
                  <w:vAlign w:val="center"/>
                </w:tcPr>
                <w:p w14:paraId="555907A8">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产生速率kg/h</w:t>
                  </w:r>
                </w:p>
              </w:tc>
              <w:tc>
                <w:tcPr>
                  <w:tcW w:w="791" w:type="dxa"/>
                  <w:noWrap/>
                  <w:vAlign w:val="center"/>
                </w:tcPr>
                <w:p w14:paraId="5F2D960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年产生量t/a</w:t>
                  </w:r>
                </w:p>
              </w:tc>
              <w:tc>
                <w:tcPr>
                  <w:tcW w:w="507" w:type="dxa"/>
                  <w:vMerge w:val="continue"/>
                  <w:noWrap/>
                  <w:vAlign w:val="center"/>
                </w:tcPr>
                <w:p w14:paraId="11E19E84">
                  <w:pPr>
                    <w:jc w:val="center"/>
                    <w:rPr>
                      <w:b/>
                      <w:bCs/>
                      <w:color w:val="000000" w:themeColor="text1"/>
                      <w:szCs w:val="21"/>
                      <w14:textFill>
                        <w14:solidFill>
                          <w14:schemeClr w14:val="tx1"/>
                        </w14:solidFill>
                      </w14:textFill>
                    </w:rPr>
                  </w:pPr>
                </w:p>
              </w:tc>
              <w:tc>
                <w:tcPr>
                  <w:tcW w:w="1035" w:type="dxa"/>
                  <w:noWrap/>
                  <w:vAlign w:val="center"/>
                </w:tcPr>
                <w:p w14:paraId="127BD9D6">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名称</w:t>
                  </w:r>
                </w:p>
              </w:tc>
              <w:tc>
                <w:tcPr>
                  <w:tcW w:w="734" w:type="dxa"/>
                  <w:noWrap/>
                  <w:vAlign w:val="center"/>
                </w:tcPr>
                <w:p w14:paraId="6D60E667">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处理能力m</w:t>
                  </w:r>
                  <w:r>
                    <w:rPr>
                      <w:rFonts w:hint="eastAsia"/>
                      <w:b/>
                      <w:bCs/>
                      <w:color w:val="000000" w:themeColor="text1"/>
                      <w:szCs w:val="21"/>
                      <w:vertAlign w:val="superscript"/>
                      <w14:textFill>
                        <w14:solidFill>
                          <w14:schemeClr w14:val="tx1"/>
                        </w14:solidFill>
                      </w14:textFill>
                    </w:rPr>
                    <w:t>3</w:t>
                  </w:r>
                  <w:r>
                    <w:rPr>
                      <w:rFonts w:hint="eastAsia"/>
                      <w:b/>
                      <w:bCs/>
                      <w:color w:val="000000" w:themeColor="text1"/>
                      <w:szCs w:val="21"/>
                      <w14:textFill>
                        <w14:solidFill>
                          <w14:schemeClr w14:val="tx1"/>
                        </w14:solidFill>
                      </w14:textFill>
                    </w:rPr>
                    <w:t>/h</w:t>
                  </w:r>
                </w:p>
              </w:tc>
              <w:tc>
                <w:tcPr>
                  <w:tcW w:w="545" w:type="dxa"/>
                  <w:noWrap/>
                  <w:vAlign w:val="center"/>
                </w:tcPr>
                <w:p w14:paraId="42C5591D">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收集率%</w:t>
                  </w:r>
                </w:p>
              </w:tc>
              <w:tc>
                <w:tcPr>
                  <w:tcW w:w="620" w:type="dxa"/>
                  <w:noWrap/>
                  <w:vAlign w:val="center"/>
                </w:tcPr>
                <w:p w14:paraId="4F666D39">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处理率</w:t>
                  </w:r>
                  <w:r>
                    <w:rPr>
                      <w:rFonts w:hint="eastAsia"/>
                      <w:color w:val="000000" w:themeColor="text1"/>
                      <w:szCs w:val="21"/>
                      <w14:textFill>
                        <w14:solidFill>
                          <w14:schemeClr w14:val="tx1"/>
                        </w14:solidFill>
                      </w14:textFill>
                    </w:rPr>
                    <w:t>%</w:t>
                  </w:r>
                </w:p>
              </w:tc>
              <w:tc>
                <w:tcPr>
                  <w:tcW w:w="784" w:type="dxa"/>
                  <w:noWrap/>
                  <w:vAlign w:val="center"/>
                </w:tcPr>
                <w:p w14:paraId="7E03576A">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是否为可行性技术</w:t>
                  </w:r>
                </w:p>
              </w:tc>
              <w:tc>
                <w:tcPr>
                  <w:tcW w:w="834" w:type="dxa"/>
                  <w:noWrap/>
                  <w:vAlign w:val="center"/>
                </w:tcPr>
                <w:p w14:paraId="3985414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浓度</w:t>
                  </w:r>
                </w:p>
                <w:p w14:paraId="0962CAA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mg/m</w:t>
                  </w:r>
                  <w:r>
                    <w:rPr>
                      <w:b/>
                      <w:bCs/>
                      <w:color w:val="000000" w:themeColor="text1"/>
                      <w:szCs w:val="21"/>
                      <w:vertAlign w:val="superscript"/>
                      <w14:textFill>
                        <w14:solidFill>
                          <w14:schemeClr w14:val="tx1"/>
                        </w14:solidFill>
                      </w14:textFill>
                    </w:rPr>
                    <w:t>3</w:t>
                  </w:r>
                </w:p>
              </w:tc>
              <w:tc>
                <w:tcPr>
                  <w:tcW w:w="790" w:type="dxa"/>
                  <w:noWrap/>
                  <w:vAlign w:val="center"/>
                </w:tcPr>
                <w:p w14:paraId="449E24E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速率kg/h</w:t>
                  </w:r>
                </w:p>
              </w:tc>
              <w:tc>
                <w:tcPr>
                  <w:tcW w:w="899" w:type="dxa"/>
                  <w:noWrap/>
                  <w:vAlign w:val="center"/>
                </w:tcPr>
                <w:p w14:paraId="1F7E7799">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年排放量t/a</w:t>
                  </w:r>
                </w:p>
              </w:tc>
              <w:tc>
                <w:tcPr>
                  <w:tcW w:w="822" w:type="dxa"/>
                  <w:noWrap/>
                  <w:vAlign w:val="center"/>
                </w:tcPr>
                <w:p w14:paraId="03250BA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浓度mg/m</w:t>
                  </w:r>
                  <w:r>
                    <w:rPr>
                      <w:b/>
                      <w:bCs/>
                      <w:color w:val="000000" w:themeColor="text1"/>
                      <w:szCs w:val="21"/>
                      <w:vertAlign w:val="superscript"/>
                      <w14:textFill>
                        <w14:solidFill>
                          <w14:schemeClr w14:val="tx1"/>
                        </w14:solidFill>
                      </w14:textFill>
                    </w:rPr>
                    <w:t>3</w:t>
                  </w:r>
                </w:p>
              </w:tc>
              <w:tc>
                <w:tcPr>
                  <w:tcW w:w="654" w:type="dxa"/>
                  <w:noWrap/>
                  <w:vAlign w:val="center"/>
                </w:tcPr>
                <w:p w14:paraId="2B0981D4">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速率kg/h</w:t>
                  </w:r>
                </w:p>
              </w:tc>
              <w:tc>
                <w:tcPr>
                  <w:tcW w:w="644" w:type="dxa"/>
                  <w:vMerge w:val="continue"/>
                  <w:noWrap/>
                  <w:vAlign w:val="center"/>
                </w:tcPr>
                <w:p w14:paraId="5C47DC09">
                  <w:pPr>
                    <w:jc w:val="center"/>
                    <w:rPr>
                      <w:b/>
                      <w:bCs/>
                      <w:color w:val="000000" w:themeColor="text1"/>
                      <w:szCs w:val="21"/>
                      <w14:textFill>
                        <w14:solidFill>
                          <w14:schemeClr w14:val="tx1"/>
                        </w14:solidFill>
                      </w14:textFill>
                    </w:rPr>
                  </w:pPr>
                </w:p>
              </w:tc>
            </w:tr>
            <w:tr w14:paraId="1292E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747" w:type="dxa"/>
                  <w:vMerge w:val="restart"/>
                  <w:noWrap/>
                  <w:vAlign w:val="center"/>
                </w:tcPr>
                <w:p w14:paraId="4CFF98C5">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吹塑、印刷、烘干、印刷机</w:t>
                  </w:r>
                  <w:r>
                    <w:rPr>
                      <w:rFonts w:hint="eastAsia"/>
                      <w:color w:val="000000" w:themeColor="text1"/>
                      <w:szCs w:val="21"/>
                      <w:lang w:val="en-US" w:eastAsia="zh-CN"/>
                      <w14:textFill>
                        <w14:solidFill>
                          <w14:schemeClr w14:val="tx1"/>
                        </w14:solidFill>
                      </w14:textFill>
                    </w:rPr>
                    <w:t>清理</w:t>
                  </w:r>
                </w:p>
              </w:tc>
              <w:tc>
                <w:tcPr>
                  <w:tcW w:w="576" w:type="dxa"/>
                  <w:vMerge w:val="restart"/>
                  <w:noWrap/>
                  <w:vAlign w:val="center"/>
                </w:tcPr>
                <w:p w14:paraId="01A21A1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p w14:paraId="7E070190">
                  <w:pPr>
                    <w:jc w:val="center"/>
                    <w:rPr>
                      <w:color w:val="000000" w:themeColor="text1"/>
                      <w:szCs w:val="21"/>
                      <w14:textFill>
                        <w14:solidFill>
                          <w14:schemeClr w14:val="tx1"/>
                        </w14:solidFill>
                      </w14:textFill>
                    </w:rPr>
                  </w:pPr>
                </w:p>
              </w:tc>
              <w:tc>
                <w:tcPr>
                  <w:tcW w:w="819" w:type="dxa"/>
                  <w:noWrap/>
                  <w:vAlign w:val="center"/>
                </w:tcPr>
                <w:p w14:paraId="7DD6DC75">
                  <w:pPr>
                    <w:jc w:val="center"/>
                    <w:rPr>
                      <w:rFonts w:hint="default" w:eastAsia="宋体"/>
                      <w:color w:val="000000" w:themeColor="text1"/>
                      <w:spacing w:val="-9"/>
                      <w:szCs w:val="21"/>
                      <w:lang w:val="en-US" w:eastAsia="zh-CN"/>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10.93</w:t>
                  </w:r>
                </w:p>
              </w:tc>
              <w:tc>
                <w:tcPr>
                  <w:tcW w:w="751" w:type="dxa"/>
                  <w:noWrap/>
                  <w:vAlign w:val="center"/>
                </w:tcPr>
                <w:p w14:paraId="18C24CD2">
                  <w:pPr>
                    <w:jc w:val="center"/>
                    <w:rPr>
                      <w:rFonts w:hint="default" w:eastAsia="宋体"/>
                      <w:color w:val="000000" w:themeColor="text1"/>
                      <w:spacing w:val="-9"/>
                      <w:szCs w:val="21"/>
                      <w:lang w:val="en-US" w:eastAsia="zh-CN"/>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0.1312</w:t>
                  </w:r>
                </w:p>
              </w:tc>
              <w:tc>
                <w:tcPr>
                  <w:tcW w:w="791" w:type="dxa"/>
                  <w:noWrap/>
                  <w:vAlign w:val="center"/>
                </w:tcPr>
                <w:p w14:paraId="231E4757">
                  <w:pPr>
                    <w:jc w:val="center"/>
                    <w:rPr>
                      <w:rFonts w:hint="default" w:eastAsia="宋体"/>
                      <w:color w:val="000000" w:themeColor="text1"/>
                      <w:spacing w:val="-9"/>
                      <w:szCs w:val="21"/>
                      <w:lang w:val="en-US" w:eastAsia="zh-CN"/>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0.9446</w:t>
                  </w:r>
                </w:p>
              </w:tc>
              <w:tc>
                <w:tcPr>
                  <w:tcW w:w="507" w:type="dxa"/>
                  <w:noWrap/>
                  <w:vAlign w:val="center"/>
                </w:tcPr>
                <w:p w14:paraId="006EF3EC">
                  <w:pPr>
                    <w:jc w:val="center"/>
                    <w:rPr>
                      <w:color w:val="000000" w:themeColor="text1"/>
                      <w:spacing w:val="-9"/>
                      <w:szCs w:val="21"/>
                      <w14:textFill>
                        <w14:solidFill>
                          <w14:schemeClr w14:val="tx1"/>
                        </w14:solidFill>
                      </w14:textFill>
                    </w:rPr>
                  </w:pPr>
                  <w:r>
                    <w:rPr>
                      <w:rFonts w:hint="eastAsia"/>
                      <w:color w:val="000000" w:themeColor="text1"/>
                      <w:spacing w:val="-9"/>
                      <w:szCs w:val="21"/>
                      <w14:textFill>
                        <w14:solidFill>
                          <w14:schemeClr w14:val="tx1"/>
                        </w14:solidFill>
                      </w14:textFill>
                    </w:rPr>
                    <w:t>有组织</w:t>
                  </w:r>
                </w:p>
              </w:tc>
              <w:tc>
                <w:tcPr>
                  <w:tcW w:w="1035" w:type="dxa"/>
                  <w:noWrap/>
                  <w:vAlign w:val="center"/>
                </w:tcPr>
                <w:p w14:paraId="31A645B3">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包围式集气罩</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二级</w:t>
                  </w:r>
                  <w:r>
                    <w:rPr>
                      <w:rFonts w:hint="eastAsia"/>
                      <w:color w:val="000000" w:themeColor="text1"/>
                      <w:szCs w:val="21"/>
                      <w14:textFill>
                        <w14:solidFill>
                          <w14:schemeClr w14:val="tx1"/>
                        </w14:solidFill>
                      </w14:textFill>
                    </w:rPr>
                    <w:t>活性炭吸附装置</w:t>
                  </w:r>
                  <w:r>
                    <w:rPr>
                      <w:rFonts w:hint="eastAsia"/>
                      <w:color w:val="000000" w:themeColor="text1"/>
                      <w:szCs w:val="21"/>
                      <w:lang w:val="en-US" w:eastAsia="zh-CN"/>
                      <w14:textFill>
                        <w14:solidFill>
                          <w14:schemeClr w14:val="tx1"/>
                        </w14:solidFill>
                      </w14:textFill>
                    </w:rPr>
                    <w:t>T</w:t>
                  </w:r>
                  <w:r>
                    <w:rPr>
                      <w:rFonts w:hint="eastAsia"/>
                      <w:color w:val="000000" w:themeColor="text1"/>
                      <w:szCs w:val="21"/>
                      <w14:textFill>
                        <w14:solidFill>
                          <w14:schemeClr w14:val="tx1"/>
                        </w14:solidFill>
                      </w14:textFill>
                    </w:rPr>
                    <w:t>A00</w:t>
                  </w:r>
                  <w:r>
                    <w:rPr>
                      <w:rFonts w:hint="eastAsia"/>
                      <w:color w:val="000000" w:themeColor="text1"/>
                      <w:szCs w:val="21"/>
                      <w:lang w:val="en-US" w:eastAsia="zh-CN"/>
                      <w14:textFill>
                        <w14:solidFill>
                          <w14:schemeClr w14:val="tx1"/>
                        </w14:solidFill>
                      </w14:textFill>
                    </w:rPr>
                    <w:t>1</w:t>
                  </w:r>
                </w:p>
              </w:tc>
              <w:tc>
                <w:tcPr>
                  <w:tcW w:w="734" w:type="dxa"/>
                  <w:noWrap/>
                  <w:vAlign w:val="center"/>
                </w:tcPr>
                <w:p w14:paraId="1879E666">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12000</w:t>
                  </w:r>
                </w:p>
              </w:tc>
              <w:tc>
                <w:tcPr>
                  <w:tcW w:w="545" w:type="dxa"/>
                  <w:noWrap/>
                  <w:vAlign w:val="center"/>
                </w:tcPr>
                <w:p w14:paraId="59E4116E">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8</w:t>
                  </w:r>
                  <w:r>
                    <w:rPr>
                      <w:rFonts w:hint="eastAsia"/>
                      <w:color w:val="000000" w:themeColor="text1"/>
                      <w:szCs w:val="21"/>
                      <w14:textFill>
                        <w14:solidFill>
                          <w14:schemeClr w14:val="tx1"/>
                        </w14:solidFill>
                      </w14:textFill>
                    </w:rPr>
                    <w:t>0</w:t>
                  </w:r>
                </w:p>
              </w:tc>
              <w:tc>
                <w:tcPr>
                  <w:tcW w:w="620" w:type="dxa"/>
                  <w:noWrap/>
                  <w:vAlign w:val="center"/>
                </w:tcPr>
                <w:p w14:paraId="3F7D361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w:t>
                  </w:r>
                </w:p>
              </w:tc>
              <w:tc>
                <w:tcPr>
                  <w:tcW w:w="784" w:type="dxa"/>
                  <w:noWrap/>
                  <w:vAlign w:val="center"/>
                </w:tcPr>
                <w:p w14:paraId="28E72872">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否</w:t>
                  </w:r>
                </w:p>
              </w:tc>
              <w:tc>
                <w:tcPr>
                  <w:tcW w:w="834" w:type="dxa"/>
                  <w:noWrap/>
                  <w:vAlign w:val="center"/>
                </w:tcPr>
                <w:p w14:paraId="1B680D6E">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1.09</w:t>
                  </w:r>
                </w:p>
              </w:tc>
              <w:tc>
                <w:tcPr>
                  <w:tcW w:w="790" w:type="dxa"/>
                  <w:noWrap/>
                  <w:vAlign w:val="center"/>
                </w:tcPr>
                <w:p w14:paraId="1E1DA2A5">
                  <w:pPr>
                    <w:jc w:val="center"/>
                    <w:rPr>
                      <w:rFonts w:hint="default" w:eastAsia="宋体"/>
                      <w:color w:val="000000" w:themeColor="text1"/>
                      <w:spacing w:val="-9"/>
                      <w:szCs w:val="21"/>
                      <w:lang w:val="en-US" w:eastAsia="zh-CN"/>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0.0131</w:t>
                  </w:r>
                </w:p>
              </w:tc>
              <w:tc>
                <w:tcPr>
                  <w:tcW w:w="899" w:type="dxa"/>
                  <w:noWrap/>
                  <w:vAlign w:val="center"/>
                </w:tcPr>
                <w:p w14:paraId="0E42F1DF">
                  <w:pPr>
                    <w:jc w:val="center"/>
                    <w:rPr>
                      <w:rFonts w:hint="default" w:eastAsia="宋体"/>
                      <w:color w:val="000000" w:themeColor="text1"/>
                      <w:spacing w:val="-9"/>
                      <w:szCs w:val="21"/>
                      <w:lang w:val="en-US" w:eastAsia="zh-CN"/>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0.0945</w:t>
                  </w:r>
                </w:p>
              </w:tc>
              <w:tc>
                <w:tcPr>
                  <w:tcW w:w="822" w:type="dxa"/>
                  <w:noWrap/>
                  <w:vAlign w:val="center"/>
                </w:tcPr>
                <w:p w14:paraId="612DF935">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5</w:t>
                  </w:r>
                  <w:r>
                    <w:rPr>
                      <w:rFonts w:hint="eastAsia"/>
                      <w:color w:val="000000" w:themeColor="text1"/>
                      <w:szCs w:val="21"/>
                      <w14:textFill>
                        <w14:solidFill>
                          <w14:schemeClr w14:val="tx1"/>
                        </w14:solidFill>
                      </w14:textFill>
                    </w:rPr>
                    <w:t>0</w:t>
                  </w:r>
                </w:p>
              </w:tc>
              <w:tc>
                <w:tcPr>
                  <w:tcW w:w="654" w:type="dxa"/>
                  <w:noWrap/>
                  <w:vAlign w:val="center"/>
                </w:tcPr>
                <w:p w14:paraId="5E90F34D">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1.8</w:t>
                  </w:r>
                </w:p>
              </w:tc>
              <w:tc>
                <w:tcPr>
                  <w:tcW w:w="644" w:type="dxa"/>
                  <w:noWrap/>
                  <w:vAlign w:val="center"/>
                </w:tcPr>
                <w:p w14:paraId="6D65A0AC">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DA001</w:t>
                  </w:r>
                  <w:r>
                    <w:rPr>
                      <w:rFonts w:hint="eastAsia"/>
                      <w:color w:val="000000" w:themeColor="text1"/>
                      <w:szCs w:val="21"/>
                      <w14:textFill>
                        <w14:solidFill>
                          <w14:schemeClr w14:val="tx1"/>
                        </w14:solidFill>
                      </w14:textFill>
                    </w:rPr>
                    <w:t>排气筒</w:t>
                  </w:r>
                </w:p>
              </w:tc>
            </w:tr>
            <w:tr w14:paraId="55CE5A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747" w:type="dxa"/>
                  <w:vMerge w:val="continue"/>
                  <w:noWrap/>
                  <w:vAlign w:val="center"/>
                </w:tcPr>
                <w:p w14:paraId="7B4914C8">
                  <w:pPr>
                    <w:jc w:val="center"/>
                    <w:rPr>
                      <w:rFonts w:hint="eastAsia"/>
                      <w:color w:val="000000" w:themeColor="text1"/>
                      <w:szCs w:val="21"/>
                      <w14:textFill>
                        <w14:solidFill>
                          <w14:schemeClr w14:val="tx1"/>
                        </w14:solidFill>
                      </w14:textFill>
                    </w:rPr>
                  </w:pPr>
                </w:p>
              </w:tc>
              <w:tc>
                <w:tcPr>
                  <w:tcW w:w="576" w:type="dxa"/>
                  <w:vMerge w:val="continue"/>
                  <w:noWrap/>
                  <w:vAlign w:val="center"/>
                </w:tcPr>
                <w:p w14:paraId="2075E403">
                  <w:pPr>
                    <w:jc w:val="center"/>
                    <w:rPr>
                      <w:color w:val="000000" w:themeColor="text1"/>
                      <w:szCs w:val="21"/>
                      <w14:textFill>
                        <w14:solidFill>
                          <w14:schemeClr w14:val="tx1"/>
                        </w14:solidFill>
                      </w14:textFill>
                    </w:rPr>
                  </w:pPr>
                </w:p>
              </w:tc>
              <w:tc>
                <w:tcPr>
                  <w:tcW w:w="819" w:type="dxa"/>
                  <w:noWrap/>
                  <w:vAlign w:val="center"/>
                </w:tcPr>
                <w:p w14:paraId="2B6CB781">
                  <w:pPr>
                    <w:jc w:val="center"/>
                    <w:rPr>
                      <w:rFonts w:hint="default"/>
                      <w:color w:val="000000" w:themeColor="text1"/>
                      <w:spacing w:val="-9"/>
                      <w:szCs w:val="21"/>
                      <w:lang w:val="en-US" w:eastAsia="zh-CN"/>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w:t>
                  </w:r>
                </w:p>
              </w:tc>
              <w:tc>
                <w:tcPr>
                  <w:tcW w:w="751" w:type="dxa"/>
                  <w:noWrap/>
                  <w:vAlign w:val="center"/>
                </w:tcPr>
                <w:p w14:paraId="082E9E26">
                  <w:pPr>
                    <w:jc w:val="center"/>
                    <w:rPr>
                      <w:rFonts w:hint="default" w:eastAsia="宋体"/>
                      <w:color w:val="000000" w:themeColor="text1"/>
                      <w:spacing w:val="-9"/>
                      <w:szCs w:val="21"/>
                      <w:lang w:val="en-US" w:eastAsia="zh-CN"/>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0.0328</w:t>
                  </w:r>
                </w:p>
              </w:tc>
              <w:tc>
                <w:tcPr>
                  <w:tcW w:w="791" w:type="dxa"/>
                  <w:noWrap/>
                  <w:vAlign w:val="center"/>
                </w:tcPr>
                <w:p w14:paraId="231B381E">
                  <w:pPr>
                    <w:jc w:val="center"/>
                    <w:rPr>
                      <w:rFonts w:hint="default" w:eastAsia="宋体"/>
                      <w:color w:val="000000" w:themeColor="text1"/>
                      <w:spacing w:val="-9"/>
                      <w:szCs w:val="21"/>
                      <w:lang w:val="en-US" w:eastAsia="zh-CN"/>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0.2362</w:t>
                  </w:r>
                </w:p>
              </w:tc>
              <w:tc>
                <w:tcPr>
                  <w:tcW w:w="507" w:type="dxa"/>
                  <w:noWrap/>
                  <w:vAlign w:val="center"/>
                </w:tcPr>
                <w:p w14:paraId="60BA518E">
                  <w:pPr>
                    <w:jc w:val="center"/>
                    <w:rPr>
                      <w:rFonts w:hint="eastAsia" w:eastAsia="宋体"/>
                      <w:color w:val="000000" w:themeColor="text1"/>
                      <w:spacing w:val="-9"/>
                      <w:szCs w:val="21"/>
                      <w:lang w:val="en-US" w:eastAsia="zh-CN"/>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无组织</w:t>
                  </w:r>
                </w:p>
              </w:tc>
              <w:tc>
                <w:tcPr>
                  <w:tcW w:w="1035" w:type="dxa"/>
                  <w:noWrap/>
                  <w:vAlign w:val="center"/>
                </w:tcPr>
                <w:p w14:paraId="1CF01E7B">
                  <w:pPr>
                    <w:jc w:val="center"/>
                    <w:rPr>
                      <w:rFonts w:hint="eastAsia"/>
                      <w:color w:val="000000" w:themeColor="text1"/>
                      <w:szCs w:val="21"/>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w:t>
                  </w:r>
                </w:p>
              </w:tc>
              <w:tc>
                <w:tcPr>
                  <w:tcW w:w="734" w:type="dxa"/>
                  <w:noWrap/>
                  <w:vAlign w:val="center"/>
                </w:tcPr>
                <w:p w14:paraId="46488B3C">
                  <w:pPr>
                    <w:jc w:val="center"/>
                    <w:rPr>
                      <w:rFonts w:hint="eastAsia"/>
                      <w:color w:val="000000" w:themeColor="text1"/>
                      <w:szCs w:val="21"/>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w:t>
                  </w:r>
                </w:p>
              </w:tc>
              <w:tc>
                <w:tcPr>
                  <w:tcW w:w="545" w:type="dxa"/>
                  <w:noWrap/>
                  <w:vAlign w:val="center"/>
                </w:tcPr>
                <w:p w14:paraId="4DFF541C">
                  <w:pPr>
                    <w:jc w:val="center"/>
                    <w:rPr>
                      <w:rFonts w:hint="eastAsia"/>
                      <w:color w:val="000000" w:themeColor="text1"/>
                      <w:szCs w:val="21"/>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w:t>
                  </w:r>
                </w:p>
              </w:tc>
              <w:tc>
                <w:tcPr>
                  <w:tcW w:w="620" w:type="dxa"/>
                  <w:noWrap/>
                  <w:vAlign w:val="center"/>
                </w:tcPr>
                <w:p w14:paraId="759ABF42">
                  <w:pPr>
                    <w:jc w:val="center"/>
                    <w:rPr>
                      <w:rFonts w:hint="eastAsia"/>
                      <w:color w:val="000000" w:themeColor="text1"/>
                      <w:szCs w:val="21"/>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w:t>
                  </w:r>
                </w:p>
              </w:tc>
              <w:tc>
                <w:tcPr>
                  <w:tcW w:w="784" w:type="dxa"/>
                  <w:noWrap/>
                  <w:vAlign w:val="center"/>
                </w:tcPr>
                <w:p w14:paraId="14DB59EE">
                  <w:pPr>
                    <w:jc w:val="center"/>
                    <w:rPr>
                      <w:rFonts w:hint="eastAsia"/>
                      <w:color w:val="000000" w:themeColor="text1"/>
                      <w:szCs w:val="21"/>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w:t>
                  </w:r>
                </w:p>
              </w:tc>
              <w:tc>
                <w:tcPr>
                  <w:tcW w:w="834" w:type="dxa"/>
                  <w:noWrap/>
                  <w:vAlign w:val="center"/>
                </w:tcPr>
                <w:p w14:paraId="65080356">
                  <w:pPr>
                    <w:jc w:val="center"/>
                    <w:rPr>
                      <w:rFonts w:hint="eastAsia"/>
                      <w:color w:val="000000" w:themeColor="text1"/>
                      <w:szCs w:val="21"/>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w:t>
                  </w:r>
                </w:p>
              </w:tc>
              <w:tc>
                <w:tcPr>
                  <w:tcW w:w="790" w:type="dxa"/>
                  <w:noWrap/>
                  <w:vAlign w:val="center"/>
                </w:tcPr>
                <w:p w14:paraId="039C020E">
                  <w:pPr>
                    <w:jc w:val="center"/>
                    <w:rPr>
                      <w:rFonts w:hint="eastAsia"/>
                      <w:color w:val="000000" w:themeColor="text1"/>
                      <w:spacing w:val="-9"/>
                      <w:szCs w:val="21"/>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0.0328</w:t>
                  </w:r>
                </w:p>
              </w:tc>
              <w:tc>
                <w:tcPr>
                  <w:tcW w:w="899" w:type="dxa"/>
                  <w:noWrap/>
                  <w:vAlign w:val="center"/>
                </w:tcPr>
                <w:p w14:paraId="2EAAF87A">
                  <w:pPr>
                    <w:jc w:val="center"/>
                    <w:rPr>
                      <w:rFonts w:hint="default"/>
                      <w:color w:val="000000" w:themeColor="text1"/>
                      <w:spacing w:val="-9"/>
                      <w:szCs w:val="21"/>
                      <w:lang w:val="en-US"/>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0.2362</w:t>
                  </w:r>
                </w:p>
              </w:tc>
              <w:tc>
                <w:tcPr>
                  <w:tcW w:w="822" w:type="dxa"/>
                  <w:noWrap/>
                  <w:vAlign w:val="center"/>
                </w:tcPr>
                <w:p w14:paraId="111C6962">
                  <w:pPr>
                    <w:jc w:val="center"/>
                    <w:rPr>
                      <w:rFonts w:hint="eastAsia"/>
                      <w:color w:val="000000" w:themeColor="text1"/>
                      <w:szCs w:val="21"/>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w:t>
                  </w:r>
                </w:p>
              </w:tc>
              <w:tc>
                <w:tcPr>
                  <w:tcW w:w="654" w:type="dxa"/>
                  <w:noWrap/>
                  <w:vAlign w:val="center"/>
                </w:tcPr>
                <w:p w14:paraId="6FC235BC">
                  <w:pPr>
                    <w:jc w:val="center"/>
                    <w:rPr>
                      <w:rFonts w:hint="eastAsia"/>
                      <w:color w:val="000000" w:themeColor="text1"/>
                      <w:szCs w:val="21"/>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w:t>
                  </w:r>
                </w:p>
              </w:tc>
              <w:tc>
                <w:tcPr>
                  <w:tcW w:w="644" w:type="dxa"/>
                  <w:vMerge w:val="restart"/>
                  <w:noWrap/>
                  <w:vAlign w:val="center"/>
                </w:tcPr>
                <w:p w14:paraId="4DE310B1">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生产厂房</w:t>
                  </w:r>
                </w:p>
              </w:tc>
            </w:tr>
            <w:tr w14:paraId="781C67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47" w:type="dxa"/>
                  <w:noWrap/>
                  <w:vAlign w:val="center"/>
                </w:tcPr>
                <w:p w14:paraId="59609DF7">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破碎</w:t>
                  </w:r>
                </w:p>
              </w:tc>
              <w:tc>
                <w:tcPr>
                  <w:tcW w:w="576" w:type="dxa"/>
                  <w:noWrap/>
                  <w:vAlign w:val="center"/>
                </w:tcPr>
                <w:p w14:paraId="6044509E">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颗粒物</w:t>
                  </w:r>
                </w:p>
              </w:tc>
              <w:tc>
                <w:tcPr>
                  <w:tcW w:w="819" w:type="dxa"/>
                  <w:noWrap/>
                  <w:vAlign w:val="center"/>
                </w:tcPr>
                <w:p w14:paraId="1C0F094D">
                  <w:pPr>
                    <w:jc w:val="center"/>
                    <w:rPr>
                      <w:rFonts w:hint="eastAsia"/>
                      <w:color w:val="000000" w:themeColor="text1"/>
                      <w:spacing w:val="-9"/>
                      <w:szCs w:val="21"/>
                      <w:lang w:val="en-US" w:eastAsia="zh-CN"/>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w:t>
                  </w:r>
                </w:p>
              </w:tc>
              <w:tc>
                <w:tcPr>
                  <w:tcW w:w="751" w:type="dxa"/>
                  <w:noWrap/>
                  <w:vAlign w:val="center"/>
                </w:tcPr>
                <w:p w14:paraId="4FCD1004">
                  <w:pPr>
                    <w:jc w:val="center"/>
                    <w:rPr>
                      <w:rFonts w:hint="default" w:eastAsia="宋体"/>
                      <w:color w:val="000000" w:themeColor="text1"/>
                      <w:spacing w:val="-9"/>
                      <w:szCs w:val="21"/>
                      <w:lang w:val="en-US" w:eastAsia="zh-CN"/>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0.025</w:t>
                  </w:r>
                </w:p>
              </w:tc>
              <w:tc>
                <w:tcPr>
                  <w:tcW w:w="791" w:type="dxa"/>
                  <w:noWrap/>
                  <w:vAlign w:val="center"/>
                </w:tcPr>
                <w:p w14:paraId="6F683354">
                  <w:pPr>
                    <w:jc w:val="center"/>
                    <w:rPr>
                      <w:rFonts w:hint="default" w:eastAsia="宋体"/>
                      <w:color w:val="000000" w:themeColor="text1"/>
                      <w:spacing w:val="-9"/>
                      <w:szCs w:val="21"/>
                      <w:lang w:val="en-US" w:eastAsia="zh-CN"/>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0.0075</w:t>
                  </w:r>
                </w:p>
              </w:tc>
              <w:tc>
                <w:tcPr>
                  <w:tcW w:w="507" w:type="dxa"/>
                  <w:noWrap/>
                  <w:vAlign w:val="center"/>
                </w:tcPr>
                <w:p w14:paraId="56F3B44E">
                  <w:pPr>
                    <w:jc w:val="center"/>
                    <w:rPr>
                      <w:rFonts w:hint="eastAsia"/>
                      <w:color w:val="000000" w:themeColor="text1"/>
                      <w:spacing w:val="-9"/>
                      <w:szCs w:val="21"/>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无组织</w:t>
                  </w:r>
                </w:p>
              </w:tc>
              <w:tc>
                <w:tcPr>
                  <w:tcW w:w="1035" w:type="dxa"/>
                  <w:noWrap/>
                  <w:vAlign w:val="center"/>
                </w:tcPr>
                <w:p w14:paraId="1BF54326">
                  <w:pPr>
                    <w:jc w:val="center"/>
                    <w:rPr>
                      <w:rFonts w:hint="eastAsia"/>
                      <w:color w:val="000000" w:themeColor="text1"/>
                      <w:szCs w:val="21"/>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w:t>
                  </w:r>
                </w:p>
              </w:tc>
              <w:tc>
                <w:tcPr>
                  <w:tcW w:w="734" w:type="dxa"/>
                  <w:noWrap/>
                  <w:vAlign w:val="center"/>
                </w:tcPr>
                <w:p w14:paraId="222CAE60">
                  <w:pPr>
                    <w:jc w:val="center"/>
                    <w:rPr>
                      <w:rFonts w:hint="eastAsia"/>
                      <w:color w:val="000000" w:themeColor="text1"/>
                      <w:szCs w:val="21"/>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w:t>
                  </w:r>
                </w:p>
              </w:tc>
              <w:tc>
                <w:tcPr>
                  <w:tcW w:w="545" w:type="dxa"/>
                  <w:noWrap/>
                  <w:vAlign w:val="center"/>
                </w:tcPr>
                <w:p w14:paraId="360B8565">
                  <w:pPr>
                    <w:jc w:val="center"/>
                    <w:rPr>
                      <w:rFonts w:hint="eastAsia"/>
                      <w:color w:val="000000" w:themeColor="text1"/>
                      <w:szCs w:val="21"/>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w:t>
                  </w:r>
                </w:p>
              </w:tc>
              <w:tc>
                <w:tcPr>
                  <w:tcW w:w="620" w:type="dxa"/>
                  <w:noWrap/>
                  <w:vAlign w:val="center"/>
                </w:tcPr>
                <w:p w14:paraId="1467D6C2">
                  <w:pPr>
                    <w:jc w:val="center"/>
                    <w:rPr>
                      <w:rFonts w:hint="eastAsia"/>
                      <w:color w:val="000000" w:themeColor="text1"/>
                      <w:szCs w:val="21"/>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w:t>
                  </w:r>
                </w:p>
              </w:tc>
              <w:tc>
                <w:tcPr>
                  <w:tcW w:w="784" w:type="dxa"/>
                  <w:noWrap/>
                  <w:vAlign w:val="center"/>
                </w:tcPr>
                <w:p w14:paraId="73178E76">
                  <w:pPr>
                    <w:jc w:val="center"/>
                    <w:rPr>
                      <w:rFonts w:hint="eastAsia"/>
                      <w:color w:val="000000" w:themeColor="text1"/>
                      <w:szCs w:val="21"/>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w:t>
                  </w:r>
                </w:p>
              </w:tc>
              <w:tc>
                <w:tcPr>
                  <w:tcW w:w="834" w:type="dxa"/>
                  <w:noWrap/>
                  <w:vAlign w:val="center"/>
                </w:tcPr>
                <w:p w14:paraId="5021771D">
                  <w:pPr>
                    <w:jc w:val="center"/>
                    <w:rPr>
                      <w:rFonts w:hint="eastAsia"/>
                      <w:color w:val="000000" w:themeColor="text1"/>
                      <w:szCs w:val="21"/>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w:t>
                  </w:r>
                </w:p>
              </w:tc>
              <w:tc>
                <w:tcPr>
                  <w:tcW w:w="790" w:type="dxa"/>
                  <w:noWrap/>
                  <w:vAlign w:val="center"/>
                </w:tcPr>
                <w:p w14:paraId="30F25553">
                  <w:pPr>
                    <w:jc w:val="center"/>
                    <w:rPr>
                      <w:rFonts w:hint="default"/>
                      <w:color w:val="000000" w:themeColor="text1"/>
                      <w:spacing w:val="-9"/>
                      <w:szCs w:val="21"/>
                      <w:lang w:val="en-US"/>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0.025</w:t>
                  </w:r>
                </w:p>
              </w:tc>
              <w:tc>
                <w:tcPr>
                  <w:tcW w:w="899" w:type="dxa"/>
                  <w:noWrap/>
                  <w:vAlign w:val="center"/>
                </w:tcPr>
                <w:p w14:paraId="1DE9B703">
                  <w:pPr>
                    <w:jc w:val="center"/>
                    <w:rPr>
                      <w:rFonts w:hint="default"/>
                      <w:color w:val="000000" w:themeColor="text1"/>
                      <w:spacing w:val="-9"/>
                      <w:szCs w:val="21"/>
                      <w:lang w:val="en-US"/>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0.0075</w:t>
                  </w:r>
                </w:p>
              </w:tc>
              <w:tc>
                <w:tcPr>
                  <w:tcW w:w="822" w:type="dxa"/>
                  <w:noWrap/>
                  <w:vAlign w:val="center"/>
                </w:tcPr>
                <w:p w14:paraId="519B4B8D">
                  <w:pPr>
                    <w:jc w:val="center"/>
                    <w:rPr>
                      <w:rFonts w:hint="eastAsia"/>
                      <w:color w:val="000000" w:themeColor="text1"/>
                      <w:szCs w:val="21"/>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w:t>
                  </w:r>
                </w:p>
              </w:tc>
              <w:tc>
                <w:tcPr>
                  <w:tcW w:w="654" w:type="dxa"/>
                  <w:noWrap/>
                  <w:vAlign w:val="center"/>
                </w:tcPr>
                <w:p w14:paraId="0A0FC531">
                  <w:pPr>
                    <w:jc w:val="center"/>
                    <w:rPr>
                      <w:rFonts w:hint="eastAsia"/>
                      <w:color w:val="000000" w:themeColor="text1"/>
                      <w:szCs w:val="21"/>
                      <w14:textFill>
                        <w14:solidFill>
                          <w14:schemeClr w14:val="tx1"/>
                        </w14:solidFill>
                      </w14:textFill>
                    </w:rPr>
                  </w:pPr>
                  <w:r>
                    <w:rPr>
                      <w:rFonts w:hint="eastAsia"/>
                      <w:color w:val="000000" w:themeColor="text1"/>
                      <w:spacing w:val="-9"/>
                      <w:szCs w:val="21"/>
                      <w:lang w:val="en-US" w:eastAsia="zh-CN"/>
                      <w14:textFill>
                        <w14:solidFill>
                          <w14:schemeClr w14:val="tx1"/>
                        </w14:solidFill>
                      </w14:textFill>
                    </w:rPr>
                    <w:t>/</w:t>
                  </w:r>
                </w:p>
              </w:tc>
              <w:tc>
                <w:tcPr>
                  <w:tcW w:w="644" w:type="dxa"/>
                  <w:vMerge w:val="continue"/>
                  <w:noWrap/>
                  <w:vAlign w:val="center"/>
                </w:tcPr>
                <w:p w14:paraId="3D8C5D75">
                  <w:pPr>
                    <w:jc w:val="center"/>
                    <w:rPr>
                      <w:rFonts w:hint="eastAsia"/>
                      <w:color w:val="000000" w:themeColor="text1"/>
                      <w:szCs w:val="21"/>
                      <w:lang w:val="en-US" w:eastAsia="zh-CN"/>
                      <w14:textFill>
                        <w14:solidFill>
                          <w14:schemeClr w14:val="tx1"/>
                        </w14:solidFill>
                      </w14:textFill>
                    </w:rPr>
                  </w:pPr>
                </w:p>
              </w:tc>
            </w:tr>
          </w:tbl>
          <w:p w14:paraId="362D46A0">
            <w:pPr>
              <w:spacing w:line="420" w:lineRule="exact"/>
              <w:rPr>
                <w:bCs/>
                <w:color w:val="000000" w:themeColor="text1"/>
                <w:spacing w:val="-10"/>
                <w:szCs w:val="21"/>
                <w14:textFill>
                  <w14:solidFill>
                    <w14:schemeClr w14:val="tx1"/>
                  </w14:solidFill>
                </w14:textFill>
              </w:rPr>
            </w:pPr>
          </w:p>
        </w:tc>
      </w:tr>
    </w:tbl>
    <w:p w14:paraId="47A8B339">
      <w:pPr>
        <w:pStyle w:val="2"/>
        <w:rPr>
          <w:color w:val="000000" w:themeColor="text1"/>
          <w14:textFill>
            <w14:solidFill>
              <w14:schemeClr w14:val="tx1"/>
            </w14:solidFill>
          </w14:textFill>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1"/>
        <w:gridCol w:w="8810"/>
      </w:tblGrid>
      <w:tr w14:paraId="133E77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22" w:hRule="atLeast"/>
          <w:jc w:val="center"/>
        </w:trPr>
        <w:tc>
          <w:tcPr>
            <w:tcW w:w="252" w:type="pct"/>
            <w:noWrap/>
            <w:tcMar>
              <w:left w:w="28" w:type="dxa"/>
              <w:right w:w="28" w:type="dxa"/>
            </w:tcMar>
            <w:vAlign w:val="center"/>
          </w:tcPr>
          <w:p w14:paraId="683EBE93">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运营</w:t>
            </w:r>
          </w:p>
          <w:p w14:paraId="2ADD152F">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期环</w:t>
            </w:r>
          </w:p>
          <w:p w14:paraId="76B1B629">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境影</w:t>
            </w:r>
          </w:p>
          <w:p w14:paraId="00623DF4">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响和</w:t>
            </w:r>
          </w:p>
          <w:p w14:paraId="6CE20F0C">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保护</w:t>
            </w:r>
          </w:p>
          <w:p w14:paraId="1CDB9EF5">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措施</w:t>
            </w:r>
          </w:p>
        </w:tc>
        <w:tc>
          <w:tcPr>
            <w:tcW w:w="4747" w:type="pct"/>
            <w:noWrap/>
          </w:tcPr>
          <w:p w14:paraId="00DF056D">
            <w:pPr>
              <w:spacing w:line="420" w:lineRule="exact"/>
              <w:ind w:firstLine="422" w:firstLineChars="200"/>
              <w:rPr>
                <w:b/>
                <w:bCs/>
                <w:color w:val="000000" w:themeColor="text1"/>
                <w:szCs w:val="21"/>
                <w14:textFill>
                  <w14:solidFill>
                    <w14:schemeClr w14:val="tx1"/>
                  </w14:solidFill>
                </w14:textFill>
              </w:rPr>
            </w:pPr>
            <w:r>
              <w:rPr>
                <w:b/>
                <w:color w:val="000000" w:themeColor="text1"/>
                <w:szCs w:val="21"/>
                <w14:textFill>
                  <w14:solidFill>
                    <w14:schemeClr w14:val="tx1"/>
                  </w14:solidFill>
                </w14:textFill>
              </w:rPr>
              <w:t>4.1.</w:t>
            </w:r>
            <w:r>
              <w:rPr>
                <w:rFonts w:hint="eastAsia"/>
                <w:b/>
                <w:color w:val="000000" w:themeColor="text1"/>
                <w:szCs w:val="21"/>
                <w14:textFill>
                  <w14:solidFill>
                    <w14:schemeClr w14:val="tx1"/>
                  </w14:solidFill>
                </w14:textFill>
              </w:rPr>
              <w:t>2排放口及排放源基本情况</w:t>
            </w:r>
          </w:p>
          <w:p w14:paraId="31AC08E8">
            <w:pPr>
              <w:spacing w:line="42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（1）有组织废气排放口基本情况</w:t>
            </w:r>
          </w:p>
          <w:p w14:paraId="66B878A1">
            <w:pPr>
              <w:jc w:val="center"/>
              <w:rPr>
                <w:color w:val="000000" w:themeColor="text1"/>
                <w:sz w:val="24"/>
                <w14:textFill>
                  <w14:solidFill>
                    <w14:schemeClr w14:val="tx1"/>
                  </w14:solidFill>
                </w14:textFill>
              </w:rPr>
            </w:pPr>
            <w:r>
              <w:rPr>
                <w:b/>
                <w:bCs/>
                <w:color w:val="000000" w:themeColor="text1"/>
                <w:szCs w:val="21"/>
                <w14:textFill>
                  <w14:solidFill>
                    <w14:schemeClr w14:val="tx1"/>
                  </w14:solidFill>
                </w14:textFill>
              </w:rPr>
              <w:t>表4.1-</w:t>
            </w:r>
            <w:r>
              <w:rPr>
                <w:rFonts w:hint="eastAsia"/>
                <w:b/>
                <w:bCs/>
                <w:color w:val="000000" w:themeColor="text1"/>
                <w:szCs w:val="21"/>
                <w:lang w:val="en-US" w:eastAsia="zh-CN"/>
                <w14:textFill>
                  <w14:solidFill>
                    <w14:schemeClr w14:val="tx1"/>
                  </w14:solidFill>
                </w14:textFill>
              </w:rPr>
              <w:t>2</w:t>
            </w:r>
            <w:r>
              <w:rPr>
                <w:b/>
                <w:bCs/>
                <w:color w:val="000000" w:themeColor="text1"/>
                <w:szCs w:val="21"/>
                <w14:textFill>
                  <w14:solidFill>
                    <w14:schemeClr w14:val="tx1"/>
                  </w14:solidFill>
                </w14:textFill>
              </w:rPr>
              <w:t xml:space="preserve">  本项目</w:t>
            </w:r>
            <w:r>
              <w:rPr>
                <w:rFonts w:hint="eastAsia"/>
                <w:b/>
                <w:bCs/>
                <w:color w:val="000000" w:themeColor="text1"/>
                <w:szCs w:val="21"/>
                <w14:textFill>
                  <w14:solidFill>
                    <w14:schemeClr w14:val="tx1"/>
                  </w14:solidFill>
                </w14:textFill>
              </w:rPr>
              <w:t>有组织</w:t>
            </w:r>
            <w:r>
              <w:rPr>
                <w:b/>
                <w:bCs/>
                <w:color w:val="000000" w:themeColor="text1"/>
                <w:szCs w:val="21"/>
                <w14:textFill>
                  <w14:solidFill>
                    <w14:schemeClr w14:val="tx1"/>
                  </w14:solidFill>
                </w14:textFill>
              </w:rPr>
              <w:t>废气排放口基本情况一览表</w:t>
            </w:r>
          </w:p>
          <w:tbl>
            <w:tblPr>
              <w:tblStyle w:val="22"/>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9"/>
              <w:gridCol w:w="1069"/>
              <w:gridCol w:w="1192"/>
              <w:gridCol w:w="1101"/>
              <w:gridCol w:w="1257"/>
              <w:gridCol w:w="1598"/>
              <w:gridCol w:w="1128"/>
            </w:tblGrid>
            <w:tr w14:paraId="514FDC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2" w:type="pct"/>
                  <w:vMerge w:val="restart"/>
                  <w:noWrap/>
                  <w:vAlign w:val="center"/>
                </w:tcPr>
                <w:p w14:paraId="151F63E1">
                  <w:pPr>
                    <w:jc w:val="center"/>
                    <w:rPr>
                      <w:rFonts w:hint="eastAsia" w:eastAsia="宋体"/>
                      <w:b/>
                      <w:bCs/>
                      <w:color w:val="000000" w:themeColor="text1"/>
                      <w:szCs w:val="21"/>
                      <w:lang w:val="en-US" w:eastAsia="zh-CN"/>
                      <w14:textFill>
                        <w14:solidFill>
                          <w14:schemeClr w14:val="tx1"/>
                        </w14:solidFill>
                      </w14:textFill>
                    </w:rPr>
                  </w:pPr>
                  <w:r>
                    <w:rPr>
                      <w:b/>
                      <w:bCs/>
                      <w:color w:val="000000" w:themeColor="text1"/>
                      <w:szCs w:val="21"/>
                      <w14:textFill>
                        <w14:solidFill>
                          <w14:schemeClr w14:val="tx1"/>
                        </w14:solidFill>
                      </w14:textFill>
                    </w:rPr>
                    <w:t>排放口编号</w:t>
                  </w:r>
                </w:p>
              </w:tc>
              <w:tc>
                <w:tcPr>
                  <w:tcW w:w="760" w:type="pct"/>
                  <w:vMerge w:val="restart"/>
                  <w:noWrap/>
                  <w:vAlign w:val="center"/>
                </w:tcPr>
                <w:p w14:paraId="13D3E8A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排放口类型</w:t>
                  </w:r>
                </w:p>
              </w:tc>
              <w:tc>
                <w:tcPr>
                  <w:tcW w:w="1896" w:type="pct"/>
                  <w:gridSpan w:val="2"/>
                  <w:noWrap/>
                  <w:vAlign w:val="center"/>
                </w:tcPr>
                <w:p w14:paraId="79E3B32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排放口地理坐标</w:t>
                  </w:r>
                  <w:r>
                    <w:rPr>
                      <w:rFonts w:hint="eastAsia"/>
                      <w:b/>
                      <w:bCs/>
                      <w:color w:val="000000" w:themeColor="text1"/>
                      <w:szCs w:val="21"/>
                      <w14:textFill>
                        <w14:solidFill>
                          <w14:schemeClr w14:val="tx1"/>
                        </w14:solidFill>
                      </w14:textFill>
                    </w:rPr>
                    <w:t>/°</w:t>
                  </w:r>
                </w:p>
              </w:tc>
              <w:tc>
                <w:tcPr>
                  <w:tcW w:w="445" w:type="pct"/>
                  <w:vMerge w:val="restart"/>
                  <w:noWrap/>
                  <w:vAlign w:val="center"/>
                </w:tcPr>
                <w:p w14:paraId="744EFF7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排气筒高度/m</w:t>
                  </w:r>
                </w:p>
              </w:tc>
              <w:tc>
                <w:tcPr>
                  <w:tcW w:w="537" w:type="pct"/>
                  <w:vMerge w:val="restart"/>
                  <w:noWrap/>
                  <w:vAlign w:val="center"/>
                </w:tcPr>
                <w:p w14:paraId="6F08B2A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排气筒出口内径/m</w:t>
                  </w:r>
                </w:p>
              </w:tc>
              <w:tc>
                <w:tcPr>
                  <w:tcW w:w="428" w:type="pct"/>
                  <w:vMerge w:val="restart"/>
                  <w:noWrap/>
                  <w:vAlign w:val="center"/>
                </w:tcPr>
                <w:p w14:paraId="35D6E45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排气温度</w:t>
                  </w: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w:t>
                  </w:r>
                </w:p>
              </w:tc>
            </w:tr>
            <w:tr w14:paraId="37E4FA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2" w:type="pct"/>
                  <w:vMerge w:val="continue"/>
                  <w:noWrap/>
                  <w:vAlign w:val="center"/>
                </w:tcPr>
                <w:p w14:paraId="35066C64">
                  <w:pPr>
                    <w:jc w:val="center"/>
                    <w:rPr>
                      <w:color w:val="000000" w:themeColor="text1"/>
                      <w14:textFill>
                        <w14:solidFill>
                          <w14:schemeClr w14:val="tx1"/>
                        </w14:solidFill>
                      </w14:textFill>
                    </w:rPr>
                  </w:pPr>
                </w:p>
              </w:tc>
              <w:tc>
                <w:tcPr>
                  <w:tcW w:w="760" w:type="pct"/>
                  <w:vMerge w:val="continue"/>
                  <w:noWrap/>
                  <w:vAlign w:val="center"/>
                </w:tcPr>
                <w:p w14:paraId="51632391">
                  <w:pPr>
                    <w:jc w:val="center"/>
                    <w:rPr>
                      <w:color w:val="000000" w:themeColor="text1"/>
                      <w14:textFill>
                        <w14:solidFill>
                          <w14:schemeClr w14:val="tx1"/>
                        </w14:solidFill>
                      </w14:textFill>
                    </w:rPr>
                  </w:pPr>
                </w:p>
              </w:tc>
              <w:tc>
                <w:tcPr>
                  <w:tcW w:w="995" w:type="pct"/>
                  <w:noWrap/>
                  <w:vAlign w:val="center"/>
                </w:tcPr>
                <w:p w14:paraId="4231291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经度</w:t>
                  </w:r>
                </w:p>
              </w:tc>
              <w:tc>
                <w:tcPr>
                  <w:tcW w:w="900" w:type="pct"/>
                  <w:noWrap/>
                  <w:vAlign w:val="center"/>
                </w:tcPr>
                <w:p w14:paraId="3A216724">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纬度</w:t>
                  </w:r>
                </w:p>
              </w:tc>
              <w:tc>
                <w:tcPr>
                  <w:tcW w:w="445" w:type="pct"/>
                  <w:vMerge w:val="continue"/>
                  <w:noWrap/>
                  <w:vAlign w:val="center"/>
                </w:tcPr>
                <w:p w14:paraId="54462DCD">
                  <w:pPr>
                    <w:jc w:val="center"/>
                    <w:rPr>
                      <w:b/>
                      <w:bCs/>
                      <w:color w:val="000000" w:themeColor="text1"/>
                      <w:szCs w:val="21"/>
                      <w14:textFill>
                        <w14:solidFill>
                          <w14:schemeClr w14:val="tx1"/>
                        </w14:solidFill>
                      </w14:textFill>
                    </w:rPr>
                  </w:pPr>
                </w:p>
              </w:tc>
              <w:tc>
                <w:tcPr>
                  <w:tcW w:w="537" w:type="pct"/>
                  <w:vMerge w:val="continue"/>
                  <w:noWrap/>
                  <w:vAlign w:val="center"/>
                </w:tcPr>
                <w:p w14:paraId="218A9A0A">
                  <w:pPr>
                    <w:jc w:val="center"/>
                    <w:rPr>
                      <w:b/>
                      <w:bCs/>
                      <w:color w:val="000000" w:themeColor="text1"/>
                      <w:szCs w:val="21"/>
                      <w14:textFill>
                        <w14:solidFill>
                          <w14:schemeClr w14:val="tx1"/>
                        </w14:solidFill>
                      </w14:textFill>
                    </w:rPr>
                  </w:pPr>
                </w:p>
              </w:tc>
              <w:tc>
                <w:tcPr>
                  <w:tcW w:w="428" w:type="pct"/>
                  <w:vMerge w:val="continue"/>
                  <w:noWrap/>
                  <w:vAlign w:val="center"/>
                </w:tcPr>
                <w:p w14:paraId="521E26A4">
                  <w:pPr>
                    <w:jc w:val="center"/>
                    <w:rPr>
                      <w:b/>
                      <w:bCs/>
                      <w:color w:val="000000" w:themeColor="text1"/>
                      <w:szCs w:val="21"/>
                      <w14:textFill>
                        <w14:solidFill>
                          <w14:schemeClr w14:val="tx1"/>
                        </w14:solidFill>
                      </w14:textFill>
                    </w:rPr>
                  </w:pPr>
                </w:p>
              </w:tc>
            </w:tr>
            <w:tr w14:paraId="55CC96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2" w:type="pct"/>
                  <w:noWrap/>
                  <w:vAlign w:val="center"/>
                </w:tcPr>
                <w:p w14:paraId="55EEC676">
                  <w:pPr>
                    <w:pStyle w:val="61"/>
                    <w:rPr>
                      <w:color w:val="000000" w:themeColor="text1"/>
                      <w:spacing w:val="0"/>
                      <w14:textFill>
                        <w14:solidFill>
                          <w14:schemeClr w14:val="tx1"/>
                        </w14:solidFill>
                      </w14:textFill>
                    </w:rPr>
                  </w:pPr>
                  <w:r>
                    <w:rPr>
                      <w:rFonts w:hint="eastAsia"/>
                      <w:color w:val="000000" w:themeColor="text1"/>
                      <w14:textFill>
                        <w14:solidFill>
                          <w14:schemeClr w14:val="tx1"/>
                        </w14:solidFill>
                      </w14:textFill>
                    </w:rPr>
                    <w:t>DA001</w:t>
                  </w:r>
                  <w:r>
                    <w:rPr>
                      <w:rFonts w:hint="eastAsia"/>
                      <w:color w:val="000000" w:themeColor="text1"/>
                      <w:spacing w:val="0"/>
                      <w14:textFill>
                        <w14:solidFill>
                          <w14:schemeClr w14:val="tx1"/>
                        </w14:solidFill>
                      </w14:textFill>
                    </w:rPr>
                    <w:t>排气筒</w:t>
                  </w:r>
                </w:p>
              </w:tc>
              <w:tc>
                <w:tcPr>
                  <w:tcW w:w="760" w:type="pct"/>
                  <w:noWrap/>
                  <w:vAlign w:val="center"/>
                </w:tcPr>
                <w:p w14:paraId="222728E3">
                  <w:pPr>
                    <w:jc w:val="center"/>
                    <w:rPr>
                      <w:color w:val="000000" w:themeColor="text1"/>
                      <w14:textFill>
                        <w14:solidFill>
                          <w14:schemeClr w14:val="tx1"/>
                        </w14:solidFill>
                      </w14:textFill>
                    </w:rPr>
                  </w:pPr>
                  <w:r>
                    <w:rPr>
                      <w:color w:val="000000" w:themeColor="text1"/>
                      <w14:textFill>
                        <w14:solidFill>
                          <w14:schemeClr w14:val="tx1"/>
                        </w14:solidFill>
                      </w14:textFill>
                    </w:rPr>
                    <w:t>一般排放口</w:t>
                  </w:r>
                </w:p>
              </w:tc>
              <w:tc>
                <w:tcPr>
                  <w:tcW w:w="995" w:type="pct"/>
                  <w:noWrap/>
                  <w:vAlign w:val="center"/>
                </w:tcPr>
                <w:p w14:paraId="6E679594">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120.</w:t>
                  </w:r>
                  <w:r>
                    <w:rPr>
                      <w:rFonts w:hint="eastAsia"/>
                      <w:color w:val="000000" w:themeColor="text1"/>
                      <w:szCs w:val="21"/>
                      <w:lang w:val="en-US" w:eastAsia="zh-CN"/>
                      <w14:textFill>
                        <w14:solidFill>
                          <w14:schemeClr w14:val="tx1"/>
                        </w14:solidFill>
                      </w14:textFill>
                    </w:rPr>
                    <w:t>78384817</w:t>
                  </w:r>
                </w:p>
              </w:tc>
              <w:tc>
                <w:tcPr>
                  <w:tcW w:w="900" w:type="pct"/>
                  <w:noWrap/>
                  <w:vAlign w:val="center"/>
                </w:tcPr>
                <w:p w14:paraId="4909ED0C">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31.</w:t>
                  </w:r>
                  <w:r>
                    <w:rPr>
                      <w:rFonts w:hint="eastAsia"/>
                      <w:color w:val="000000" w:themeColor="text1"/>
                      <w:szCs w:val="21"/>
                      <w:lang w:val="en-US" w:eastAsia="zh-CN"/>
                      <w14:textFill>
                        <w14:solidFill>
                          <w14:schemeClr w14:val="tx1"/>
                        </w14:solidFill>
                      </w14:textFill>
                    </w:rPr>
                    <w:t>61125402</w:t>
                  </w:r>
                </w:p>
              </w:tc>
              <w:tc>
                <w:tcPr>
                  <w:tcW w:w="445" w:type="pct"/>
                  <w:noWrap/>
                  <w:vAlign w:val="center"/>
                </w:tcPr>
                <w:p w14:paraId="258AC891">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5</w:t>
                  </w:r>
                </w:p>
              </w:tc>
              <w:tc>
                <w:tcPr>
                  <w:tcW w:w="537" w:type="pct"/>
                  <w:noWrap/>
                  <w:vAlign w:val="center"/>
                </w:tcPr>
                <w:p w14:paraId="2D9767C5">
                  <w:pPr>
                    <w:pStyle w:val="61"/>
                    <w:rPr>
                      <w:rFonts w:hint="default" w:eastAsia="宋体"/>
                      <w:color w:val="000000" w:themeColor="text1"/>
                      <w:spacing w:val="0"/>
                      <w:highlight w:val="none"/>
                      <w:lang w:val="en-US" w:eastAsia="zh-CN"/>
                      <w14:textFill>
                        <w14:solidFill>
                          <w14:schemeClr w14:val="tx1"/>
                        </w14:solidFill>
                      </w14:textFill>
                    </w:rPr>
                  </w:pPr>
                  <w:r>
                    <w:rPr>
                      <w:rFonts w:hint="eastAsia"/>
                      <w:color w:val="000000" w:themeColor="text1"/>
                      <w:spacing w:val="0"/>
                      <w:highlight w:val="none"/>
                      <w14:textFill>
                        <w14:solidFill>
                          <w14:schemeClr w14:val="tx1"/>
                        </w14:solidFill>
                      </w14:textFill>
                    </w:rPr>
                    <w:t>0.</w:t>
                  </w:r>
                  <w:r>
                    <w:rPr>
                      <w:rFonts w:hint="eastAsia"/>
                      <w:color w:val="000000" w:themeColor="text1"/>
                      <w:spacing w:val="0"/>
                      <w:highlight w:val="none"/>
                      <w:lang w:val="en-US" w:eastAsia="zh-CN"/>
                      <w14:textFill>
                        <w14:solidFill>
                          <w14:schemeClr w14:val="tx1"/>
                        </w14:solidFill>
                      </w14:textFill>
                    </w:rPr>
                    <w:t>52</w:t>
                  </w:r>
                </w:p>
              </w:tc>
              <w:tc>
                <w:tcPr>
                  <w:tcW w:w="428" w:type="pct"/>
                  <w:noWrap/>
                  <w:vAlign w:val="center"/>
                </w:tcPr>
                <w:p w14:paraId="3E69EFB7">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32</w:t>
                  </w:r>
                </w:p>
              </w:tc>
            </w:tr>
          </w:tbl>
          <w:p w14:paraId="3EF05D41">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①高度合理性</w:t>
            </w:r>
          </w:p>
          <w:p w14:paraId="68FCBF77">
            <w:pPr>
              <w:adjustRightInd w:val="0"/>
              <w:snapToGrid w:val="0"/>
              <w:spacing w:line="360" w:lineRule="auto"/>
              <w:ind w:firstLine="420" w:firstLineChars="200"/>
              <w:rPr>
                <w:color w:val="000000" w:themeColor="text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根据《合成树脂工业污染物排放标准》（GB31572-2015，含2024年修改单）：废气收集系统与处理装置应符合相关安全技术要求。排气筒高度不低于15m（因安全考虑或有特殊工艺要求的，以及装置区污水池处理设施除外），具体高度以及与周围建筑物的相对高度关系应根据环境影响评价文件确定。</w:t>
            </w:r>
          </w:p>
          <w:p w14:paraId="5B49466B">
            <w:pPr>
              <w:widowControl/>
              <w:spacing w:line="360" w:lineRule="auto"/>
              <w:ind w:firstLine="420" w:firstLineChars="200"/>
              <w:jc w:val="left"/>
              <w:rPr>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《印刷工业大气污染物排放标准》(</w:t>
            </w:r>
            <w:r>
              <w:rPr>
                <w:color w:val="000000" w:themeColor="text1"/>
                <w:kern w:val="0"/>
                <w:szCs w:val="21"/>
                <w:highlight w:val="none"/>
                <w:lang w:bidi="ar"/>
                <w14:textFill>
                  <w14:solidFill>
                    <w14:schemeClr w14:val="tx1"/>
                  </w14:solidFill>
                </w14:textFill>
              </w:rPr>
              <w:t>DB32/4438-2022</w:t>
            </w:r>
            <w:r>
              <w:rPr>
                <w:rFonts w:hint="eastAsia"/>
                <w:color w:val="000000" w:themeColor="text1"/>
                <w:kern w:val="0"/>
                <w:szCs w:val="21"/>
                <w:highlight w:val="none"/>
                <w:lang w:bidi="ar"/>
                <w14:textFill>
                  <w14:solidFill>
                    <w14:schemeClr w14:val="tx1"/>
                  </w14:solidFill>
                </w14:textFill>
              </w:rPr>
              <w:t>)4.1.2条款规定：除因安全考虑或有特殊工艺要求的以外，排气筒高度不应低于15m，具体高度以及与周围建筑物的相关高度关系应根据环境影响评价文件确定。确因安全考虑或其他特殊工艺要求，新建企业的排气筒必须低于15m时，其最高允许排放速率按表1所列排放速率限值的50%执行。</w:t>
            </w:r>
          </w:p>
          <w:p w14:paraId="2D536290">
            <w:pPr>
              <w:adjustRightInd w:val="0"/>
              <w:snapToGrid w:val="0"/>
              <w:spacing w:line="360" w:lineRule="auto"/>
              <w:ind w:firstLine="420" w:firstLineChars="200"/>
              <w:rPr>
                <w:color w:val="000000" w:themeColor="text1"/>
                <w:szCs w:val="21"/>
                <w:highlight w:val="yellow"/>
                <w14:textFill>
                  <w14:solidFill>
                    <w14:schemeClr w14:val="tx1"/>
                  </w14:solidFill>
                </w14:textFill>
              </w:rPr>
            </w:pPr>
            <w:r>
              <w:rPr>
                <w:rFonts w:hint="eastAsia"/>
                <w:color w:val="000000" w:themeColor="text1"/>
                <w:szCs w:val="21"/>
                <w:highlight w:val="none"/>
                <w14:textFill>
                  <w14:solidFill>
                    <w14:schemeClr w14:val="tx1"/>
                  </w14:solidFill>
                </w14:textFill>
              </w:rPr>
              <w:t>本项目1#排气筒高度为</w:t>
            </w:r>
            <w:r>
              <w:rPr>
                <w:rFonts w:hint="eastAsia"/>
                <w:color w:val="000000" w:themeColor="text1"/>
                <w:szCs w:val="21"/>
                <w:highlight w:val="none"/>
                <w:lang w:val="en-US" w:eastAsia="zh-CN"/>
                <w14:textFill>
                  <w14:solidFill>
                    <w14:schemeClr w14:val="tx1"/>
                  </w14:solidFill>
                </w14:textFill>
              </w:rPr>
              <w:t>25</w:t>
            </w:r>
            <w:r>
              <w:rPr>
                <w:rFonts w:hint="eastAsia"/>
                <w:color w:val="000000" w:themeColor="text1"/>
                <w:szCs w:val="21"/>
                <w:highlight w:val="none"/>
                <w14:textFill>
                  <w14:solidFill>
                    <w14:schemeClr w14:val="tx1"/>
                  </w14:solidFill>
                </w14:textFill>
              </w:rPr>
              <w:t>m，对照上述标准，设置合理</w:t>
            </w:r>
            <w:r>
              <w:rPr>
                <w:color w:val="000000" w:themeColor="text1"/>
                <w:szCs w:val="21"/>
                <w:highlight w:val="none"/>
                <w14:textFill>
                  <w14:solidFill>
                    <w14:schemeClr w14:val="tx1"/>
                  </w14:solidFill>
                </w14:textFill>
              </w:rPr>
              <w:t>。</w:t>
            </w:r>
          </w:p>
          <w:p w14:paraId="7A97355C">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②风量</w:t>
            </w:r>
            <w:r>
              <w:rPr>
                <w:rFonts w:hint="eastAsia"/>
                <w:color w:val="000000" w:themeColor="text1"/>
                <w:szCs w:val="21"/>
                <w14:textFill>
                  <w14:solidFill>
                    <w14:schemeClr w14:val="tx1"/>
                  </w14:solidFill>
                </w14:textFill>
              </w:rPr>
              <w:t>合理性</w:t>
            </w:r>
          </w:p>
          <w:p w14:paraId="4F601CDE">
            <w:pPr>
              <w:adjustRightInd w:val="0"/>
              <w:snapToGrid w:val="0"/>
              <w:spacing w:beforeLines="50"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根据《大气污染治理工程技术导则》（HJ2000-2010）中要求“排气筒的出口直径应根据出口流速确定，流速宜取15m/s左右；当采用钢管烟囱且高度较高时或烟气量较大时，可适当提高出口流速至20m/s~2</w:t>
            </w:r>
            <w:r>
              <w:rPr>
                <w:color w:val="000000" w:themeColor="text1"/>
                <w:szCs w:val="21"/>
                <w:highlight w:val="none"/>
                <w14:textFill>
                  <w14:solidFill>
                    <w14:schemeClr w14:val="tx1"/>
                  </w14:solidFill>
                </w14:textFill>
              </w:rPr>
              <w:t>5m/s左右”。本项目</w:t>
            </w:r>
            <w:r>
              <w:rPr>
                <w:rFonts w:hint="eastAsia"/>
                <w:color w:val="000000" w:themeColor="text1"/>
                <w:szCs w:val="21"/>
                <w:highlight w:val="none"/>
                <w:lang w:val="en-US" w:eastAsia="zh-CN"/>
                <w14:textFill>
                  <w14:solidFill>
                    <w14:schemeClr w14:val="tx1"/>
                  </w14:solidFill>
                </w14:textFill>
              </w:rPr>
              <w:t>DA00</w:t>
            </w:r>
            <w:r>
              <w:rPr>
                <w:color w:val="000000" w:themeColor="text1"/>
                <w:szCs w:val="21"/>
                <w:highlight w:val="none"/>
                <w14:textFill>
                  <w14:solidFill>
                    <w14:schemeClr w14:val="tx1"/>
                  </w14:solidFill>
                </w14:textFill>
              </w:rPr>
              <w:t>1排气筒风量为</w:t>
            </w:r>
            <w:r>
              <w:rPr>
                <w:rFonts w:hint="eastAsia"/>
                <w:color w:val="000000" w:themeColor="text1"/>
                <w:szCs w:val="21"/>
                <w:highlight w:val="none"/>
                <w14:textFill>
                  <w14:solidFill>
                    <w14:schemeClr w14:val="tx1"/>
                  </w14:solidFill>
                </w14:textFill>
              </w:rPr>
              <w:t>1</w:t>
            </w:r>
            <w:r>
              <w:rPr>
                <w:rFonts w:hint="eastAsia"/>
                <w:color w:val="000000" w:themeColor="text1"/>
                <w:szCs w:val="21"/>
                <w:highlight w:val="none"/>
                <w:lang w:val="en-US" w:eastAsia="zh-CN"/>
                <w14:textFill>
                  <w14:solidFill>
                    <w14:schemeClr w14:val="tx1"/>
                  </w14:solidFill>
                </w14:textFill>
              </w:rPr>
              <w:t>2</w:t>
            </w:r>
            <w:r>
              <w:rPr>
                <w:rFonts w:hint="eastAsia"/>
                <w:color w:val="000000" w:themeColor="text1"/>
                <w:szCs w:val="21"/>
                <w:highlight w:val="none"/>
                <w14:textFill>
                  <w14:solidFill>
                    <w14:schemeClr w14:val="tx1"/>
                  </w14:solidFill>
                </w14:textFill>
              </w:rPr>
              <w:t>000</w:t>
            </w:r>
            <w:r>
              <w:rPr>
                <w:color w:val="000000" w:themeColor="text1"/>
                <w:szCs w:val="21"/>
                <w:highlight w:val="none"/>
                <w14:textFill>
                  <w14:solidFill>
                    <w14:schemeClr w14:val="tx1"/>
                  </w14:solidFill>
                </w14:textFill>
              </w:rPr>
              <w:t>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/h，管径0.</w:t>
            </w:r>
            <w:r>
              <w:rPr>
                <w:rFonts w:hint="eastAsia"/>
                <w:color w:val="000000" w:themeColor="text1"/>
                <w:szCs w:val="21"/>
                <w:highlight w:val="none"/>
                <w:lang w:val="en-US" w:eastAsia="zh-CN"/>
                <w14:textFill>
                  <w14:solidFill>
                    <w14:schemeClr w14:val="tx1"/>
                  </w14:solidFill>
                </w14:textFill>
              </w:rPr>
              <w:t>52</w:t>
            </w:r>
            <w:r>
              <w:rPr>
                <w:color w:val="000000" w:themeColor="text1"/>
                <w:szCs w:val="21"/>
                <w:highlight w:val="none"/>
                <w14:textFill>
                  <w14:solidFill>
                    <w14:schemeClr w14:val="tx1"/>
                  </w14:solidFill>
                </w14:textFill>
              </w:rPr>
              <w:t>m，经计算流速为</w:t>
            </w:r>
            <w:r>
              <w:rPr>
                <w:rFonts w:hint="eastAsia"/>
                <w:color w:val="000000" w:themeColor="text1"/>
                <w:szCs w:val="21"/>
                <w:highlight w:val="none"/>
                <w14:textFill>
                  <w14:solidFill>
                    <w14:schemeClr w14:val="tx1"/>
                  </w14:solidFill>
                </w14:textFill>
              </w:rPr>
              <w:t>15.</w:t>
            </w:r>
            <w:r>
              <w:rPr>
                <w:rFonts w:hint="eastAsia"/>
                <w:color w:val="000000" w:themeColor="text1"/>
                <w:szCs w:val="21"/>
                <w:highlight w:val="none"/>
                <w:lang w:val="en-US" w:eastAsia="zh-CN"/>
                <w14:textFill>
                  <w14:solidFill>
                    <w14:schemeClr w14:val="tx1"/>
                  </w14:solidFill>
                </w14:textFill>
              </w:rPr>
              <w:t>7</w:t>
            </w:r>
            <w:r>
              <w:rPr>
                <w:color w:val="000000" w:themeColor="text1"/>
                <w:szCs w:val="21"/>
                <w:highlight w:val="none"/>
                <w14:textFill>
                  <w14:solidFill>
                    <w14:schemeClr w14:val="tx1"/>
                  </w14:solidFill>
                </w14:textFill>
              </w:rPr>
              <w:t>m/s，符合文</w:t>
            </w:r>
            <w:r>
              <w:rPr>
                <w:color w:val="000000" w:themeColor="text1"/>
                <w:szCs w:val="21"/>
                <w14:textFill>
                  <w14:solidFill>
                    <w14:schemeClr w14:val="tx1"/>
                  </w14:solidFill>
                </w14:textFill>
              </w:rPr>
              <w:t>件要求</w:t>
            </w:r>
            <w:r>
              <w:rPr>
                <w:rFonts w:hint="eastAsia"/>
                <w:color w:val="000000" w:themeColor="text1"/>
                <w:szCs w:val="21"/>
                <w14:textFill>
                  <w14:solidFill>
                    <w14:schemeClr w14:val="tx1"/>
                  </w14:solidFill>
                </w14:textFill>
              </w:rPr>
              <w:t>。</w:t>
            </w:r>
          </w:p>
          <w:p w14:paraId="6A5E0126">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（2）无组织废气排放源基本情况</w:t>
            </w:r>
          </w:p>
          <w:p w14:paraId="266CCB33">
            <w:pPr>
              <w:jc w:val="center"/>
              <w:rPr>
                <w:color w:val="000000" w:themeColor="text1"/>
                <w:sz w:val="24"/>
                <w14:textFill>
                  <w14:solidFill>
                    <w14:schemeClr w14:val="tx1"/>
                  </w14:solidFill>
                </w14:textFill>
              </w:rPr>
            </w:pPr>
            <w:r>
              <w:rPr>
                <w:b/>
                <w:bCs/>
                <w:color w:val="000000" w:themeColor="text1"/>
                <w:szCs w:val="21"/>
                <w14:textFill>
                  <w14:solidFill>
                    <w14:schemeClr w14:val="tx1"/>
                  </w14:solidFill>
                </w14:textFill>
              </w:rPr>
              <w:t>表4.1-</w:t>
            </w:r>
            <w:r>
              <w:rPr>
                <w:rFonts w:hint="eastAsia"/>
                <w:b/>
                <w:bCs/>
                <w:color w:val="000000" w:themeColor="text1"/>
                <w:szCs w:val="21"/>
                <w:lang w:val="en-US" w:eastAsia="zh-CN"/>
                <w14:textFill>
                  <w14:solidFill>
                    <w14:schemeClr w14:val="tx1"/>
                  </w14:solidFill>
                </w14:textFill>
              </w:rPr>
              <w:t>3</w:t>
            </w:r>
            <w:r>
              <w:rPr>
                <w:b/>
                <w:bCs/>
                <w:color w:val="000000" w:themeColor="text1"/>
                <w:szCs w:val="21"/>
                <w14:textFill>
                  <w14:solidFill>
                    <w14:schemeClr w14:val="tx1"/>
                  </w14:solidFill>
                </w14:textFill>
              </w:rPr>
              <w:t xml:space="preserve">  本项目无组织废气排放源基本情况一览表</w:t>
            </w:r>
          </w:p>
          <w:tbl>
            <w:tblPr>
              <w:tblStyle w:val="22"/>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55"/>
              <w:gridCol w:w="1174"/>
              <w:gridCol w:w="1090"/>
              <w:gridCol w:w="1525"/>
              <w:gridCol w:w="1525"/>
              <w:gridCol w:w="1525"/>
            </w:tblGrid>
            <w:tr w14:paraId="39B0A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pct"/>
                  <w:vMerge w:val="restart"/>
                  <w:noWrap/>
                  <w:vAlign w:val="center"/>
                </w:tcPr>
                <w:p w14:paraId="1B8A3E7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排放源</w:t>
                  </w:r>
                </w:p>
              </w:tc>
              <w:tc>
                <w:tcPr>
                  <w:tcW w:w="1816" w:type="pct"/>
                  <w:gridSpan w:val="2"/>
                  <w:noWrap/>
                  <w:vAlign w:val="center"/>
                </w:tcPr>
                <w:p w14:paraId="48B94B42">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排放口地理坐标</w:t>
                  </w:r>
                  <w:r>
                    <w:rPr>
                      <w:rFonts w:hint="eastAsia"/>
                      <w:b/>
                      <w:bCs/>
                      <w:color w:val="000000" w:themeColor="text1"/>
                      <w:szCs w:val="21"/>
                      <w14:textFill>
                        <w14:solidFill>
                          <w14:schemeClr w14:val="tx1"/>
                        </w14:solidFill>
                      </w14:textFill>
                    </w:rPr>
                    <w:t>/°</w:t>
                  </w:r>
                </w:p>
              </w:tc>
              <w:tc>
                <w:tcPr>
                  <w:tcW w:w="792" w:type="pct"/>
                  <w:vMerge w:val="restart"/>
                  <w:noWrap/>
                  <w:vAlign w:val="center"/>
                </w:tcPr>
                <w:p w14:paraId="35A8251A">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排放源长度（m）</w:t>
                  </w:r>
                </w:p>
              </w:tc>
              <w:tc>
                <w:tcPr>
                  <w:tcW w:w="792" w:type="pct"/>
                  <w:vMerge w:val="restart"/>
                  <w:noWrap/>
                  <w:vAlign w:val="center"/>
                </w:tcPr>
                <w:p w14:paraId="3BE41C7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排放源宽度（m）</w:t>
                  </w:r>
                </w:p>
              </w:tc>
              <w:tc>
                <w:tcPr>
                  <w:tcW w:w="794" w:type="pct"/>
                  <w:vMerge w:val="restart"/>
                  <w:noWrap/>
                  <w:vAlign w:val="center"/>
                </w:tcPr>
                <w:p w14:paraId="59EDA98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排放源高度（m）</w:t>
                  </w:r>
                </w:p>
              </w:tc>
            </w:tr>
            <w:tr w14:paraId="6BFC83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pct"/>
                  <w:vMerge w:val="continue"/>
                  <w:noWrap/>
                  <w:vAlign w:val="center"/>
                </w:tcPr>
                <w:p w14:paraId="5A6A0B54">
                  <w:pPr>
                    <w:jc w:val="center"/>
                    <w:rPr>
                      <w:color w:val="000000" w:themeColor="text1"/>
                      <w14:textFill>
                        <w14:solidFill>
                          <w14:schemeClr w14:val="tx1"/>
                        </w14:solidFill>
                      </w14:textFill>
                    </w:rPr>
                  </w:pPr>
                </w:p>
              </w:tc>
              <w:tc>
                <w:tcPr>
                  <w:tcW w:w="935" w:type="pct"/>
                  <w:noWrap/>
                  <w:vAlign w:val="center"/>
                </w:tcPr>
                <w:p w14:paraId="7083660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经度</w:t>
                  </w:r>
                </w:p>
              </w:tc>
              <w:tc>
                <w:tcPr>
                  <w:tcW w:w="881" w:type="pct"/>
                  <w:noWrap/>
                  <w:vAlign w:val="center"/>
                </w:tcPr>
                <w:p w14:paraId="2A0C10A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纬度</w:t>
                  </w:r>
                </w:p>
              </w:tc>
              <w:tc>
                <w:tcPr>
                  <w:tcW w:w="792" w:type="pct"/>
                  <w:vMerge w:val="continue"/>
                  <w:noWrap/>
                  <w:vAlign w:val="center"/>
                </w:tcPr>
                <w:p w14:paraId="0EA283AF">
                  <w:pPr>
                    <w:jc w:val="center"/>
                    <w:rPr>
                      <w:b/>
                      <w:bCs/>
                      <w:color w:val="000000" w:themeColor="text1"/>
                      <w:szCs w:val="21"/>
                      <w14:textFill>
                        <w14:solidFill>
                          <w14:schemeClr w14:val="tx1"/>
                        </w14:solidFill>
                      </w14:textFill>
                    </w:rPr>
                  </w:pPr>
                </w:p>
              </w:tc>
              <w:tc>
                <w:tcPr>
                  <w:tcW w:w="792" w:type="pct"/>
                  <w:vMerge w:val="continue"/>
                  <w:noWrap/>
                  <w:vAlign w:val="center"/>
                </w:tcPr>
                <w:p w14:paraId="2544F57F">
                  <w:pPr>
                    <w:jc w:val="center"/>
                    <w:rPr>
                      <w:b/>
                      <w:bCs/>
                      <w:color w:val="000000" w:themeColor="text1"/>
                      <w:szCs w:val="21"/>
                      <w14:textFill>
                        <w14:solidFill>
                          <w14:schemeClr w14:val="tx1"/>
                        </w14:solidFill>
                      </w14:textFill>
                    </w:rPr>
                  </w:pPr>
                </w:p>
              </w:tc>
              <w:tc>
                <w:tcPr>
                  <w:tcW w:w="794" w:type="pct"/>
                  <w:vMerge w:val="continue"/>
                  <w:noWrap/>
                  <w:vAlign w:val="center"/>
                </w:tcPr>
                <w:p w14:paraId="5ACD21E1">
                  <w:pPr>
                    <w:jc w:val="center"/>
                    <w:rPr>
                      <w:b/>
                      <w:bCs/>
                      <w:color w:val="000000" w:themeColor="text1"/>
                      <w:szCs w:val="21"/>
                      <w14:textFill>
                        <w14:solidFill>
                          <w14:schemeClr w14:val="tx1"/>
                        </w14:solidFill>
                      </w14:textFill>
                    </w:rPr>
                  </w:pPr>
                </w:p>
              </w:tc>
            </w:tr>
            <w:tr w14:paraId="6AF1BC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pct"/>
                  <w:noWrap/>
                  <w:vAlign w:val="center"/>
                </w:tcPr>
                <w:p w14:paraId="01EB7CED">
                  <w:pPr>
                    <w:widowControl/>
                    <w:snapToGrid w:val="0"/>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生产</w:t>
                  </w:r>
                  <w:r>
                    <w:rPr>
                      <w:rFonts w:hint="eastAsia"/>
                      <w:color w:val="000000" w:themeColor="text1"/>
                      <w:kern w:val="0"/>
                      <w:szCs w:val="21"/>
                      <w:lang w:val="en-US" w:eastAsia="zh-CN"/>
                      <w14:textFill>
                        <w14:solidFill>
                          <w14:schemeClr w14:val="tx1"/>
                        </w14:solidFill>
                      </w14:textFill>
                    </w:rPr>
                    <w:t>厂房（1、2层）</w:t>
                  </w:r>
                </w:p>
              </w:tc>
              <w:tc>
                <w:tcPr>
                  <w:tcW w:w="935" w:type="pct"/>
                  <w:noWrap/>
                  <w:vAlign w:val="center"/>
                </w:tcPr>
                <w:p w14:paraId="6A78FC58">
                  <w:pPr>
                    <w:jc w:val="center"/>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120.</w:t>
                  </w:r>
                  <w:r>
                    <w:rPr>
                      <w:rFonts w:hint="eastAsia"/>
                      <w:color w:val="000000" w:themeColor="text1"/>
                      <w:szCs w:val="21"/>
                      <w:lang w:val="en-US" w:eastAsia="zh-CN"/>
                      <w14:textFill>
                        <w14:solidFill>
                          <w14:schemeClr w14:val="tx1"/>
                        </w14:solidFill>
                      </w14:textFill>
                    </w:rPr>
                    <w:t>78379453</w:t>
                  </w:r>
                </w:p>
              </w:tc>
              <w:tc>
                <w:tcPr>
                  <w:tcW w:w="881" w:type="pct"/>
                  <w:noWrap/>
                  <w:vAlign w:val="center"/>
                </w:tcPr>
                <w:p w14:paraId="6C69D2C4">
                  <w:pPr>
                    <w:jc w:val="center"/>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31.</w:t>
                  </w:r>
                  <w:r>
                    <w:rPr>
                      <w:rFonts w:hint="eastAsia"/>
                      <w:color w:val="000000" w:themeColor="text1"/>
                      <w:szCs w:val="21"/>
                      <w:lang w:val="en-US" w:eastAsia="zh-CN"/>
                      <w14:textFill>
                        <w14:solidFill>
                          <w14:schemeClr w14:val="tx1"/>
                        </w14:solidFill>
                      </w14:textFill>
                    </w:rPr>
                    <w:t>61098849</w:t>
                  </w:r>
                </w:p>
              </w:tc>
              <w:tc>
                <w:tcPr>
                  <w:tcW w:w="792" w:type="pct"/>
                  <w:noWrap/>
                  <w:vAlign w:val="center"/>
                </w:tcPr>
                <w:p w14:paraId="36625DA4">
                  <w:pPr>
                    <w:widowControl/>
                    <w:snapToGrid w:val="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48.2</w:t>
                  </w:r>
                </w:p>
              </w:tc>
              <w:tc>
                <w:tcPr>
                  <w:tcW w:w="792" w:type="pct"/>
                  <w:noWrap/>
                  <w:vAlign w:val="center"/>
                </w:tcPr>
                <w:p w14:paraId="156265A7">
                  <w:pPr>
                    <w:widowControl/>
                    <w:snapToGrid w:val="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20.2</w:t>
                  </w:r>
                </w:p>
              </w:tc>
              <w:tc>
                <w:tcPr>
                  <w:tcW w:w="794" w:type="pct"/>
                  <w:noWrap/>
                  <w:vAlign w:val="center"/>
                </w:tcPr>
                <w:p w14:paraId="74317386">
                  <w:pPr>
                    <w:widowControl/>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w:t>
                  </w:r>
                </w:p>
              </w:tc>
            </w:tr>
          </w:tbl>
          <w:p w14:paraId="65E05884">
            <w:pPr>
              <w:adjustRightInd w:val="0"/>
              <w:snapToGrid w:val="0"/>
              <w:spacing w:line="420" w:lineRule="exact"/>
              <w:ind w:firstLine="422" w:firstLineChars="20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4.1.</w:t>
            </w:r>
            <w:r>
              <w:rPr>
                <w:rFonts w:hint="eastAsia"/>
                <w:b/>
                <w:color w:val="000000" w:themeColor="text1"/>
                <w:szCs w:val="21"/>
                <w14:textFill>
                  <w14:solidFill>
                    <w14:schemeClr w14:val="tx1"/>
                  </w14:solidFill>
                </w14:textFill>
              </w:rPr>
              <w:t>3</w:t>
            </w:r>
            <w:r>
              <w:rPr>
                <w:b/>
                <w:color w:val="000000" w:themeColor="text1"/>
                <w:szCs w:val="21"/>
                <w14:textFill>
                  <w14:solidFill>
                    <w14:schemeClr w14:val="tx1"/>
                  </w14:solidFill>
                </w14:textFill>
              </w:rPr>
              <w:t>自行监测要求</w:t>
            </w:r>
          </w:p>
          <w:p w14:paraId="2547EC0F">
            <w:pPr>
              <w:adjustRightInd w:val="0"/>
              <w:snapToGrid w:val="0"/>
              <w:spacing w:line="42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根据</w:t>
            </w:r>
            <w:r>
              <w:rPr>
                <w:rFonts w:hint="eastAsia"/>
                <w:bCs/>
                <w:color w:val="000000" w:themeColor="text1"/>
                <w:kern w:val="0"/>
                <w:szCs w:val="21"/>
                <w14:textFill>
                  <w14:solidFill>
                    <w14:schemeClr w14:val="tx1"/>
                  </w14:solidFill>
                </w14:textFill>
              </w:rPr>
              <w:t>《排污单位自行监测技术指南 总则》（HJ819-2017）、</w:t>
            </w:r>
            <w:r>
              <w:rPr>
                <w:color w:val="000000" w:themeColor="text1"/>
                <w14:textFill>
                  <w14:solidFill>
                    <w14:schemeClr w14:val="tx1"/>
                  </w14:solidFill>
                </w14:textFill>
              </w:rPr>
              <w:t>《排污单位自行监测技术指南</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橡胶和塑料制品》（HJ 1207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2021）</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r>
              <w:rPr>
                <w:bCs/>
                <w:color w:val="000000" w:themeColor="text1"/>
                <w:szCs w:val="21"/>
                <w14:textFill>
                  <w14:solidFill>
                    <w14:schemeClr w14:val="tx1"/>
                  </w14:solidFill>
                </w14:textFill>
              </w:rPr>
              <w:t xml:space="preserve">排污单位自行监测技术指南 </w:t>
            </w:r>
            <w:r>
              <w:rPr>
                <w:rFonts w:hint="eastAsia"/>
                <w:bCs/>
                <w:color w:val="000000" w:themeColor="text1"/>
                <w:szCs w:val="21"/>
                <w14:textFill>
                  <w14:solidFill>
                    <w14:schemeClr w14:val="tx1"/>
                  </w14:solidFill>
                </w14:textFill>
              </w:rPr>
              <w:t>印刷工业</w:t>
            </w:r>
            <w:r>
              <w:rPr>
                <w:bCs/>
                <w:color w:val="000000" w:themeColor="text1"/>
                <w:szCs w:val="21"/>
                <w14:textFill>
                  <w14:solidFill>
                    <w14:schemeClr w14:val="tx1"/>
                  </w14:solidFill>
                </w14:textFill>
              </w:rPr>
              <w:t>》（HJ</w:t>
            </w:r>
            <w:r>
              <w:rPr>
                <w:rFonts w:hint="eastAsia"/>
                <w:bCs/>
                <w:color w:val="000000" w:themeColor="text1"/>
                <w:szCs w:val="21"/>
                <w14:textFill>
                  <w14:solidFill>
                    <w14:schemeClr w14:val="tx1"/>
                  </w14:solidFill>
                </w14:textFill>
              </w:rPr>
              <w:t xml:space="preserve"> </w:t>
            </w:r>
            <w:r>
              <w:rPr>
                <w:bCs/>
                <w:color w:val="000000" w:themeColor="text1"/>
                <w:szCs w:val="21"/>
                <w14:textFill>
                  <w14:solidFill>
                    <w14:schemeClr w14:val="tx1"/>
                  </w14:solidFill>
                </w14:textFill>
              </w:rPr>
              <w:t>12</w:t>
            </w:r>
            <w:r>
              <w:rPr>
                <w:rFonts w:hint="eastAsia"/>
                <w:bCs/>
                <w:color w:val="000000" w:themeColor="text1"/>
                <w:szCs w:val="21"/>
                <w14:textFill>
                  <w14:solidFill>
                    <w14:schemeClr w14:val="tx1"/>
                  </w14:solidFill>
                </w14:textFill>
              </w:rPr>
              <w:t>46-2022）的</w:t>
            </w:r>
            <w:r>
              <w:rPr>
                <w:bCs/>
                <w:color w:val="000000" w:themeColor="text1"/>
                <w:szCs w:val="21"/>
                <w14:textFill>
                  <w14:solidFill>
                    <w14:schemeClr w14:val="tx1"/>
                  </w14:solidFill>
                </w14:textFill>
              </w:rPr>
              <w:t>相关要求，本项目废气日常监测</w:t>
            </w:r>
            <w:r>
              <w:rPr>
                <w:rFonts w:hint="eastAsia"/>
                <w:bCs/>
                <w:color w:val="000000" w:themeColor="text1"/>
                <w:szCs w:val="21"/>
                <w14:textFill>
                  <w14:solidFill>
                    <w14:schemeClr w14:val="tx1"/>
                  </w14:solidFill>
                </w14:textFill>
              </w:rPr>
              <w:t>要求</w:t>
            </w:r>
            <w:r>
              <w:rPr>
                <w:bCs/>
                <w:color w:val="000000" w:themeColor="text1"/>
                <w:szCs w:val="21"/>
                <w14:textFill>
                  <w14:solidFill>
                    <w14:schemeClr w14:val="tx1"/>
                  </w14:solidFill>
                </w14:textFill>
              </w:rPr>
              <w:t>见表4.1-</w:t>
            </w:r>
            <w:r>
              <w:rPr>
                <w:rFonts w:hint="eastAsia"/>
                <w:bCs/>
                <w:color w:val="000000" w:themeColor="text1"/>
                <w:szCs w:val="21"/>
                <w:lang w:val="en-US" w:eastAsia="zh-CN"/>
                <w14:textFill>
                  <w14:solidFill>
                    <w14:schemeClr w14:val="tx1"/>
                  </w14:solidFill>
                </w14:textFill>
              </w:rPr>
              <w:t>4</w:t>
            </w:r>
            <w:r>
              <w:rPr>
                <w:bCs/>
                <w:color w:val="000000" w:themeColor="text1"/>
                <w:szCs w:val="21"/>
                <w14:textFill>
                  <w14:solidFill>
                    <w14:schemeClr w14:val="tx1"/>
                  </w14:solidFill>
                </w14:textFill>
              </w:rPr>
              <w:t>。</w:t>
            </w:r>
          </w:p>
          <w:p w14:paraId="352D7A5E">
            <w:pPr>
              <w:pStyle w:val="7"/>
              <w:ind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表4.1-</w:t>
            </w:r>
            <w:r>
              <w:rPr>
                <w:rFonts w:hint="eastAsia"/>
                <w:b/>
                <w:bCs/>
                <w:color w:val="000000" w:themeColor="text1"/>
                <w:szCs w:val="21"/>
                <w:lang w:val="en-US" w:eastAsia="zh-CN"/>
                <w14:textFill>
                  <w14:solidFill>
                    <w14:schemeClr w14:val="tx1"/>
                  </w14:solidFill>
                </w14:textFill>
              </w:rPr>
              <w:t>4</w:t>
            </w:r>
            <w:r>
              <w:rPr>
                <w:b/>
                <w:bCs/>
                <w:color w:val="000000" w:themeColor="text1"/>
                <w:szCs w:val="21"/>
                <w14:textFill>
                  <w14:solidFill>
                    <w14:schemeClr w14:val="tx1"/>
                  </w14:solidFill>
                </w14:textFill>
              </w:rPr>
              <w:t>本项目废气监测计划一览表</w:t>
            </w:r>
          </w:p>
          <w:tbl>
            <w:tblPr>
              <w:tblStyle w:val="22"/>
              <w:tblW w:w="498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1162"/>
              <w:gridCol w:w="1590"/>
              <w:gridCol w:w="831"/>
              <w:gridCol w:w="4489"/>
            </w:tblGrid>
            <w:tr w14:paraId="741C7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noWrap/>
                  <w:vAlign w:val="center"/>
                </w:tcPr>
                <w:p w14:paraId="72166C1B">
                  <w:pPr>
                    <w:pStyle w:val="6"/>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类型</w:t>
                  </w:r>
                </w:p>
              </w:tc>
              <w:tc>
                <w:tcPr>
                  <w:tcW w:w="940" w:type="pct"/>
                  <w:noWrap/>
                  <w:vAlign w:val="center"/>
                </w:tcPr>
                <w:p w14:paraId="5AB9E899">
                  <w:pPr>
                    <w:pStyle w:val="6"/>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监测点位</w:t>
                  </w:r>
                </w:p>
              </w:tc>
              <w:tc>
                <w:tcPr>
                  <w:tcW w:w="1185" w:type="pct"/>
                  <w:noWrap/>
                  <w:vAlign w:val="center"/>
                </w:tcPr>
                <w:p w14:paraId="2F46FCFB">
                  <w:pPr>
                    <w:pStyle w:val="6"/>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监测因子</w:t>
                  </w:r>
                </w:p>
              </w:tc>
              <w:tc>
                <w:tcPr>
                  <w:tcW w:w="731" w:type="pct"/>
                  <w:noWrap/>
                  <w:vAlign w:val="center"/>
                </w:tcPr>
                <w:p w14:paraId="0B036A2B">
                  <w:pPr>
                    <w:pStyle w:val="6"/>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监测频次</w:t>
                  </w:r>
                </w:p>
              </w:tc>
              <w:tc>
                <w:tcPr>
                  <w:tcW w:w="1740" w:type="pct"/>
                  <w:noWrap/>
                  <w:vAlign w:val="center"/>
                </w:tcPr>
                <w:p w14:paraId="31A36F2E">
                  <w:pPr>
                    <w:pStyle w:val="6"/>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排放标准</w:t>
                  </w:r>
                </w:p>
              </w:tc>
            </w:tr>
            <w:tr w14:paraId="7F8FB2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Merge w:val="restart"/>
                  <w:noWrap/>
                  <w:vAlign w:val="center"/>
                </w:tcPr>
                <w:p w14:paraId="79359266">
                  <w:pPr>
                    <w:pStyle w:val="6"/>
                    <w:jc w:val="center"/>
                    <w:rPr>
                      <w:rFonts w:hint="eastAsia" w:ascii="Times New Roman" w:eastAsia="宋体"/>
                      <w:b w:val="0"/>
                      <w:bCs/>
                      <w:color w:val="000000" w:themeColor="text1"/>
                      <w:sz w:val="21"/>
                      <w:szCs w:val="21"/>
                      <w:lang w:val="en-US" w:eastAsia="zh-CN"/>
                      <w14:textFill>
                        <w14:solidFill>
                          <w14:schemeClr w14:val="tx1"/>
                        </w14:solidFill>
                      </w14:textFill>
                    </w:rPr>
                  </w:pPr>
                  <w:r>
                    <w:rPr>
                      <w:rFonts w:hint="eastAsia" w:ascii="Times New Roman" w:eastAsia="宋体"/>
                      <w:b w:val="0"/>
                      <w:bCs/>
                      <w:color w:val="000000" w:themeColor="text1"/>
                      <w:sz w:val="21"/>
                      <w:szCs w:val="21"/>
                      <w:lang w:val="en-US" w:eastAsia="zh-CN"/>
                      <w14:textFill>
                        <w14:solidFill>
                          <w14:schemeClr w14:val="tx1"/>
                        </w14:solidFill>
                      </w14:textFill>
                    </w:rPr>
                    <w:t>废气</w:t>
                  </w:r>
                </w:p>
              </w:tc>
              <w:tc>
                <w:tcPr>
                  <w:tcW w:w="940" w:type="pct"/>
                  <w:vMerge w:val="restart"/>
                  <w:noWrap/>
                  <w:vAlign w:val="center"/>
                </w:tcPr>
                <w:p w14:paraId="6202742F">
                  <w:pPr>
                    <w:pStyle w:val="61"/>
                    <w:rPr>
                      <w:color w:val="000000" w:themeColor="text1"/>
                      <w:spacing w:val="0"/>
                      <w14:textFill>
                        <w14:solidFill>
                          <w14:schemeClr w14:val="tx1"/>
                        </w14:solidFill>
                      </w14:textFill>
                    </w:rPr>
                  </w:pPr>
                  <w:r>
                    <w:rPr>
                      <w:rFonts w:hint="eastAsia"/>
                      <w:color w:val="000000" w:themeColor="text1"/>
                      <w:spacing w:val="0"/>
                      <w:lang w:val="en-US" w:eastAsia="zh-CN"/>
                      <w14:textFill>
                        <w14:solidFill>
                          <w14:schemeClr w14:val="tx1"/>
                        </w14:solidFill>
                      </w14:textFill>
                    </w:rPr>
                    <w:t>DA001</w:t>
                  </w:r>
                  <w:r>
                    <w:rPr>
                      <w:rFonts w:hint="eastAsia"/>
                      <w:color w:val="000000" w:themeColor="text1"/>
                      <w:spacing w:val="0"/>
                      <w14:textFill>
                        <w14:solidFill>
                          <w14:schemeClr w14:val="tx1"/>
                        </w14:solidFill>
                      </w14:textFill>
                    </w:rPr>
                    <w:t>排气筒</w:t>
                  </w:r>
                </w:p>
              </w:tc>
              <w:tc>
                <w:tcPr>
                  <w:tcW w:w="1185" w:type="pct"/>
                  <w:noWrap/>
                  <w:vAlign w:val="center"/>
                </w:tcPr>
                <w:p w14:paraId="3EAA85DD">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非甲烷总烃</w:t>
                  </w:r>
                </w:p>
              </w:tc>
              <w:tc>
                <w:tcPr>
                  <w:tcW w:w="731" w:type="pct"/>
                  <w:noWrap/>
                  <w:vAlign w:val="center"/>
                </w:tcPr>
                <w:p w14:paraId="7BD3D881">
                  <w:pPr>
                    <w:jc w:val="center"/>
                    <w:rPr>
                      <w:color w:val="000000" w:themeColor="text1"/>
                      <w14:textFill>
                        <w14:solidFill>
                          <w14:schemeClr w14:val="tx1"/>
                        </w14:solidFill>
                      </w14:textFill>
                    </w:rPr>
                  </w:pPr>
                  <w:r>
                    <w:rPr>
                      <w:color w:val="000000" w:themeColor="text1"/>
                      <w14:textFill>
                        <w14:solidFill>
                          <w14:schemeClr w14:val="tx1"/>
                        </w14:solidFill>
                      </w14:textFill>
                    </w:rPr>
                    <w:t>1次/</w:t>
                  </w:r>
                  <w:r>
                    <w:rPr>
                      <w:rFonts w:hint="eastAsia"/>
                      <w:color w:val="000000" w:themeColor="text1"/>
                      <w:lang w:val="en-US" w:eastAsia="zh-CN"/>
                      <w14:textFill>
                        <w14:solidFill>
                          <w14:schemeClr w14:val="tx1"/>
                        </w14:solidFill>
                      </w14:textFill>
                    </w:rPr>
                    <w:t>半</w:t>
                  </w:r>
                  <w:r>
                    <w:rPr>
                      <w:color w:val="000000" w:themeColor="text1"/>
                      <w14:textFill>
                        <w14:solidFill>
                          <w14:schemeClr w14:val="tx1"/>
                        </w14:solidFill>
                      </w14:textFill>
                    </w:rPr>
                    <w:t>年</w:t>
                  </w:r>
                </w:p>
              </w:tc>
              <w:tc>
                <w:tcPr>
                  <w:tcW w:w="1740" w:type="pct"/>
                  <w:vMerge w:val="restart"/>
                  <w:noWrap/>
                  <w:vAlign w:val="center"/>
                </w:tcPr>
                <w:p w14:paraId="1F0E8521">
                  <w:pPr>
                    <w:jc w:val="center"/>
                    <w:rPr>
                      <w:color w:val="000000" w:themeColor="text1"/>
                      <w:szCs w:val="21"/>
                      <w14:textFill>
                        <w14:solidFill>
                          <w14:schemeClr w14:val="tx1"/>
                        </w14:solidFill>
                      </w14:textFill>
                    </w:rPr>
                  </w:pPr>
                  <w:r>
                    <w:rPr>
                      <w:bCs/>
                      <w:color w:val="000000" w:themeColor="text1"/>
                      <w14:textFill>
                        <w14:solidFill>
                          <w14:schemeClr w14:val="tx1"/>
                        </w14:solidFill>
                      </w14:textFill>
                    </w:rPr>
                    <w:t>《印刷工业大气污染物排放标准》（DB32/4438-2022）表1标准</w:t>
                  </w:r>
                </w:p>
              </w:tc>
            </w:tr>
            <w:tr w14:paraId="59769B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Merge w:val="continue"/>
                  <w:noWrap/>
                  <w:vAlign w:val="center"/>
                </w:tcPr>
                <w:p w14:paraId="0217F3C3">
                  <w:pPr>
                    <w:pStyle w:val="6"/>
                    <w:jc w:val="center"/>
                    <w:rPr>
                      <w:rFonts w:ascii="Times New Roman" w:eastAsia="宋体"/>
                      <w:b w:val="0"/>
                      <w:bCs/>
                      <w:color w:val="000000" w:themeColor="text1"/>
                      <w:sz w:val="21"/>
                      <w:szCs w:val="21"/>
                      <w14:textFill>
                        <w14:solidFill>
                          <w14:schemeClr w14:val="tx1"/>
                        </w14:solidFill>
                      </w14:textFill>
                    </w:rPr>
                  </w:pPr>
                </w:p>
              </w:tc>
              <w:tc>
                <w:tcPr>
                  <w:tcW w:w="940" w:type="pct"/>
                  <w:vMerge w:val="continue"/>
                  <w:noWrap/>
                  <w:vAlign w:val="center"/>
                </w:tcPr>
                <w:p w14:paraId="4D50EEB2">
                  <w:pPr>
                    <w:pStyle w:val="61"/>
                    <w:rPr>
                      <w:rFonts w:hint="eastAsia"/>
                      <w:color w:val="000000" w:themeColor="text1"/>
                      <w:spacing w:val="0"/>
                      <w:lang w:val="en-US" w:eastAsia="zh-CN"/>
                      <w14:textFill>
                        <w14:solidFill>
                          <w14:schemeClr w14:val="tx1"/>
                        </w14:solidFill>
                      </w14:textFill>
                    </w:rPr>
                  </w:pPr>
                </w:p>
              </w:tc>
              <w:tc>
                <w:tcPr>
                  <w:tcW w:w="1185" w:type="pct"/>
                  <w:noWrap/>
                  <w:vAlign w:val="center"/>
                </w:tcPr>
                <w:p w14:paraId="69ADA48E">
                  <w:pPr>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TVOC</w:t>
                  </w:r>
                </w:p>
              </w:tc>
              <w:tc>
                <w:tcPr>
                  <w:tcW w:w="731" w:type="pct"/>
                  <w:noWrap/>
                  <w:vAlign w:val="center"/>
                </w:tcPr>
                <w:p w14:paraId="47C73CD0">
                  <w:pPr>
                    <w:jc w:val="center"/>
                    <w:rPr>
                      <w:color w:val="000000" w:themeColor="text1"/>
                      <w14:textFill>
                        <w14:solidFill>
                          <w14:schemeClr w14:val="tx1"/>
                        </w14:solidFill>
                      </w14:textFill>
                    </w:rPr>
                  </w:pPr>
                  <w:r>
                    <w:rPr>
                      <w:color w:val="000000" w:themeColor="text1"/>
                      <w14:textFill>
                        <w14:solidFill>
                          <w14:schemeClr w14:val="tx1"/>
                        </w14:solidFill>
                      </w14:textFill>
                    </w:rPr>
                    <w:t>1次/年</w:t>
                  </w:r>
                </w:p>
              </w:tc>
              <w:tc>
                <w:tcPr>
                  <w:tcW w:w="1740" w:type="pct"/>
                  <w:vMerge w:val="continue"/>
                  <w:noWrap/>
                  <w:vAlign w:val="center"/>
                </w:tcPr>
                <w:p w14:paraId="0BF816F4">
                  <w:pPr>
                    <w:jc w:val="center"/>
                    <w:rPr>
                      <w:bCs/>
                      <w:color w:val="000000" w:themeColor="text1"/>
                      <w14:textFill>
                        <w14:solidFill>
                          <w14:schemeClr w14:val="tx1"/>
                        </w14:solidFill>
                      </w14:textFill>
                    </w:rPr>
                  </w:pPr>
                </w:p>
              </w:tc>
            </w:tr>
            <w:tr w14:paraId="221023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Merge w:val="continue"/>
                  <w:noWrap/>
                  <w:vAlign w:val="center"/>
                </w:tcPr>
                <w:p w14:paraId="735EA3BE">
                  <w:pPr>
                    <w:pStyle w:val="6"/>
                    <w:jc w:val="center"/>
                    <w:rPr>
                      <w:rFonts w:ascii="Times New Roman" w:eastAsia="宋体"/>
                      <w:b w:val="0"/>
                      <w:bCs/>
                      <w:color w:val="000000" w:themeColor="text1"/>
                      <w:sz w:val="21"/>
                      <w:szCs w:val="21"/>
                      <w14:textFill>
                        <w14:solidFill>
                          <w14:schemeClr w14:val="tx1"/>
                        </w14:solidFill>
                      </w14:textFill>
                    </w:rPr>
                  </w:pPr>
                </w:p>
              </w:tc>
              <w:tc>
                <w:tcPr>
                  <w:tcW w:w="940" w:type="pct"/>
                  <w:noWrap/>
                  <w:vAlign w:val="center"/>
                </w:tcPr>
                <w:p w14:paraId="080A1E0F">
                  <w:pPr>
                    <w:pStyle w:val="6"/>
                    <w:jc w:val="center"/>
                    <w:rPr>
                      <w:rFonts w:ascii="Times New Roman" w:eastAsia="宋体"/>
                      <w:b w:val="0"/>
                      <w:bCs/>
                      <w:color w:val="000000" w:themeColor="text1"/>
                      <w:sz w:val="21"/>
                      <w:szCs w:val="21"/>
                      <w14:textFill>
                        <w14:solidFill>
                          <w14:schemeClr w14:val="tx1"/>
                        </w14:solidFill>
                      </w14:textFill>
                    </w:rPr>
                  </w:pPr>
                  <w:r>
                    <w:rPr>
                      <w:rFonts w:hint="eastAsia" w:ascii="Times New Roman" w:eastAsia="宋体"/>
                      <w:b w:val="0"/>
                      <w:bCs/>
                      <w:color w:val="000000" w:themeColor="text1"/>
                      <w:sz w:val="21"/>
                      <w:szCs w:val="21"/>
                      <w14:textFill>
                        <w14:solidFill>
                          <w14:schemeClr w14:val="tx1"/>
                        </w14:solidFill>
                      </w14:textFill>
                    </w:rPr>
                    <w:t>厂区内</w:t>
                  </w:r>
                </w:p>
              </w:tc>
              <w:tc>
                <w:tcPr>
                  <w:tcW w:w="1185" w:type="pct"/>
                  <w:noWrap/>
                  <w:vAlign w:val="center"/>
                </w:tcPr>
                <w:p w14:paraId="5822AC28">
                  <w:pPr>
                    <w:pStyle w:val="6"/>
                    <w:jc w:val="center"/>
                    <w:rPr>
                      <w:rFonts w:ascii="Times New Roman" w:eastAsia="宋体"/>
                      <w:b w:val="0"/>
                      <w:bCs/>
                      <w:color w:val="000000" w:themeColor="text1"/>
                      <w:sz w:val="21"/>
                      <w:szCs w:val="21"/>
                      <w14:textFill>
                        <w14:solidFill>
                          <w14:schemeClr w14:val="tx1"/>
                        </w14:solidFill>
                      </w14:textFill>
                    </w:rPr>
                  </w:pPr>
                  <w:r>
                    <w:rPr>
                      <w:rFonts w:ascii="Times New Roman" w:eastAsia="宋体"/>
                      <w:b w:val="0"/>
                      <w:bCs/>
                      <w:color w:val="000000" w:themeColor="text1"/>
                      <w:sz w:val="21"/>
                      <w:szCs w:val="21"/>
                      <w14:textFill>
                        <w14:solidFill>
                          <w14:schemeClr w14:val="tx1"/>
                        </w14:solidFill>
                      </w14:textFill>
                    </w:rPr>
                    <w:t>非甲烷总烃</w:t>
                  </w:r>
                </w:p>
              </w:tc>
              <w:tc>
                <w:tcPr>
                  <w:tcW w:w="731" w:type="pct"/>
                  <w:noWrap/>
                  <w:vAlign w:val="center"/>
                </w:tcPr>
                <w:p w14:paraId="2320AC47">
                  <w:pPr>
                    <w:pStyle w:val="6"/>
                    <w:jc w:val="center"/>
                    <w:rPr>
                      <w:rFonts w:ascii="Times New Roman" w:eastAsia="宋体"/>
                      <w:b w:val="0"/>
                      <w:bCs/>
                      <w:color w:val="000000" w:themeColor="text1"/>
                      <w:sz w:val="21"/>
                      <w:szCs w:val="21"/>
                      <w14:textFill>
                        <w14:solidFill>
                          <w14:schemeClr w14:val="tx1"/>
                        </w14:solidFill>
                      </w14:textFill>
                    </w:rPr>
                  </w:pPr>
                  <w:r>
                    <w:rPr>
                      <w:rFonts w:ascii="Times New Roman" w:eastAsia="宋体"/>
                      <w:b w:val="0"/>
                      <w:bCs/>
                      <w:color w:val="000000" w:themeColor="text1"/>
                      <w:sz w:val="21"/>
                      <w:szCs w:val="21"/>
                      <w14:textFill>
                        <w14:solidFill>
                          <w14:schemeClr w14:val="tx1"/>
                        </w14:solidFill>
                      </w14:textFill>
                    </w:rPr>
                    <w:t>1次/年</w:t>
                  </w:r>
                </w:p>
              </w:tc>
              <w:tc>
                <w:tcPr>
                  <w:tcW w:w="1740" w:type="pct"/>
                  <w:noWrap/>
                  <w:vAlign w:val="center"/>
                </w:tcPr>
                <w:p w14:paraId="1698258F">
                  <w:pPr>
                    <w:pStyle w:val="71"/>
                    <w:rPr>
                      <w:bCs/>
                      <w:color w:val="000000" w:themeColor="text1"/>
                      <w14:textFill>
                        <w14:solidFill>
                          <w14:schemeClr w14:val="tx1"/>
                        </w14:solidFill>
                      </w14:textFill>
                    </w:rPr>
                  </w:pPr>
                  <w:r>
                    <w:rPr>
                      <w:rFonts w:hint="eastAsia"/>
                      <w:color w:val="000000" w:themeColor="text1"/>
                      <w:szCs w:val="21"/>
                      <w14:textFill>
                        <w14:solidFill>
                          <w14:schemeClr w14:val="tx1"/>
                        </w14:solidFill>
                      </w14:textFill>
                    </w:rPr>
                    <w:t>《印刷工业大气污染物排放标准》（DB32/4438-2022）</w:t>
                  </w:r>
                  <w:r>
                    <w:rPr>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标准</w:t>
                  </w:r>
                </w:p>
              </w:tc>
            </w:tr>
            <w:tr w14:paraId="6834A0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Merge w:val="continue"/>
                  <w:noWrap/>
                  <w:vAlign w:val="center"/>
                </w:tcPr>
                <w:p w14:paraId="2E9FFEFA">
                  <w:pPr>
                    <w:pStyle w:val="6"/>
                    <w:jc w:val="center"/>
                    <w:rPr>
                      <w:rFonts w:ascii="Times New Roman" w:eastAsia="宋体"/>
                      <w:b w:val="0"/>
                      <w:bCs/>
                      <w:color w:val="000000" w:themeColor="text1"/>
                      <w:sz w:val="21"/>
                      <w:szCs w:val="21"/>
                      <w14:textFill>
                        <w14:solidFill>
                          <w14:schemeClr w14:val="tx1"/>
                        </w14:solidFill>
                      </w14:textFill>
                    </w:rPr>
                  </w:pPr>
                </w:p>
              </w:tc>
              <w:tc>
                <w:tcPr>
                  <w:tcW w:w="940" w:type="pct"/>
                  <w:noWrap/>
                  <w:vAlign w:val="center"/>
                </w:tcPr>
                <w:p w14:paraId="3E70274F">
                  <w:pPr>
                    <w:pStyle w:val="6"/>
                    <w:jc w:val="center"/>
                    <w:rPr>
                      <w:rFonts w:ascii="Times New Roman" w:eastAsia="宋体"/>
                      <w:b w:val="0"/>
                      <w:bCs/>
                      <w:color w:val="000000" w:themeColor="text1"/>
                      <w:sz w:val="21"/>
                      <w:szCs w:val="21"/>
                      <w14:textFill>
                        <w14:solidFill>
                          <w14:schemeClr w14:val="tx1"/>
                        </w14:solidFill>
                      </w14:textFill>
                    </w:rPr>
                  </w:pPr>
                  <w:r>
                    <w:rPr>
                      <w:rFonts w:ascii="Times New Roman" w:eastAsia="宋体"/>
                      <w:b w:val="0"/>
                      <w:bCs/>
                      <w:color w:val="000000" w:themeColor="text1"/>
                      <w:sz w:val="21"/>
                      <w:szCs w:val="21"/>
                      <w14:textFill>
                        <w14:solidFill>
                          <w14:schemeClr w14:val="tx1"/>
                        </w14:solidFill>
                      </w14:textFill>
                    </w:rPr>
                    <w:t>厂界</w:t>
                  </w:r>
                </w:p>
              </w:tc>
              <w:tc>
                <w:tcPr>
                  <w:tcW w:w="1185" w:type="pct"/>
                  <w:noWrap/>
                  <w:vAlign w:val="center"/>
                </w:tcPr>
                <w:p w14:paraId="597E8F8F">
                  <w:pPr>
                    <w:pStyle w:val="6"/>
                    <w:jc w:val="center"/>
                    <w:rPr>
                      <w:rFonts w:hint="default" w:ascii="Times New Roman" w:eastAsia="宋体"/>
                      <w:b w:val="0"/>
                      <w:bCs/>
                      <w:color w:val="000000" w:themeColor="text1"/>
                      <w:sz w:val="21"/>
                      <w:szCs w:val="21"/>
                      <w:lang w:val="en-US" w:eastAsia="zh-CN"/>
                      <w14:textFill>
                        <w14:solidFill>
                          <w14:schemeClr w14:val="tx1"/>
                        </w14:solidFill>
                      </w14:textFill>
                    </w:rPr>
                  </w:pPr>
                  <w:r>
                    <w:rPr>
                      <w:rFonts w:ascii="Times New Roman" w:eastAsia="宋体"/>
                      <w:b w:val="0"/>
                      <w:bCs/>
                      <w:color w:val="000000" w:themeColor="text1"/>
                      <w:sz w:val="21"/>
                      <w:szCs w:val="21"/>
                      <w14:textFill>
                        <w14:solidFill>
                          <w14:schemeClr w14:val="tx1"/>
                        </w14:solidFill>
                      </w14:textFill>
                    </w:rPr>
                    <w:t>非甲烷总烃</w:t>
                  </w:r>
                  <w:r>
                    <w:rPr>
                      <w:rFonts w:hint="eastAsia" w:ascii="Times New Roman" w:eastAsia="宋体"/>
                      <w:b w:val="0"/>
                      <w:bCs/>
                      <w:color w:val="000000" w:themeColor="text1"/>
                      <w:sz w:val="21"/>
                      <w:szCs w:val="21"/>
                      <w:lang w:eastAsia="zh-CN"/>
                      <w14:textFill>
                        <w14:solidFill>
                          <w14:schemeClr w14:val="tx1"/>
                        </w14:solidFill>
                      </w14:textFill>
                    </w:rPr>
                    <w:t>、</w:t>
                  </w:r>
                  <w:r>
                    <w:rPr>
                      <w:rFonts w:hint="eastAsia" w:ascii="Times New Roman" w:eastAsia="宋体"/>
                      <w:b w:val="0"/>
                      <w:bCs/>
                      <w:color w:val="000000" w:themeColor="text1"/>
                      <w:sz w:val="21"/>
                      <w:szCs w:val="21"/>
                      <w:lang w:val="en-US" w:eastAsia="zh-CN"/>
                      <w14:textFill>
                        <w14:solidFill>
                          <w14:schemeClr w14:val="tx1"/>
                        </w14:solidFill>
                      </w14:textFill>
                    </w:rPr>
                    <w:t>颗粒物</w:t>
                  </w:r>
                </w:p>
              </w:tc>
              <w:tc>
                <w:tcPr>
                  <w:tcW w:w="731" w:type="pct"/>
                  <w:noWrap/>
                  <w:vAlign w:val="center"/>
                </w:tcPr>
                <w:p w14:paraId="4847E8AC">
                  <w:pPr>
                    <w:pStyle w:val="6"/>
                    <w:jc w:val="center"/>
                    <w:rPr>
                      <w:rFonts w:ascii="Times New Roman" w:eastAsia="宋体"/>
                      <w:b w:val="0"/>
                      <w:bCs/>
                      <w:color w:val="000000" w:themeColor="text1"/>
                      <w:sz w:val="21"/>
                      <w:szCs w:val="21"/>
                      <w14:textFill>
                        <w14:solidFill>
                          <w14:schemeClr w14:val="tx1"/>
                        </w14:solidFill>
                      </w14:textFill>
                    </w:rPr>
                  </w:pPr>
                  <w:r>
                    <w:rPr>
                      <w:rFonts w:ascii="Times New Roman" w:eastAsia="宋体"/>
                      <w:b w:val="0"/>
                      <w:bCs/>
                      <w:color w:val="000000" w:themeColor="text1"/>
                      <w:sz w:val="21"/>
                      <w:szCs w:val="21"/>
                      <w14:textFill>
                        <w14:solidFill>
                          <w14:schemeClr w14:val="tx1"/>
                        </w14:solidFill>
                      </w14:textFill>
                    </w:rPr>
                    <w:t>1次/年</w:t>
                  </w:r>
                </w:p>
              </w:tc>
              <w:tc>
                <w:tcPr>
                  <w:tcW w:w="1740" w:type="pct"/>
                  <w:noWrap/>
                  <w:vAlign w:val="center"/>
                </w:tcPr>
                <w:p w14:paraId="591A24E4">
                  <w:pPr>
                    <w:pStyle w:val="71"/>
                    <w:rPr>
                      <w:color w:val="000000" w:themeColor="text1"/>
                      <w14:textFill>
                        <w14:solidFill>
                          <w14:schemeClr w14:val="tx1"/>
                        </w14:solidFill>
                      </w14:textFill>
                    </w:rPr>
                  </w:pPr>
                  <w:r>
                    <w:rPr>
                      <w:color w:val="000000" w:themeColor="text1"/>
                      <w14:textFill>
                        <w14:solidFill>
                          <w14:schemeClr w14:val="tx1"/>
                        </w14:solidFill>
                      </w14:textFill>
                    </w:rPr>
                    <w:t>《大气污染物综合排放标准》</w:t>
                  </w:r>
                </w:p>
                <w:p w14:paraId="1999D3AF">
                  <w:pPr>
                    <w:pStyle w:val="71"/>
                    <w:rPr>
                      <w:bCs/>
                      <w:color w:val="000000" w:themeColor="text1"/>
                      <w14:textFill>
                        <w14:solidFill>
                          <w14:schemeClr w14:val="tx1"/>
                        </w14:solidFill>
                      </w14:textFill>
                    </w:rPr>
                  </w:pPr>
                  <w:r>
                    <w:rPr>
                      <w:color w:val="000000" w:themeColor="text1"/>
                      <w14:textFill>
                        <w14:solidFill>
                          <w14:schemeClr w14:val="tx1"/>
                        </w14:solidFill>
                      </w14:textFill>
                    </w:rPr>
                    <w:t>（DB32/4041-2021）表</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标准</w:t>
                  </w:r>
                </w:p>
              </w:tc>
            </w:tr>
          </w:tbl>
          <w:p w14:paraId="1908B5D8">
            <w:pPr>
              <w:adjustRightInd w:val="0"/>
              <w:snapToGrid w:val="0"/>
              <w:spacing w:line="420" w:lineRule="exact"/>
              <w:ind w:firstLine="422" w:firstLineChars="20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4.1.4非正常工况分析</w:t>
            </w:r>
          </w:p>
          <w:p w14:paraId="18A89E18">
            <w:pPr>
              <w:adjustRightInd w:val="0"/>
              <w:snapToGrid w:val="0"/>
              <w:spacing w:line="42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非正常生产状况是指生产过程中开停车（工、炉）、设备检修、工艺设备运转异常等非正常工况下的污染物排放，以及污染物排放控制措施达不到应有效率等情况下对环境造成的影响。</w:t>
            </w:r>
          </w:p>
          <w:p w14:paraId="5B3A6A24">
            <w:pPr>
              <w:adjustRightInd w:val="0"/>
              <w:snapToGrid w:val="0"/>
              <w:spacing w:line="42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对于废气处理系统，一般情况下是开车时先运行废气处理系统，停车时废气处理系统最后停车，在开停车时一般情况下不存在工艺尾气事故排放，环保设备检修生产设备同时停车也不会存在事故排放。本项目非正常工况考虑最不利环境影响情况为废气处理装置发生故障，废气处理效率均为0的情况下，污染物排放的影响，主要分析有组织排放系统故障时的污染物排放量，非正常工况污染物排放核算详见下表。</w:t>
            </w:r>
          </w:p>
          <w:p w14:paraId="5579E067">
            <w:pPr>
              <w:pStyle w:val="7"/>
              <w:ind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表4.1-</w:t>
            </w:r>
            <w:r>
              <w:rPr>
                <w:rFonts w:hint="eastAsia"/>
                <w:b/>
                <w:bCs/>
                <w:color w:val="000000" w:themeColor="text1"/>
                <w:szCs w:val="21"/>
                <w:lang w:val="en-US" w:eastAsia="zh-CN"/>
                <w14:textFill>
                  <w14:solidFill>
                    <w14:schemeClr w14:val="tx1"/>
                  </w14:solidFill>
                </w14:textFill>
              </w:rPr>
              <w:t>5</w:t>
            </w:r>
            <w:r>
              <w:rPr>
                <w:rFonts w:hint="eastAsia"/>
                <w:b/>
                <w:bCs/>
                <w:color w:val="000000" w:themeColor="text1"/>
                <w:szCs w:val="21"/>
                <w14:textFill>
                  <w14:solidFill>
                    <w14:schemeClr w14:val="tx1"/>
                  </w14:solidFill>
                </w14:textFill>
              </w:rPr>
              <w:t xml:space="preserve">  </w:t>
            </w:r>
            <w:r>
              <w:rPr>
                <w:b/>
                <w:bCs/>
                <w:color w:val="000000" w:themeColor="text1"/>
                <w:szCs w:val="21"/>
                <w14:textFill>
                  <w14:solidFill>
                    <w14:schemeClr w14:val="tx1"/>
                  </w14:solidFill>
                </w14:textFill>
              </w:rPr>
              <w:t>非正常工况废气排放</w:t>
            </w:r>
            <w:r>
              <w:rPr>
                <w:rFonts w:hint="eastAsia"/>
                <w:b/>
                <w:color w:val="000000" w:themeColor="text1"/>
                <w:szCs w:val="21"/>
                <w14:textFill>
                  <w14:solidFill>
                    <w14:schemeClr w14:val="tx1"/>
                  </w14:solidFill>
                </w14:textFill>
              </w:rPr>
              <w:t>一览</w:t>
            </w:r>
            <w:r>
              <w:rPr>
                <w:b/>
                <w:bCs/>
                <w:color w:val="000000" w:themeColor="text1"/>
                <w:szCs w:val="21"/>
                <w14:textFill>
                  <w14:solidFill>
                    <w14:schemeClr w14:val="tx1"/>
                  </w14:solidFill>
                </w14:textFill>
              </w:rPr>
              <w:t>表</w:t>
            </w:r>
          </w:p>
          <w:tbl>
            <w:tblPr>
              <w:tblStyle w:val="2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3"/>
              <w:gridCol w:w="763"/>
              <w:gridCol w:w="1187"/>
              <w:gridCol w:w="658"/>
              <w:gridCol w:w="572"/>
              <w:gridCol w:w="571"/>
              <w:gridCol w:w="837"/>
              <w:gridCol w:w="748"/>
              <w:gridCol w:w="2865"/>
            </w:tblGrid>
            <w:tr w14:paraId="7CCB2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259" w:type="pct"/>
                  <w:noWrap/>
                  <w:vAlign w:val="center"/>
                </w:tcPr>
                <w:p w14:paraId="170CBC6B">
                  <w:pPr>
                    <w:pStyle w:val="6"/>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序号</w:t>
                  </w:r>
                </w:p>
              </w:tc>
              <w:tc>
                <w:tcPr>
                  <w:tcW w:w="608" w:type="pct"/>
                  <w:noWrap/>
                  <w:vAlign w:val="center"/>
                </w:tcPr>
                <w:p w14:paraId="1EA2B36D">
                  <w:pPr>
                    <w:pStyle w:val="6"/>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排放口名称</w:t>
                  </w:r>
                </w:p>
              </w:tc>
              <w:tc>
                <w:tcPr>
                  <w:tcW w:w="763" w:type="pct"/>
                  <w:noWrap/>
                  <w:vAlign w:val="center"/>
                </w:tcPr>
                <w:p w14:paraId="7BA3167E">
                  <w:pPr>
                    <w:pStyle w:val="6"/>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非正常</w:t>
                  </w:r>
                </w:p>
                <w:p w14:paraId="48D3D83F">
                  <w:pPr>
                    <w:pStyle w:val="6"/>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排放原因</w:t>
                  </w:r>
                </w:p>
              </w:tc>
              <w:tc>
                <w:tcPr>
                  <w:tcW w:w="604" w:type="pct"/>
                  <w:noWrap/>
                  <w:vAlign w:val="center"/>
                </w:tcPr>
                <w:p w14:paraId="75DBF9D9">
                  <w:pPr>
                    <w:pStyle w:val="6"/>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污染物</w:t>
                  </w:r>
                </w:p>
              </w:tc>
              <w:tc>
                <w:tcPr>
                  <w:tcW w:w="500" w:type="pct"/>
                  <w:noWrap/>
                  <w:vAlign w:val="center"/>
                </w:tcPr>
                <w:p w14:paraId="17CE28D3">
                  <w:pPr>
                    <w:pStyle w:val="6"/>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频次</w:t>
                  </w:r>
                </w:p>
              </w:tc>
              <w:tc>
                <w:tcPr>
                  <w:tcW w:w="440" w:type="pct"/>
                  <w:noWrap/>
                  <w:vAlign w:val="center"/>
                </w:tcPr>
                <w:p w14:paraId="2184BE0E">
                  <w:pPr>
                    <w:pStyle w:val="6"/>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持续时间</w:t>
                  </w:r>
                </w:p>
              </w:tc>
              <w:tc>
                <w:tcPr>
                  <w:tcW w:w="722" w:type="pct"/>
                  <w:noWrap/>
                  <w:vAlign w:val="center"/>
                </w:tcPr>
                <w:p w14:paraId="47759924">
                  <w:pPr>
                    <w:pStyle w:val="6"/>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非正常排放浓度</w:t>
                  </w:r>
                </w:p>
              </w:tc>
              <w:tc>
                <w:tcPr>
                  <w:tcW w:w="508" w:type="pct"/>
                  <w:noWrap/>
                  <w:vAlign w:val="center"/>
                </w:tcPr>
                <w:p w14:paraId="1AE677A0">
                  <w:pPr>
                    <w:pStyle w:val="6"/>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非正常排放量</w:t>
                  </w:r>
                </w:p>
              </w:tc>
              <w:tc>
                <w:tcPr>
                  <w:tcW w:w="591" w:type="pct"/>
                  <w:noWrap/>
                  <w:vAlign w:val="center"/>
                </w:tcPr>
                <w:p w14:paraId="12C89D86">
                  <w:pPr>
                    <w:pStyle w:val="6"/>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应对措施</w:t>
                  </w:r>
                </w:p>
              </w:tc>
            </w:tr>
            <w:tr w14:paraId="5345F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259" w:type="pct"/>
                  <w:noWrap/>
                  <w:vAlign w:val="center"/>
                </w:tcPr>
                <w:p w14:paraId="1227648C">
                  <w:pPr>
                    <w:pStyle w:val="6"/>
                    <w:jc w:val="center"/>
                    <w:rPr>
                      <w:rFonts w:ascii="Times New Roman" w:eastAsia="宋体"/>
                      <w:b w:val="0"/>
                      <w:bCs/>
                      <w:color w:val="000000" w:themeColor="text1"/>
                      <w:sz w:val="21"/>
                      <w:szCs w:val="21"/>
                      <w14:textFill>
                        <w14:solidFill>
                          <w14:schemeClr w14:val="tx1"/>
                        </w14:solidFill>
                      </w14:textFill>
                    </w:rPr>
                  </w:pPr>
                  <w:r>
                    <w:rPr>
                      <w:rFonts w:hint="eastAsia" w:ascii="Times New Roman" w:eastAsia="宋体"/>
                      <w:b w:val="0"/>
                      <w:bCs/>
                      <w:color w:val="000000" w:themeColor="text1"/>
                      <w:sz w:val="21"/>
                      <w:szCs w:val="21"/>
                      <w14:textFill>
                        <w14:solidFill>
                          <w14:schemeClr w14:val="tx1"/>
                        </w14:solidFill>
                      </w14:textFill>
                    </w:rPr>
                    <w:t>1</w:t>
                  </w:r>
                </w:p>
              </w:tc>
              <w:tc>
                <w:tcPr>
                  <w:tcW w:w="608" w:type="pct"/>
                  <w:noWrap/>
                  <w:vAlign w:val="center"/>
                </w:tcPr>
                <w:p w14:paraId="474BC034">
                  <w:pPr>
                    <w:pStyle w:val="61"/>
                    <w:rPr>
                      <w:color w:val="000000" w:themeColor="text1"/>
                      <w:spacing w:val="0"/>
                      <w14:textFill>
                        <w14:solidFill>
                          <w14:schemeClr w14:val="tx1"/>
                        </w14:solidFill>
                      </w14:textFill>
                    </w:rPr>
                  </w:pPr>
                  <w:r>
                    <w:rPr>
                      <w:rFonts w:hint="eastAsia"/>
                      <w:color w:val="000000" w:themeColor="text1"/>
                      <w:spacing w:val="0"/>
                      <w:lang w:val="en-US" w:eastAsia="zh-CN"/>
                      <w14:textFill>
                        <w14:solidFill>
                          <w14:schemeClr w14:val="tx1"/>
                        </w14:solidFill>
                      </w14:textFill>
                    </w:rPr>
                    <w:t>DA00</w:t>
                  </w:r>
                  <w:r>
                    <w:rPr>
                      <w:rFonts w:hint="eastAsia"/>
                      <w:color w:val="000000" w:themeColor="text1"/>
                      <w:spacing w:val="0"/>
                      <w14:textFill>
                        <w14:solidFill>
                          <w14:schemeClr w14:val="tx1"/>
                        </w14:solidFill>
                      </w14:textFill>
                    </w:rPr>
                    <w:t>1</w:t>
                  </w:r>
                  <w:r>
                    <w:rPr>
                      <w:color w:val="000000" w:themeColor="text1"/>
                      <w:spacing w:val="0"/>
                      <w14:textFill>
                        <w14:solidFill>
                          <w14:schemeClr w14:val="tx1"/>
                        </w14:solidFill>
                      </w14:textFill>
                    </w:rPr>
                    <w:t>排气筒</w:t>
                  </w:r>
                </w:p>
              </w:tc>
              <w:tc>
                <w:tcPr>
                  <w:tcW w:w="763" w:type="pct"/>
                  <w:noWrap/>
                  <w:vAlign w:val="center"/>
                </w:tcPr>
                <w:p w14:paraId="37272977">
                  <w:pPr>
                    <w:pStyle w:val="6"/>
                    <w:jc w:val="center"/>
                    <w:rPr>
                      <w:rFonts w:ascii="Times New Roman" w:eastAsia="宋体"/>
                      <w:b w:val="0"/>
                      <w:bCs/>
                      <w:color w:val="000000" w:themeColor="text1"/>
                      <w:sz w:val="21"/>
                      <w:szCs w:val="21"/>
                      <w14:textFill>
                        <w14:solidFill>
                          <w14:schemeClr w14:val="tx1"/>
                        </w14:solidFill>
                      </w14:textFill>
                    </w:rPr>
                  </w:pPr>
                  <w:r>
                    <w:rPr>
                      <w:rFonts w:hint="eastAsia" w:ascii="Times New Roman" w:eastAsia="宋体"/>
                      <w:b w:val="0"/>
                      <w:bCs/>
                      <w:color w:val="000000" w:themeColor="text1"/>
                      <w:sz w:val="21"/>
                      <w:szCs w:val="21"/>
                      <w:lang w:val="en-US" w:eastAsia="zh-CN"/>
                      <w14:textFill>
                        <w14:solidFill>
                          <w14:schemeClr w14:val="tx1"/>
                        </w14:solidFill>
                      </w14:textFill>
                    </w:rPr>
                    <w:t>二级活性炭吸附</w:t>
                  </w:r>
                  <w:r>
                    <w:rPr>
                      <w:rFonts w:hint="eastAsia" w:ascii="Times New Roman" w:eastAsia="宋体"/>
                      <w:b w:val="0"/>
                      <w:bCs/>
                      <w:color w:val="000000" w:themeColor="text1"/>
                      <w:sz w:val="21"/>
                      <w:szCs w:val="21"/>
                      <w14:textFill>
                        <w14:solidFill>
                          <w14:schemeClr w14:val="tx1"/>
                        </w14:solidFill>
                      </w14:textFill>
                    </w:rPr>
                    <w:t>装置故障</w:t>
                  </w:r>
                </w:p>
              </w:tc>
              <w:tc>
                <w:tcPr>
                  <w:tcW w:w="604" w:type="pct"/>
                  <w:noWrap/>
                  <w:vAlign w:val="center"/>
                </w:tcPr>
                <w:p w14:paraId="61B19B96">
                  <w:pPr>
                    <w:pStyle w:val="6"/>
                    <w:jc w:val="center"/>
                    <w:rPr>
                      <w:rFonts w:ascii="Times New Roman" w:eastAsia="宋体"/>
                      <w:b w:val="0"/>
                      <w:bCs/>
                      <w:color w:val="000000" w:themeColor="text1"/>
                      <w:sz w:val="21"/>
                      <w:szCs w:val="21"/>
                      <w14:textFill>
                        <w14:solidFill>
                          <w14:schemeClr w14:val="tx1"/>
                        </w14:solidFill>
                      </w14:textFill>
                    </w:rPr>
                  </w:pPr>
                  <w:r>
                    <w:rPr>
                      <w:rFonts w:hint="eastAsia" w:ascii="Times New Roman" w:eastAsia="宋体"/>
                      <w:b w:val="0"/>
                      <w:bCs/>
                      <w:color w:val="000000" w:themeColor="text1"/>
                      <w:sz w:val="21"/>
                      <w:szCs w:val="21"/>
                      <w14:textFill>
                        <w14:solidFill>
                          <w14:schemeClr w14:val="tx1"/>
                        </w14:solidFill>
                      </w14:textFill>
                    </w:rPr>
                    <w:t>非甲烷总烃</w:t>
                  </w:r>
                </w:p>
              </w:tc>
              <w:tc>
                <w:tcPr>
                  <w:tcW w:w="500" w:type="pct"/>
                  <w:noWrap/>
                  <w:vAlign w:val="center"/>
                </w:tcPr>
                <w:p w14:paraId="7FC24436">
                  <w:pPr>
                    <w:pStyle w:val="6"/>
                    <w:jc w:val="center"/>
                    <w:rPr>
                      <w:rFonts w:ascii="Times New Roman" w:eastAsia="宋体"/>
                      <w:b w:val="0"/>
                      <w:bCs/>
                      <w:color w:val="000000" w:themeColor="text1"/>
                      <w:sz w:val="21"/>
                      <w:szCs w:val="21"/>
                      <w14:textFill>
                        <w14:solidFill>
                          <w14:schemeClr w14:val="tx1"/>
                        </w14:solidFill>
                      </w14:textFill>
                    </w:rPr>
                  </w:pPr>
                  <w:r>
                    <w:rPr>
                      <w:rFonts w:hint="eastAsia" w:ascii="Times New Roman" w:eastAsia="宋体"/>
                      <w:b w:val="0"/>
                      <w:bCs/>
                      <w:color w:val="000000" w:themeColor="text1"/>
                      <w:sz w:val="21"/>
                      <w:szCs w:val="21"/>
                      <w14:textFill>
                        <w14:solidFill>
                          <w14:schemeClr w14:val="tx1"/>
                        </w14:solidFill>
                      </w14:textFill>
                    </w:rPr>
                    <w:t>≤</w:t>
                  </w:r>
                  <w:r>
                    <w:rPr>
                      <w:rFonts w:ascii="Times New Roman" w:eastAsia="宋体"/>
                      <w:b w:val="0"/>
                      <w:bCs/>
                      <w:color w:val="000000" w:themeColor="text1"/>
                      <w:sz w:val="21"/>
                      <w:szCs w:val="21"/>
                      <w14:textFill>
                        <w14:solidFill>
                          <w14:schemeClr w14:val="tx1"/>
                        </w14:solidFill>
                      </w14:textFill>
                    </w:rPr>
                    <w:t>1次</w:t>
                  </w:r>
                  <w:r>
                    <w:rPr>
                      <w:rFonts w:hint="eastAsia" w:ascii="Times New Roman" w:eastAsia="宋体"/>
                      <w:b w:val="0"/>
                      <w:bCs/>
                      <w:color w:val="000000" w:themeColor="text1"/>
                      <w:sz w:val="21"/>
                      <w:szCs w:val="21"/>
                      <w14:textFill>
                        <w14:solidFill>
                          <w14:schemeClr w14:val="tx1"/>
                        </w14:solidFill>
                      </w14:textFill>
                    </w:rPr>
                    <w:t>/年</w:t>
                  </w:r>
                </w:p>
              </w:tc>
              <w:tc>
                <w:tcPr>
                  <w:tcW w:w="440" w:type="pct"/>
                  <w:noWrap/>
                  <w:vAlign w:val="center"/>
                </w:tcPr>
                <w:p w14:paraId="26B2BCE8">
                  <w:pPr>
                    <w:pStyle w:val="6"/>
                    <w:jc w:val="center"/>
                    <w:rPr>
                      <w:rFonts w:ascii="Times New Roman" w:eastAsia="宋体"/>
                      <w:b w:val="0"/>
                      <w:bCs/>
                      <w:color w:val="000000" w:themeColor="text1"/>
                      <w:sz w:val="21"/>
                      <w:szCs w:val="21"/>
                      <w14:textFill>
                        <w14:solidFill>
                          <w14:schemeClr w14:val="tx1"/>
                        </w14:solidFill>
                      </w14:textFill>
                    </w:rPr>
                  </w:pPr>
                  <w:r>
                    <w:rPr>
                      <w:rFonts w:ascii="Times New Roman" w:eastAsia="宋体"/>
                      <w:b w:val="0"/>
                      <w:bCs/>
                      <w:color w:val="000000" w:themeColor="text1"/>
                      <w:sz w:val="21"/>
                      <w:szCs w:val="21"/>
                      <w14:textFill>
                        <w14:solidFill>
                          <w14:schemeClr w14:val="tx1"/>
                        </w14:solidFill>
                      </w14:textFill>
                    </w:rPr>
                    <w:t>15</w:t>
                  </w:r>
                </w:p>
                <w:p w14:paraId="7B0C23A5">
                  <w:pPr>
                    <w:pStyle w:val="6"/>
                    <w:jc w:val="center"/>
                    <w:rPr>
                      <w:rFonts w:ascii="Times New Roman" w:eastAsia="宋体"/>
                      <w:b w:val="0"/>
                      <w:bCs/>
                      <w:color w:val="000000" w:themeColor="text1"/>
                      <w:sz w:val="21"/>
                      <w:szCs w:val="21"/>
                      <w14:textFill>
                        <w14:solidFill>
                          <w14:schemeClr w14:val="tx1"/>
                        </w14:solidFill>
                      </w14:textFill>
                    </w:rPr>
                  </w:pPr>
                  <w:r>
                    <w:rPr>
                      <w:rFonts w:ascii="Times New Roman" w:eastAsia="宋体"/>
                      <w:b w:val="0"/>
                      <w:bCs/>
                      <w:color w:val="000000" w:themeColor="text1"/>
                      <w:sz w:val="21"/>
                      <w:szCs w:val="21"/>
                      <w14:textFill>
                        <w14:solidFill>
                          <w14:schemeClr w14:val="tx1"/>
                        </w14:solidFill>
                      </w14:textFill>
                    </w:rPr>
                    <w:t>min</w:t>
                  </w:r>
                </w:p>
              </w:tc>
              <w:tc>
                <w:tcPr>
                  <w:tcW w:w="722" w:type="pct"/>
                  <w:noWrap/>
                  <w:vAlign w:val="center"/>
                </w:tcPr>
                <w:p w14:paraId="4736E3EF">
                  <w:pPr>
                    <w:pStyle w:val="6"/>
                    <w:jc w:val="center"/>
                    <w:rPr>
                      <w:rFonts w:ascii="Times New Roman" w:eastAsia="宋体"/>
                      <w:b w:val="0"/>
                      <w:bCs/>
                      <w:color w:val="000000" w:themeColor="text1"/>
                      <w:sz w:val="21"/>
                      <w:szCs w:val="21"/>
                      <w:highlight w:val="none"/>
                      <w14:textFill>
                        <w14:solidFill>
                          <w14:schemeClr w14:val="tx1"/>
                        </w14:solidFill>
                      </w14:textFill>
                    </w:rPr>
                  </w:pPr>
                  <w:r>
                    <w:rPr>
                      <w:rFonts w:hint="eastAsia" w:ascii="Times New Roman"/>
                      <w:b w:val="0"/>
                      <w:bCs/>
                      <w:color w:val="000000" w:themeColor="text1"/>
                      <w:spacing w:val="-9"/>
                      <w:sz w:val="21"/>
                      <w:szCs w:val="21"/>
                      <w:highlight w:val="none"/>
                      <w14:textFill>
                        <w14:solidFill>
                          <w14:schemeClr w14:val="tx1"/>
                        </w14:solidFill>
                      </w14:textFill>
                    </w:rPr>
                    <w:t>1</w:t>
                  </w:r>
                  <w:r>
                    <w:rPr>
                      <w:rFonts w:hint="eastAsia" w:ascii="Times New Roman"/>
                      <w:b w:val="0"/>
                      <w:bCs/>
                      <w:color w:val="000000" w:themeColor="text1"/>
                      <w:spacing w:val="-9"/>
                      <w:sz w:val="21"/>
                      <w:szCs w:val="21"/>
                      <w:highlight w:val="none"/>
                      <w:lang w:val="en-US" w:eastAsia="zh-CN"/>
                      <w14:textFill>
                        <w14:solidFill>
                          <w14:schemeClr w14:val="tx1"/>
                        </w14:solidFill>
                      </w14:textFill>
                    </w:rPr>
                    <w:t>0.92</w:t>
                  </w:r>
                  <w:r>
                    <w:rPr>
                      <w:rFonts w:ascii="Times New Roman"/>
                      <w:b w:val="0"/>
                      <w:bCs/>
                      <w:color w:val="000000" w:themeColor="text1"/>
                      <w:spacing w:val="-9"/>
                      <w:sz w:val="21"/>
                      <w:szCs w:val="21"/>
                      <w:highlight w:val="none"/>
                      <w14:textFill>
                        <w14:solidFill>
                          <w14:schemeClr w14:val="tx1"/>
                        </w14:solidFill>
                      </w14:textFill>
                    </w:rPr>
                    <w:t>mg/m</w:t>
                  </w:r>
                  <w:r>
                    <w:rPr>
                      <w:rFonts w:ascii="Times New Roman"/>
                      <w:b w:val="0"/>
                      <w:bCs/>
                      <w:color w:val="000000" w:themeColor="text1"/>
                      <w:spacing w:val="-9"/>
                      <w:sz w:val="21"/>
                      <w:szCs w:val="21"/>
                      <w:highlight w:val="none"/>
                      <w:vertAlign w:val="superscript"/>
                      <w14:textFill>
                        <w14:solidFill>
                          <w14:schemeClr w14:val="tx1"/>
                        </w14:solidFill>
                      </w14:textFill>
                    </w:rPr>
                    <w:t>3</w:t>
                  </w:r>
                </w:p>
              </w:tc>
              <w:tc>
                <w:tcPr>
                  <w:tcW w:w="508" w:type="pct"/>
                  <w:noWrap/>
                  <w:vAlign w:val="center"/>
                </w:tcPr>
                <w:p w14:paraId="3CA36206">
                  <w:pPr>
                    <w:pStyle w:val="6"/>
                    <w:jc w:val="center"/>
                    <w:rPr>
                      <w:rFonts w:hint="default" w:ascii="Times New Roman" w:eastAsia="宋体"/>
                      <w:b w:val="0"/>
                      <w:bCs/>
                      <w:color w:val="000000" w:themeColor="text1"/>
                      <w:sz w:val="21"/>
                      <w:szCs w:val="21"/>
                      <w:highlight w:val="none"/>
                      <w:lang w:val="en-US" w:eastAsia="zh-CN"/>
                      <w14:textFill>
                        <w14:solidFill>
                          <w14:schemeClr w14:val="tx1"/>
                        </w14:solidFill>
                      </w14:textFill>
                    </w:rPr>
                  </w:pPr>
                  <w:r>
                    <w:rPr>
                      <w:rFonts w:hint="eastAsia" w:ascii="Times New Roman" w:eastAsia="宋体"/>
                      <w:b w:val="0"/>
                      <w:bCs/>
                      <w:color w:val="000000" w:themeColor="text1"/>
                      <w:sz w:val="21"/>
                      <w:szCs w:val="21"/>
                      <w:highlight w:val="none"/>
                      <w14:textFill>
                        <w14:solidFill>
                          <w14:schemeClr w14:val="tx1"/>
                        </w14:solidFill>
                      </w14:textFill>
                    </w:rPr>
                    <w:t>0.</w:t>
                  </w:r>
                  <w:r>
                    <w:rPr>
                      <w:rFonts w:hint="eastAsia" w:ascii="Times New Roman" w:eastAsia="宋体"/>
                      <w:b w:val="0"/>
                      <w:bCs/>
                      <w:color w:val="000000" w:themeColor="text1"/>
                      <w:sz w:val="21"/>
                      <w:szCs w:val="21"/>
                      <w:highlight w:val="none"/>
                      <w:lang w:val="en-US" w:eastAsia="zh-CN"/>
                      <w14:textFill>
                        <w14:solidFill>
                          <w14:schemeClr w14:val="tx1"/>
                        </w14:solidFill>
                      </w14:textFill>
                    </w:rPr>
                    <w:t>0328</w:t>
                  </w:r>
                </w:p>
                <w:p w14:paraId="4577633C">
                  <w:pPr>
                    <w:pStyle w:val="6"/>
                    <w:jc w:val="center"/>
                    <w:rPr>
                      <w:rFonts w:ascii="Times New Roman" w:eastAsia="宋体"/>
                      <w:b w:val="0"/>
                      <w:bCs/>
                      <w:color w:val="000000" w:themeColor="text1"/>
                      <w:sz w:val="21"/>
                      <w:szCs w:val="21"/>
                      <w:highlight w:val="none"/>
                      <w14:textFill>
                        <w14:solidFill>
                          <w14:schemeClr w14:val="tx1"/>
                        </w14:solidFill>
                      </w14:textFill>
                    </w:rPr>
                  </w:pPr>
                  <w:r>
                    <w:rPr>
                      <w:rFonts w:ascii="Times New Roman" w:eastAsia="宋体"/>
                      <w:b w:val="0"/>
                      <w:bCs/>
                      <w:color w:val="000000" w:themeColor="text1"/>
                      <w:sz w:val="21"/>
                      <w:szCs w:val="21"/>
                      <w:highlight w:val="none"/>
                      <w14:textFill>
                        <w14:solidFill>
                          <w14:schemeClr w14:val="tx1"/>
                        </w14:solidFill>
                      </w14:textFill>
                    </w:rPr>
                    <w:t>kg/次</w:t>
                  </w:r>
                </w:p>
              </w:tc>
              <w:tc>
                <w:tcPr>
                  <w:tcW w:w="591" w:type="pct"/>
                  <w:noWrap/>
                  <w:vAlign w:val="center"/>
                </w:tcPr>
                <w:p w14:paraId="64F40CED">
                  <w:pPr>
                    <w:pStyle w:val="71"/>
                    <w:rPr>
                      <w:bCs/>
                      <w:color w:val="000000" w:themeColor="text1"/>
                      <w14:textFill>
                        <w14:solidFill>
                          <w14:schemeClr w14:val="tx1"/>
                        </w14:solidFill>
                      </w14:textFill>
                    </w:rPr>
                  </w:pPr>
                  <w:r>
                    <w:rPr>
                      <w:bCs/>
                      <w:color w:val="000000" w:themeColor="text1"/>
                      <w14:textFill>
                        <w14:solidFill>
                          <w14:schemeClr w14:val="tx1"/>
                        </w14:solidFill>
                      </w14:textFill>
                    </w:rPr>
                    <w:t>当废气处理设施出现故障不能短时间恢复时停止对应产污工段的生产</w:t>
                  </w:r>
                </w:p>
              </w:tc>
            </w:tr>
          </w:tbl>
          <w:p w14:paraId="40C7AAEC">
            <w:pPr>
              <w:adjustRightInd w:val="0"/>
              <w:snapToGrid w:val="0"/>
              <w:spacing w:line="420" w:lineRule="exact"/>
              <w:ind w:firstLine="0" w:firstLineChars="0"/>
              <w:rPr>
                <w:b/>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b/>
                <w:color w:val="000000" w:themeColor="text1"/>
                <w:szCs w:val="21"/>
                <w14:textFill>
                  <w14:solidFill>
                    <w14:schemeClr w14:val="tx1"/>
                  </w14:solidFill>
                </w14:textFill>
              </w:rPr>
              <w:t>4.1.</w:t>
            </w:r>
            <w:r>
              <w:rPr>
                <w:rFonts w:hint="eastAsia"/>
                <w:b/>
                <w:color w:val="000000" w:themeColor="text1"/>
                <w:szCs w:val="21"/>
                <w14:textFill>
                  <w14:solidFill>
                    <w14:schemeClr w14:val="tx1"/>
                  </w14:solidFill>
                </w14:textFill>
              </w:rPr>
              <w:t>5</w:t>
            </w:r>
            <w:r>
              <w:rPr>
                <w:b/>
                <w:color w:val="000000" w:themeColor="text1"/>
                <w:szCs w:val="21"/>
                <w14:textFill>
                  <w14:solidFill>
                    <w14:schemeClr w14:val="tx1"/>
                  </w14:solidFill>
                </w14:textFill>
              </w:rPr>
              <w:t>废气污染治理设施可行性分析</w:t>
            </w:r>
          </w:p>
          <w:p w14:paraId="527A691B">
            <w:pPr>
              <w:pStyle w:val="7"/>
              <w:spacing w:line="420" w:lineRule="exact"/>
              <w:jc w:val="left"/>
              <w:rPr>
                <w:b/>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本项目废气污染治理设施可行性分析见下表。</w:t>
            </w:r>
          </w:p>
          <w:p w14:paraId="01F8092F">
            <w:pPr>
              <w:pStyle w:val="7"/>
              <w:spacing w:beforeLines="30"/>
              <w:ind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表4.1-</w:t>
            </w:r>
            <w:r>
              <w:rPr>
                <w:rFonts w:hint="eastAsia"/>
                <w:b/>
                <w:bCs/>
                <w:color w:val="000000" w:themeColor="text1"/>
                <w:szCs w:val="21"/>
                <w:lang w:val="en-US" w:eastAsia="zh-CN"/>
                <w14:textFill>
                  <w14:solidFill>
                    <w14:schemeClr w14:val="tx1"/>
                  </w14:solidFill>
                </w14:textFill>
              </w:rPr>
              <w:t>6</w:t>
            </w:r>
            <w:r>
              <w:rPr>
                <w:b/>
                <w:bCs/>
                <w:color w:val="000000" w:themeColor="text1"/>
                <w:szCs w:val="21"/>
                <w14:textFill>
                  <w14:solidFill>
                    <w14:schemeClr w14:val="tx1"/>
                  </w14:solidFill>
                </w14:textFill>
              </w:rPr>
              <w:t xml:space="preserve"> </w:t>
            </w:r>
            <w:r>
              <w:rPr>
                <w:rFonts w:hint="eastAsia"/>
                <w:b/>
                <w:bCs/>
                <w:color w:val="000000" w:themeColor="text1"/>
                <w:szCs w:val="21"/>
                <w14:textFill>
                  <w14:solidFill>
                    <w14:schemeClr w14:val="tx1"/>
                  </w14:solidFill>
                </w14:textFill>
              </w:rPr>
              <w:t>废气污染治理设施可行技术一览</w:t>
            </w:r>
            <w:r>
              <w:rPr>
                <w:b/>
                <w:bCs/>
                <w:color w:val="000000" w:themeColor="text1"/>
                <w:szCs w:val="21"/>
                <w14:textFill>
                  <w14:solidFill>
                    <w14:schemeClr w14:val="tx1"/>
                  </w14:solidFill>
                </w14:textFill>
              </w:rPr>
              <w:t>表</w:t>
            </w:r>
          </w:p>
          <w:tbl>
            <w:tblPr>
              <w:tblStyle w:val="2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1720"/>
              <w:gridCol w:w="764"/>
              <w:gridCol w:w="1300"/>
              <w:gridCol w:w="957"/>
              <w:gridCol w:w="1163"/>
              <w:gridCol w:w="1003"/>
              <w:gridCol w:w="1131"/>
            </w:tblGrid>
            <w:tr w14:paraId="5EDA9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dxa"/>
                  <w:vAlign w:val="center"/>
                </w:tcPr>
                <w:p w14:paraId="6A9931A9">
                  <w:pPr>
                    <w:pStyle w:val="6"/>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序号</w:t>
                  </w:r>
                </w:p>
              </w:tc>
              <w:tc>
                <w:tcPr>
                  <w:tcW w:w="1620" w:type="dxa"/>
                  <w:vAlign w:val="center"/>
                </w:tcPr>
                <w:p w14:paraId="4621DB23">
                  <w:pPr>
                    <w:pStyle w:val="6"/>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依据</w:t>
                  </w:r>
                </w:p>
              </w:tc>
              <w:tc>
                <w:tcPr>
                  <w:tcW w:w="764" w:type="dxa"/>
                  <w:vAlign w:val="center"/>
                </w:tcPr>
                <w:p w14:paraId="118C6402">
                  <w:pPr>
                    <w:pStyle w:val="6"/>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生产</w:t>
                  </w:r>
                </w:p>
                <w:p w14:paraId="157CB6B1">
                  <w:pPr>
                    <w:pStyle w:val="6"/>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单元</w:t>
                  </w:r>
                </w:p>
              </w:tc>
              <w:tc>
                <w:tcPr>
                  <w:tcW w:w="1300" w:type="dxa"/>
                  <w:vAlign w:val="center"/>
                </w:tcPr>
                <w:p w14:paraId="5784E718">
                  <w:pPr>
                    <w:pStyle w:val="6"/>
                    <w:jc w:val="center"/>
                    <w:rPr>
                      <w:rFonts w:hint="default" w:ascii="Times New Roman" w:eastAsia="宋体"/>
                      <w:color w:val="000000" w:themeColor="text1"/>
                      <w:sz w:val="21"/>
                      <w:szCs w:val="21"/>
                      <w:lang w:val="en-US" w:eastAsia="zh-CN"/>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产污环节</w:t>
                  </w:r>
                </w:p>
              </w:tc>
              <w:tc>
                <w:tcPr>
                  <w:tcW w:w="883" w:type="dxa"/>
                  <w:vAlign w:val="center"/>
                </w:tcPr>
                <w:p w14:paraId="4CCF3603">
                  <w:pPr>
                    <w:pStyle w:val="6"/>
                    <w:jc w:val="center"/>
                    <w:rPr>
                      <w:rFonts w:hint="eastAsia" w:ascii="Times New Roman" w:eastAsia="宋体"/>
                      <w:color w:val="000000" w:themeColor="text1"/>
                      <w:sz w:val="21"/>
                      <w:szCs w:val="21"/>
                      <w:lang w:val="en-US" w:eastAsia="zh-CN"/>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污染物</w:t>
                  </w:r>
                  <w:r>
                    <w:rPr>
                      <w:rFonts w:hint="eastAsia" w:ascii="Times New Roman" w:eastAsia="宋体"/>
                      <w:color w:val="000000" w:themeColor="text1"/>
                      <w:sz w:val="21"/>
                      <w:szCs w:val="21"/>
                      <w:lang w:val="en-US" w:eastAsia="zh-CN"/>
                      <w14:textFill>
                        <w14:solidFill>
                          <w14:schemeClr w14:val="tx1"/>
                        </w14:solidFill>
                      </w14:textFill>
                    </w:rPr>
                    <w:t>种类</w:t>
                  </w:r>
                </w:p>
              </w:tc>
              <w:tc>
                <w:tcPr>
                  <w:tcW w:w="1163" w:type="dxa"/>
                  <w:vAlign w:val="center"/>
                </w:tcPr>
                <w:p w14:paraId="6507ECAB">
                  <w:pPr>
                    <w:pStyle w:val="6"/>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可行技术</w:t>
                  </w:r>
                </w:p>
              </w:tc>
              <w:tc>
                <w:tcPr>
                  <w:tcW w:w="1003" w:type="dxa"/>
                  <w:vAlign w:val="center"/>
                </w:tcPr>
                <w:p w14:paraId="63ADC3E4">
                  <w:pPr>
                    <w:pStyle w:val="6"/>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本项目</w:t>
                  </w:r>
                </w:p>
              </w:tc>
              <w:tc>
                <w:tcPr>
                  <w:tcW w:w="1131" w:type="dxa"/>
                  <w:vAlign w:val="center"/>
                </w:tcPr>
                <w:p w14:paraId="5BF43A9A">
                  <w:pPr>
                    <w:pStyle w:val="6"/>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是否为可行技术</w:t>
                  </w:r>
                </w:p>
              </w:tc>
            </w:tr>
            <w:tr w14:paraId="1E413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dxa"/>
                  <w:vAlign w:val="center"/>
                </w:tcPr>
                <w:p w14:paraId="5914C470">
                  <w:pPr>
                    <w:pStyle w:val="6"/>
                    <w:jc w:val="center"/>
                    <w:rPr>
                      <w:rFonts w:ascii="Times New Roman" w:eastAsia="宋体"/>
                      <w:b w:val="0"/>
                      <w:bCs/>
                      <w:color w:val="000000" w:themeColor="text1"/>
                      <w:kern w:val="2"/>
                      <w:sz w:val="21"/>
                      <w:szCs w:val="21"/>
                      <w14:textFill>
                        <w14:solidFill>
                          <w14:schemeClr w14:val="tx1"/>
                        </w14:solidFill>
                      </w14:textFill>
                    </w:rPr>
                  </w:pPr>
                  <w:r>
                    <w:rPr>
                      <w:rFonts w:hint="eastAsia" w:ascii="Times New Roman" w:eastAsia="宋体"/>
                      <w:b w:val="0"/>
                      <w:bCs/>
                      <w:color w:val="000000" w:themeColor="text1"/>
                      <w:kern w:val="2"/>
                      <w:sz w:val="21"/>
                      <w:szCs w:val="21"/>
                      <w14:textFill>
                        <w14:solidFill>
                          <w14:schemeClr w14:val="tx1"/>
                        </w14:solidFill>
                      </w14:textFill>
                    </w:rPr>
                    <w:t>1</w:t>
                  </w:r>
                </w:p>
              </w:tc>
              <w:tc>
                <w:tcPr>
                  <w:tcW w:w="1620" w:type="dxa"/>
                  <w:vAlign w:val="center"/>
                </w:tcPr>
                <w:p w14:paraId="519611AA">
                  <w:pPr>
                    <w:pStyle w:val="61"/>
                    <w:rPr>
                      <w:bCs/>
                      <w:color w:val="000000" w:themeColor="text1"/>
                      <w:kern w:val="2"/>
                      <w14:textFill>
                        <w14:solidFill>
                          <w14:schemeClr w14:val="tx1"/>
                        </w14:solidFill>
                      </w14:textFill>
                    </w:rPr>
                  </w:pPr>
                  <w:r>
                    <w:rPr>
                      <w:color w:val="000000" w:themeColor="text1"/>
                      <w:szCs w:val="21"/>
                      <w14:textFill>
                        <w14:solidFill>
                          <w14:schemeClr w14:val="tx1"/>
                        </w14:solidFill>
                      </w14:textFill>
                    </w:rPr>
                    <w:t>《排污许可证申请与核发技术规范 橡胶和塑料制品工业》（HJ1122-2020）</w:t>
                  </w:r>
                </w:p>
              </w:tc>
              <w:tc>
                <w:tcPr>
                  <w:tcW w:w="764" w:type="dxa"/>
                  <w:vAlign w:val="center"/>
                </w:tcPr>
                <w:p w14:paraId="69C56094">
                  <w:pPr>
                    <w:pStyle w:val="6"/>
                    <w:jc w:val="center"/>
                    <w:rPr>
                      <w:rFonts w:ascii="Times New Roman" w:eastAsia="宋体"/>
                      <w:b w:val="0"/>
                      <w:bCs/>
                      <w:color w:val="000000" w:themeColor="text1"/>
                      <w:kern w:val="2"/>
                      <w:sz w:val="21"/>
                      <w:szCs w:val="21"/>
                      <w14:textFill>
                        <w14:solidFill>
                          <w14:schemeClr w14:val="tx1"/>
                        </w14:solidFill>
                      </w14:textFill>
                    </w:rPr>
                  </w:pPr>
                  <w:r>
                    <w:rPr>
                      <w:rFonts w:hint="eastAsia" w:ascii="Times New Roman" w:eastAsia="宋体"/>
                      <w:b w:val="0"/>
                      <w:bCs/>
                      <w:color w:val="000000" w:themeColor="text1"/>
                      <w:kern w:val="2"/>
                      <w:sz w:val="21"/>
                      <w:szCs w:val="21"/>
                      <w14:textFill>
                        <w14:solidFill>
                          <w14:schemeClr w14:val="tx1"/>
                        </w14:solidFill>
                      </w14:textFill>
                    </w:rPr>
                    <w:t>/</w:t>
                  </w:r>
                </w:p>
              </w:tc>
              <w:tc>
                <w:tcPr>
                  <w:tcW w:w="1300" w:type="dxa"/>
                  <w:vAlign w:val="center"/>
                </w:tcPr>
                <w:p w14:paraId="3A6502A5">
                  <w:pPr>
                    <w:pStyle w:val="6"/>
                    <w:jc w:val="center"/>
                    <w:rPr>
                      <w:rFonts w:hint="eastAsia" w:ascii="Times New Roman" w:eastAsia="宋体"/>
                      <w:b w:val="0"/>
                      <w:bCs/>
                      <w:color w:val="000000" w:themeColor="text1"/>
                      <w:kern w:val="2"/>
                      <w:sz w:val="21"/>
                      <w:szCs w:val="21"/>
                      <w:lang w:eastAsia="zh-CN"/>
                      <w14:textFill>
                        <w14:solidFill>
                          <w14:schemeClr w14:val="tx1"/>
                        </w14:solidFill>
                      </w14:textFill>
                    </w:rPr>
                  </w:pPr>
                  <w:r>
                    <w:rPr>
                      <w:rFonts w:hint="eastAsia" w:ascii="Times New Roman" w:eastAsia="宋体"/>
                      <w:b w:val="0"/>
                      <w:bCs/>
                      <w:color w:val="000000" w:themeColor="text1"/>
                      <w:kern w:val="2"/>
                      <w:sz w:val="21"/>
                      <w:szCs w:val="21"/>
                      <w:lang w:val="en-US" w:eastAsia="zh-CN"/>
                      <w14:textFill>
                        <w14:solidFill>
                          <w14:schemeClr w14:val="tx1"/>
                        </w14:solidFill>
                      </w14:textFill>
                    </w:rPr>
                    <w:t>吹塑</w:t>
                  </w:r>
                </w:p>
              </w:tc>
              <w:tc>
                <w:tcPr>
                  <w:tcW w:w="883" w:type="dxa"/>
                  <w:vAlign w:val="center"/>
                </w:tcPr>
                <w:p w14:paraId="74E05737">
                  <w:pPr>
                    <w:pStyle w:val="6"/>
                    <w:jc w:val="center"/>
                    <w:rPr>
                      <w:rFonts w:hint="default" w:ascii="Times New Roman" w:eastAsia="宋体"/>
                      <w:b w:val="0"/>
                      <w:bCs/>
                      <w:color w:val="000000" w:themeColor="text1"/>
                      <w:kern w:val="2"/>
                      <w:sz w:val="21"/>
                      <w:szCs w:val="21"/>
                      <w:lang w:val="en-US" w:eastAsia="zh-CN"/>
                      <w14:textFill>
                        <w14:solidFill>
                          <w14:schemeClr w14:val="tx1"/>
                        </w14:solidFill>
                      </w14:textFill>
                    </w:rPr>
                  </w:pPr>
                  <w:r>
                    <w:rPr>
                      <w:rFonts w:hint="eastAsia" w:ascii="Times New Roman" w:eastAsia="宋体"/>
                      <w:b w:val="0"/>
                      <w:bCs/>
                      <w:color w:val="000000" w:themeColor="text1"/>
                      <w:kern w:val="2"/>
                      <w:sz w:val="21"/>
                      <w:szCs w:val="21"/>
                      <w:lang w:val="en-US" w:eastAsia="zh-CN"/>
                      <w14:textFill>
                        <w14:solidFill>
                          <w14:schemeClr w14:val="tx1"/>
                        </w14:solidFill>
                      </w14:textFill>
                    </w:rPr>
                    <w:t>非甲烷总烃</w:t>
                  </w:r>
                </w:p>
              </w:tc>
              <w:tc>
                <w:tcPr>
                  <w:tcW w:w="1163" w:type="dxa"/>
                  <w:vAlign w:val="center"/>
                </w:tcPr>
                <w:p w14:paraId="26D627B6">
                  <w:pPr>
                    <w:pStyle w:val="6"/>
                    <w:jc w:val="center"/>
                    <w:rPr>
                      <w:rFonts w:hint="eastAsia" w:ascii="Times New Roman" w:hAnsi="Times New Roman" w:eastAsia="宋体" w:cs="Times New Roman"/>
                      <w:b w:val="0"/>
                      <w:bCs/>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14:textFill>
                        <w14:solidFill>
                          <w14:schemeClr w14:val="tx1"/>
                        </w14:solidFill>
                      </w14:textFill>
                    </w:rPr>
                    <w:t>喷淋、吸附、吸附浓缩+热力燃烧/催化燃烧</w:t>
                  </w:r>
                </w:p>
              </w:tc>
              <w:tc>
                <w:tcPr>
                  <w:tcW w:w="1003" w:type="dxa"/>
                  <w:vMerge w:val="restart"/>
                  <w:vAlign w:val="center"/>
                </w:tcPr>
                <w:p w14:paraId="195105AF">
                  <w:pPr>
                    <w:pStyle w:val="6"/>
                    <w:jc w:val="center"/>
                    <w:rPr>
                      <w:rFonts w:hint="eastAsia" w:ascii="Times New Roman" w:eastAsia="宋体"/>
                      <w:b w:val="0"/>
                      <w:bCs/>
                      <w:color w:val="000000" w:themeColor="text1"/>
                      <w:kern w:val="2"/>
                      <w:sz w:val="21"/>
                      <w:szCs w:val="21"/>
                      <w:lang w:val="en-US" w:eastAsia="zh-CN"/>
                      <w14:textFill>
                        <w14:solidFill>
                          <w14:schemeClr w14:val="tx1"/>
                        </w14:solidFill>
                      </w14:textFill>
                    </w:rPr>
                  </w:pPr>
                  <w:r>
                    <w:rPr>
                      <w:rFonts w:hint="eastAsia" w:ascii="Times New Roman" w:eastAsia="宋体"/>
                      <w:b w:val="0"/>
                      <w:bCs/>
                      <w:color w:val="000000" w:themeColor="text1"/>
                      <w:kern w:val="2"/>
                      <w:sz w:val="21"/>
                      <w:szCs w:val="21"/>
                      <w14:textFill>
                        <w14:solidFill>
                          <w14:schemeClr w14:val="tx1"/>
                        </w14:solidFill>
                      </w14:textFill>
                    </w:rPr>
                    <w:t>吹塑、印刷、烘干、印刷机清理工序非甲烷总烃采</w:t>
                  </w:r>
                  <w:r>
                    <w:rPr>
                      <w:rFonts w:hint="eastAsia" w:ascii="Times New Roman" w:eastAsia="宋体"/>
                      <w:b w:val="0"/>
                      <w:bCs/>
                      <w:color w:val="000000" w:themeColor="text1"/>
                      <w:kern w:val="2"/>
                      <w:sz w:val="21"/>
                      <w:szCs w:val="21"/>
                      <w:lang w:val="en-US" w:eastAsia="zh-CN"/>
                      <w14:textFill>
                        <w14:solidFill>
                          <w14:schemeClr w14:val="tx1"/>
                        </w14:solidFill>
                      </w14:textFill>
                    </w:rPr>
                    <w:t>用二级活性炭吸附</w:t>
                  </w:r>
                  <w:r>
                    <w:rPr>
                      <w:rFonts w:hint="eastAsia" w:ascii="Times New Roman" w:eastAsia="宋体"/>
                      <w:b w:val="0"/>
                      <w:bCs/>
                      <w:color w:val="000000" w:themeColor="text1"/>
                      <w:kern w:val="2"/>
                      <w:sz w:val="21"/>
                      <w:szCs w:val="21"/>
                      <w14:textFill>
                        <w14:solidFill>
                          <w14:schemeClr w14:val="tx1"/>
                        </w14:solidFill>
                      </w14:textFill>
                    </w:rPr>
                    <w:t>装置</w:t>
                  </w:r>
                  <w:r>
                    <w:rPr>
                      <w:rFonts w:hint="eastAsia" w:ascii="Times New Roman" w:eastAsia="宋体"/>
                      <w:b w:val="0"/>
                      <w:bCs/>
                      <w:color w:val="000000" w:themeColor="text1"/>
                      <w:kern w:val="2"/>
                      <w:sz w:val="21"/>
                      <w:szCs w:val="21"/>
                      <w:lang w:val="en-US" w:eastAsia="zh-CN"/>
                      <w14:textFill>
                        <w14:solidFill>
                          <w14:schemeClr w14:val="tx1"/>
                        </w14:solidFill>
                      </w14:textFill>
                    </w:rPr>
                    <w:t>处理</w:t>
                  </w:r>
                </w:p>
              </w:tc>
              <w:tc>
                <w:tcPr>
                  <w:tcW w:w="1131" w:type="dxa"/>
                  <w:vAlign w:val="center"/>
                </w:tcPr>
                <w:p w14:paraId="615F99CD">
                  <w:pPr>
                    <w:pStyle w:val="71"/>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是</w:t>
                  </w:r>
                </w:p>
              </w:tc>
            </w:tr>
            <w:tr w14:paraId="335008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443" w:type="dxa"/>
                  <w:vAlign w:val="center"/>
                </w:tcPr>
                <w:p w14:paraId="15B535DA">
                  <w:pPr>
                    <w:pStyle w:val="6"/>
                    <w:jc w:val="center"/>
                    <w:rPr>
                      <w:rFonts w:hint="eastAsia" w:ascii="Times New Roman" w:eastAsia="宋体"/>
                      <w:b w:val="0"/>
                      <w:bCs/>
                      <w:color w:val="000000" w:themeColor="text1"/>
                      <w:kern w:val="2"/>
                      <w:sz w:val="21"/>
                      <w:szCs w:val="21"/>
                      <w:lang w:val="en-US" w:eastAsia="zh-CN"/>
                      <w14:textFill>
                        <w14:solidFill>
                          <w14:schemeClr w14:val="tx1"/>
                        </w14:solidFill>
                      </w14:textFill>
                    </w:rPr>
                  </w:pPr>
                  <w:r>
                    <w:rPr>
                      <w:rFonts w:hint="eastAsia" w:ascii="Times New Roman" w:eastAsia="宋体"/>
                      <w:b w:val="0"/>
                      <w:bCs/>
                      <w:color w:val="000000" w:themeColor="text1"/>
                      <w:kern w:val="2"/>
                      <w:sz w:val="21"/>
                      <w:szCs w:val="21"/>
                      <w:lang w:val="en-US" w:eastAsia="zh-CN"/>
                      <w14:textFill>
                        <w14:solidFill>
                          <w14:schemeClr w14:val="tx1"/>
                        </w14:solidFill>
                      </w14:textFill>
                    </w:rPr>
                    <w:t>2</w:t>
                  </w:r>
                </w:p>
              </w:tc>
              <w:tc>
                <w:tcPr>
                  <w:tcW w:w="1620" w:type="dxa"/>
                  <w:vAlign w:val="center"/>
                </w:tcPr>
                <w:p w14:paraId="7D59E9C5">
                  <w:pPr>
                    <w:pStyle w:val="61"/>
                    <w:rPr>
                      <w:bCs/>
                      <w:color w:val="000000" w:themeColor="text1"/>
                      <w:kern w:val="2"/>
                      <w14:textFill>
                        <w14:solidFill>
                          <w14:schemeClr w14:val="tx1"/>
                        </w14:solidFill>
                      </w14:textFill>
                    </w:rPr>
                  </w:pPr>
                  <w:r>
                    <w:rPr>
                      <w:color w:val="000000" w:themeColor="text1"/>
                      <w:szCs w:val="21"/>
                      <w14:textFill>
                        <w14:solidFill>
                          <w14:schemeClr w14:val="tx1"/>
                        </w14:solidFill>
                      </w14:textFill>
                    </w:rPr>
                    <w:t xml:space="preserve">《排污许可证申请与核发技术规范 </w:t>
                  </w:r>
                  <w:r>
                    <w:rPr>
                      <w:rFonts w:hint="eastAsia"/>
                      <w:color w:val="000000" w:themeColor="text1"/>
                      <w:szCs w:val="21"/>
                      <w:lang w:val="en-US" w:eastAsia="zh-CN"/>
                      <w14:textFill>
                        <w14:solidFill>
                          <w14:schemeClr w14:val="tx1"/>
                        </w14:solidFill>
                      </w14:textFill>
                    </w:rPr>
                    <w:t>印刷</w:t>
                  </w:r>
                  <w:r>
                    <w:rPr>
                      <w:color w:val="000000" w:themeColor="text1"/>
                      <w:szCs w:val="21"/>
                      <w14:textFill>
                        <w14:solidFill>
                          <w14:schemeClr w14:val="tx1"/>
                        </w14:solidFill>
                      </w14:textFill>
                    </w:rPr>
                    <w:t>工业》（HJ</w:t>
                  </w:r>
                  <w:r>
                    <w:rPr>
                      <w:rFonts w:hint="eastAsia"/>
                      <w:color w:val="000000" w:themeColor="text1"/>
                      <w:szCs w:val="21"/>
                      <w:lang w:val="en-US" w:eastAsia="zh-CN"/>
                      <w14:textFill>
                        <w14:solidFill>
                          <w14:schemeClr w14:val="tx1"/>
                        </w14:solidFill>
                      </w14:textFill>
                    </w:rPr>
                    <w:t>1066</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2019</w:t>
                  </w:r>
                  <w:r>
                    <w:rPr>
                      <w:color w:val="000000" w:themeColor="text1"/>
                      <w:szCs w:val="21"/>
                      <w14:textFill>
                        <w14:solidFill>
                          <w14:schemeClr w14:val="tx1"/>
                        </w14:solidFill>
                      </w14:textFill>
                    </w:rPr>
                    <w:t>）</w:t>
                  </w:r>
                </w:p>
              </w:tc>
              <w:tc>
                <w:tcPr>
                  <w:tcW w:w="764" w:type="dxa"/>
                  <w:vAlign w:val="center"/>
                </w:tcPr>
                <w:p w14:paraId="4FF643B8">
                  <w:pPr>
                    <w:pStyle w:val="6"/>
                    <w:jc w:val="center"/>
                    <w:rPr>
                      <w:rFonts w:hint="eastAsia" w:ascii="Times New Roman" w:hAnsi="Times New Roman" w:eastAsia="宋体" w:cs="Times New Roman"/>
                      <w:b w:val="0"/>
                      <w:snapToGrid w:val="0"/>
                      <w:color w:val="000000" w:themeColor="text1"/>
                      <w:spacing w:val="-4"/>
                      <w:kern w:val="0"/>
                      <w:sz w:val="21"/>
                      <w:szCs w:val="21"/>
                      <w:lang w:val="en-US" w:eastAsia="zh-CN" w:bidi="ar-SA"/>
                      <w14:textFill>
                        <w14:solidFill>
                          <w14:schemeClr w14:val="tx1"/>
                        </w14:solidFill>
                      </w14:textFill>
                    </w:rPr>
                  </w:pPr>
                  <w:r>
                    <w:rPr>
                      <w:rFonts w:hint="eastAsia" w:ascii="Times New Roman" w:eastAsia="宋体"/>
                      <w:b w:val="0"/>
                      <w:bCs/>
                      <w:color w:val="000000" w:themeColor="text1"/>
                      <w:kern w:val="2"/>
                      <w:sz w:val="21"/>
                      <w:szCs w:val="21"/>
                      <w14:textFill>
                        <w14:solidFill>
                          <w14:schemeClr w14:val="tx1"/>
                        </w14:solidFill>
                      </w14:textFill>
                    </w:rPr>
                    <w:t>/</w:t>
                  </w:r>
                </w:p>
              </w:tc>
              <w:tc>
                <w:tcPr>
                  <w:tcW w:w="1300" w:type="dxa"/>
                  <w:vAlign w:val="center"/>
                </w:tcPr>
                <w:p w14:paraId="2087710C">
                  <w:pPr>
                    <w:pStyle w:val="6"/>
                    <w:jc w:val="center"/>
                    <w:rPr>
                      <w:rFonts w:hint="eastAsia" w:ascii="Times New Roman" w:hAnsi="Times New Roman" w:eastAsia="宋体" w:cs="Times New Roman"/>
                      <w:b w:val="0"/>
                      <w:snapToGrid w:val="0"/>
                      <w:color w:val="000000" w:themeColor="text1"/>
                      <w:spacing w:val="-4"/>
                      <w:kern w:val="0"/>
                      <w:sz w:val="21"/>
                      <w:szCs w:val="21"/>
                      <w:lang w:val="en-US" w:eastAsia="zh-CN" w:bidi="ar-SA"/>
                      <w14:textFill>
                        <w14:solidFill>
                          <w14:schemeClr w14:val="tx1"/>
                        </w14:solidFill>
                      </w14:textFill>
                    </w:rPr>
                  </w:pPr>
                  <w:r>
                    <w:rPr>
                      <w:rFonts w:hint="eastAsia" w:ascii="Times New Roman" w:hAnsi="Times New Roman" w:eastAsia="宋体" w:cs="Times New Roman"/>
                      <w:b w:val="0"/>
                      <w:snapToGrid w:val="0"/>
                      <w:color w:val="000000" w:themeColor="text1"/>
                      <w:spacing w:val="-4"/>
                      <w:kern w:val="0"/>
                      <w:sz w:val="21"/>
                      <w:szCs w:val="21"/>
                      <w:lang w:val="en-US" w:eastAsia="zh-CN" w:bidi="ar-SA"/>
                      <w14:textFill>
                        <w14:solidFill>
                          <w14:schemeClr w14:val="tx1"/>
                        </w14:solidFill>
                      </w14:textFill>
                    </w:rPr>
                    <w:t>印前加工、印刷和复合涂布等其他生产单元</w:t>
                  </w:r>
                </w:p>
              </w:tc>
              <w:tc>
                <w:tcPr>
                  <w:tcW w:w="883" w:type="dxa"/>
                  <w:vAlign w:val="center"/>
                </w:tcPr>
                <w:p w14:paraId="104249C6">
                  <w:pPr>
                    <w:pStyle w:val="6"/>
                    <w:jc w:val="center"/>
                    <w:rPr>
                      <w:rFonts w:hint="eastAsia" w:ascii="Times New Roman" w:hAnsi="Times New Roman" w:eastAsia="宋体" w:cs="Times New Roman"/>
                      <w:b w:val="0"/>
                      <w:bCs/>
                      <w:color w:val="000000" w:themeColor="text1"/>
                      <w:kern w:val="2"/>
                      <w:sz w:val="21"/>
                      <w:szCs w:val="21"/>
                      <w14:textFill>
                        <w14:solidFill>
                          <w14:schemeClr w14:val="tx1"/>
                        </w14:solidFill>
                      </w14:textFill>
                    </w:rPr>
                  </w:pPr>
                  <w:r>
                    <w:rPr>
                      <w:rFonts w:hint="eastAsia" w:ascii="Times New Roman" w:eastAsia="宋体"/>
                      <w:b w:val="0"/>
                      <w:bCs/>
                      <w:color w:val="000000" w:themeColor="text1"/>
                      <w:kern w:val="2"/>
                      <w:sz w:val="21"/>
                      <w:szCs w:val="21"/>
                      <w:lang w:val="en-US" w:eastAsia="zh-CN"/>
                      <w14:textFill>
                        <w14:solidFill>
                          <w14:schemeClr w14:val="tx1"/>
                        </w14:solidFill>
                      </w14:textFill>
                    </w:rPr>
                    <w:t>非甲烷总烃</w:t>
                  </w:r>
                  <w:r>
                    <w:rPr>
                      <w:rFonts w:hint="eastAsia" w:ascii="Times New Roman" w:hAnsi="Times New Roman" w:eastAsia="宋体" w:cs="Times New Roman"/>
                      <w:b w:val="0"/>
                      <w:snapToGrid w:val="0"/>
                      <w:color w:val="000000" w:themeColor="text1"/>
                      <w:spacing w:val="-4"/>
                      <w:kern w:val="0"/>
                      <w:sz w:val="21"/>
                      <w:szCs w:val="21"/>
                      <w:lang w:val="en-US" w:eastAsia="zh-CN" w:bidi="ar-SA"/>
                      <w14:textFill>
                        <w14:solidFill>
                          <w14:schemeClr w14:val="tx1"/>
                        </w14:solidFill>
                      </w14:textFill>
                    </w:rPr>
                    <w:t>（挥发性有机物浓度&lt;1000 mg/m</w:t>
                  </w:r>
                  <w:r>
                    <w:rPr>
                      <w:rFonts w:hint="eastAsia" w:ascii="Times New Roman" w:hAnsi="Times New Roman" w:eastAsia="宋体" w:cs="Times New Roman"/>
                      <w:b w:val="0"/>
                      <w:snapToGrid w:val="0"/>
                      <w:color w:val="000000" w:themeColor="text1"/>
                      <w:spacing w:val="-4"/>
                      <w:kern w:val="0"/>
                      <w:sz w:val="21"/>
                      <w:szCs w:val="21"/>
                      <w:vertAlign w:val="superscript"/>
                      <w:lang w:val="en-US" w:eastAsia="zh-CN" w:bidi="ar-SA"/>
                      <w14:textFill>
                        <w14:solidFill>
                          <w14:schemeClr w14:val="tx1"/>
                        </w14:solidFill>
                      </w14:textFill>
                    </w:rPr>
                    <w:t>3</w:t>
                  </w:r>
                  <w:r>
                    <w:rPr>
                      <w:rFonts w:hint="eastAsia" w:ascii="Times New Roman" w:hAnsi="Times New Roman" w:eastAsia="宋体" w:cs="Times New Roman"/>
                      <w:b w:val="0"/>
                      <w:snapToGrid w:val="0"/>
                      <w:color w:val="000000" w:themeColor="text1"/>
                      <w:spacing w:val="-4"/>
                      <w:kern w:val="0"/>
                      <w:sz w:val="21"/>
                      <w:szCs w:val="21"/>
                      <w:lang w:val="en-US" w:eastAsia="zh-CN" w:bidi="ar-SA"/>
                      <w14:textFill>
                        <w14:solidFill>
                          <w14:schemeClr w14:val="tx1"/>
                        </w14:solidFill>
                      </w14:textFill>
                    </w:rPr>
                    <w:t>）</w:t>
                  </w:r>
                </w:p>
              </w:tc>
              <w:tc>
                <w:tcPr>
                  <w:tcW w:w="1163" w:type="dxa"/>
                  <w:vAlign w:val="center"/>
                </w:tcPr>
                <w:p w14:paraId="3BADE734">
                  <w:pPr>
                    <w:pStyle w:val="6"/>
                    <w:jc w:val="center"/>
                    <w:rPr>
                      <w:rFonts w:hint="eastAsia" w:ascii="Times New Roman" w:hAnsi="Times New Roman" w:eastAsia="宋体" w:cs="Times New Roman"/>
                      <w:b w:val="0"/>
                      <w:bCs/>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14:textFill>
                        <w14:solidFill>
                          <w14:schemeClr w14:val="tx1"/>
                        </w14:solidFill>
                      </w14:textFill>
                    </w:rPr>
                    <w:t>活性炭吸附（现场再生）、浓缩+热力（催化）氧化、直接热力（催化）氧化、其他</w:t>
                  </w:r>
                </w:p>
              </w:tc>
              <w:tc>
                <w:tcPr>
                  <w:tcW w:w="1003" w:type="dxa"/>
                  <w:vMerge w:val="continue"/>
                  <w:vAlign w:val="center"/>
                </w:tcPr>
                <w:p w14:paraId="3E66E445">
                  <w:pPr>
                    <w:pStyle w:val="6"/>
                    <w:jc w:val="center"/>
                    <w:rPr>
                      <w:rFonts w:hint="eastAsia" w:ascii="Times New Roman" w:hAnsi="Times New Roman" w:eastAsia="宋体" w:cs="Times New Roman"/>
                      <w:b w:val="0"/>
                      <w:bCs/>
                      <w:color w:val="000000" w:themeColor="text1"/>
                      <w:kern w:val="2"/>
                      <w:sz w:val="21"/>
                      <w:szCs w:val="21"/>
                      <w14:textFill>
                        <w14:solidFill>
                          <w14:schemeClr w14:val="tx1"/>
                        </w14:solidFill>
                      </w14:textFill>
                    </w:rPr>
                  </w:pPr>
                </w:p>
              </w:tc>
              <w:tc>
                <w:tcPr>
                  <w:tcW w:w="1131" w:type="dxa"/>
                  <w:vAlign w:val="center"/>
                </w:tcPr>
                <w:p w14:paraId="1F91300E">
                  <w:pPr>
                    <w:pStyle w:val="71"/>
                    <w:rPr>
                      <w:rFonts w:hint="eastAsia" w:eastAsia="宋体"/>
                      <w:bCs/>
                      <w:color w:val="000000" w:themeColor="text1"/>
                      <w:kern w:val="2"/>
                      <w:lang w:eastAsia="zh-CN"/>
                      <w14:textFill>
                        <w14:solidFill>
                          <w14:schemeClr w14:val="tx1"/>
                        </w14:solidFill>
                      </w14:textFill>
                    </w:rPr>
                  </w:pPr>
                  <w:r>
                    <w:rPr>
                      <w:rFonts w:hint="eastAsia"/>
                      <w:bCs/>
                      <w:color w:val="000000" w:themeColor="text1"/>
                      <w:kern w:val="2"/>
                      <w:lang w:val="en-US" w:eastAsia="zh-CN"/>
                      <w14:textFill>
                        <w14:solidFill>
                          <w14:schemeClr w14:val="tx1"/>
                        </w14:solidFill>
                      </w14:textFill>
                    </w:rPr>
                    <w:t>否</w:t>
                  </w:r>
                </w:p>
              </w:tc>
            </w:tr>
          </w:tbl>
          <w:p w14:paraId="22BF19A7">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吹塑工序</w:t>
            </w:r>
            <w:r>
              <w:rPr>
                <w:rFonts w:hint="eastAsia"/>
                <w:color w:val="000000" w:themeColor="text1"/>
                <w14:textFill>
                  <w14:solidFill>
                    <w14:schemeClr w14:val="tx1"/>
                  </w14:solidFill>
                </w14:textFill>
              </w:rPr>
              <w:t>采用的废气治理设施属于可行技术，</w:t>
            </w:r>
            <w:r>
              <w:rPr>
                <w:rFonts w:hint="eastAsia"/>
                <w:color w:val="000000" w:themeColor="text1"/>
                <w:szCs w:val="21"/>
                <w14:textFill>
                  <w14:solidFill>
                    <w14:schemeClr w14:val="tx1"/>
                  </w14:solidFill>
                </w14:textFill>
              </w:rPr>
              <w:t>印刷、烘干、印刷机</w:t>
            </w:r>
            <w:r>
              <w:rPr>
                <w:rFonts w:hint="eastAsia"/>
                <w:color w:val="000000" w:themeColor="text1"/>
                <w:szCs w:val="21"/>
                <w:lang w:val="en-US" w:eastAsia="zh-CN"/>
                <w14:textFill>
                  <w14:solidFill>
                    <w14:schemeClr w14:val="tx1"/>
                  </w14:solidFill>
                </w14:textFill>
              </w:rPr>
              <w:t>清理</w:t>
            </w:r>
            <w:r>
              <w:rPr>
                <w:rFonts w:hint="eastAsia"/>
                <w:color w:val="000000" w:themeColor="text1"/>
                <w:lang w:val="en-US" w:eastAsia="zh-CN"/>
                <w14:textFill>
                  <w14:solidFill>
                    <w14:schemeClr w14:val="tx1"/>
                  </w14:solidFill>
                </w14:textFill>
              </w:rPr>
              <w:t>工序对应的</w:t>
            </w:r>
            <w:r>
              <w:rPr>
                <w:rFonts w:hint="eastAsia"/>
                <w:color w:val="000000" w:themeColor="text1"/>
                <w14:textFill>
                  <w14:solidFill>
                    <w14:schemeClr w14:val="tx1"/>
                  </w14:solidFill>
                </w14:textFill>
              </w:rPr>
              <w:t>废气治理设施</w:t>
            </w:r>
            <w:r>
              <w:rPr>
                <w:rFonts w:hint="eastAsia"/>
                <w:color w:val="000000" w:themeColor="text1"/>
                <w:lang w:val="en-US" w:eastAsia="zh-CN"/>
                <w14:textFill>
                  <w14:solidFill>
                    <w14:schemeClr w14:val="tx1"/>
                  </w14:solidFill>
                </w14:textFill>
              </w:rPr>
              <w:t>不</w:t>
            </w:r>
            <w:r>
              <w:rPr>
                <w:rFonts w:hint="eastAsia"/>
                <w:color w:val="000000" w:themeColor="text1"/>
                <w14:textFill>
                  <w14:solidFill>
                    <w14:schemeClr w14:val="tx1"/>
                  </w14:solidFill>
                </w14:textFill>
              </w:rPr>
              <w:t>属于可行技术</w:t>
            </w:r>
            <w:r>
              <w:rPr>
                <w:rFonts w:hint="eastAsia"/>
                <w:color w:val="000000" w:themeColor="text1"/>
                <w:lang w:eastAsia="zh-CN"/>
                <w14:textFill>
                  <w14:solidFill>
                    <w14:schemeClr w14:val="tx1"/>
                  </w14:solidFill>
                </w14:textFill>
              </w:rPr>
              <w:t>，</w:t>
            </w:r>
            <w:r>
              <w:rPr>
                <w:rFonts w:hint="eastAsia"/>
                <w:bCs/>
                <w:color w:val="000000" w:themeColor="text1"/>
                <w:szCs w:val="21"/>
                <w14:textFill>
                  <w14:solidFill>
                    <w14:schemeClr w14:val="tx1"/>
                  </w14:solidFill>
                </w14:textFill>
              </w:rPr>
              <w:t>本次评价对</w:t>
            </w:r>
            <w:r>
              <w:rPr>
                <w:rFonts w:hint="eastAsia"/>
                <w:color w:val="000000" w:themeColor="text1"/>
                <w:szCs w:val="21"/>
                <w14:textFill>
                  <w14:solidFill>
                    <w14:schemeClr w14:val="tx1"/>
                  </w14:solidFill>
                </w14:textFill>
              </w:rPr>
              <w:t>印刷、烘干、印刷机</w:t>
            </w:r>
            <w:r>
              <w:rPr>
                <w:rFonts w:hint="eastAsia"/>
                <w:color w:val="000000" w:themeColor="text1"/>
                <w:szCs w:val="21"/>
                <w:lang w:val="en-US" w:eastAsia="zh-CN"/>
                <w14:textFill>
                  <w14:solidFill>
                    <w14:schemeClr w14:val="tx1"/>
                  </w14:solidFill>
                </w14:textFill>
              </w:rPr>
              <w:t>清理</w:t>
            </w:r>
            <w:r>
              <w:rPr>
                <w:rFonts w:hint="eastAsia"/>
                <w:color w:val="000000" w:themeColor="text1"/>
                <w:lang w:val="en-US" w:eastAsia="zh-CN"/>
                <w14:textFill>
                  <w14:solidFill>
                    <w14:schemeClr w14:val="tx1"/>
                  </w14:solidFill>
                </w14:textFill>
              </w:rPr>
              <w:t>工序</w:t>
            </w:r>
            <w:r>
              <w:rPr>
                <w:rFonts w:hint="eastAsia"/>
                <w:color w:val="000000" w:themeColor="text1"/>
                <w:szCs w:val="21"/>
                <w14:textFill>
                  <w14:solidFill>
                    <w14:schemeClr w14:val="tx1"/>
                  </w14:solidFill>
                </w14:textFill>
              </w:rPr>
              <w:t>的</w:t>
            </w:r>
            <w:r>
              <w:rPr>
                <w:rFonts w:hint="eastAsia"/>
                <w:bCs/>
                <w:color w:val="000000" w:themeColor="text1"/>
                <w:szCs w:val="21"/>
                <w14:textFill>
                  <w14:solidFill>
                    <w14:schemeClr w14:val="tx1"/>
                  </w14:solidFill>
                </w14:textFill>
              </w:rPr>
              <w:t>废气处理工艺进行可行性分析</w:t>
            </w:r>
            <w:r>
              <w:rPr>
                <w:rFonts w:hint="eastAsia"/>
                <w:color w:val="000000" w:themeColor="text1"/>
                <w14:textFill>
                  <w14:solidFill>
                    <w14:schemeClr w14:val="tx1"/>
                  </w14:solidFill>
                </w14:textFill>
              </w:rPr>
              <w:t>。</w:t>
            </w:r>
          </w:p>
          <w:p w14:paraId="0617F6F0">
            <w:pPr>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（1）工艺原理</w:t>
            </w:r>
          </w:p>
          <w:p w14:paraId="7F981FB2">
            <w:pPr>
              <w:numPr>
                <w:ilvl w:val="255"/>
                <w:numId w:val="0"/>
              </w:numPr>
              <w:adjustRightInd w:val="0"/>
              <w:snapToGrid w:val="0"/>
              <w:spacing w:line="360" w:lineRule="auto"/>
              <w:ind w:firstLine="420" w:firstLineChars="200"/>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①</w:t>
            </w:r>
            <w:r>
              <w:rPr>
                <w:color w:val="000000" w:themeColor="text1"/>
                <w:szCs w:val="21"/>
                <w14:textFill>
                  <w14:solidFill>
                    <w14:schemeClr w14:val="tx1"/>
                  </w14:solidFill>
                </w14:textFill>
              </w:rPr>
              <w:t>二级活性炭吸附装置</w:t>
            </w:r>
          </w:p>
          <w:p w14:paraId="19C5E6D8">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废气进入一级活性炭箱，经过一级处理后的废气再经过二级活性炭处理，将残余的有机废气截留到系统中，最终达标后的废气经风机排放，设备前配有70℃熔断防火阀，设备进出口配有手动阀门，以保护设备。</w:t>
            </w:r>
          </w:p>
          <w:p w14:paraId="03E2F57B">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活性炭吸附有机废气是目前比较成熟的典型工艺，排出的有机废气气体，用引风机引入预处理单元，达到最适合的温度等条件后通过活性炭箱。活性炭是一种多孔性的含炭物质，它具有高度发达的孔隙构造，活性炭的多孔结构为其提供了大量的表面积，能与气体（杂质）充分接触，从而赋予了活性炭所特有的吸附性能，使其非常容易达到吸收收集杂质的目的。活性炭孔壁上的大量的分子可以产生强大的引力，从而达到将废气中有害的杂质吸引到孔径中的目的，净化后的气体被释放到空气中。</w:t>
            </w:r>
          </w:p>
          <w:p w14:paraId="3E5C5B57">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活性炭是由各种含碳物质在高温下炭化后，再用水蒸气或化学药品进行活化处理，然后制成的孔隙十分丰富的吸附剂，其孔径平均为（10～40）×10</w:t>
            </w:r>
            <w:r>
              <w:rPr>
                <w:color w:val="000000" w:themeColor="text1"/>
                <w:szCs w:val="21"/>
                <w:vertAlign w:val="superscript"/>
                <w14:textFill>
                  <w14:solidFill>
                    <w14:schemeClr w14:val="tx1"/>
                  </w14:solidFill>
                </w14:textFill>
              </w:rPr>
              <w:t>-8</w:t>
            </w:r>
            <w:r>
              <w:rPr>
                <w:color w:val="000000" w:themeColor="text1"/>
                <w:szCs w:val="21"/>
                <w14:textFill>
                  <w14:solidFill>
                    <w14:schemeClr w14:val="tx1"/>
                  </w14:solidFill>
                </w14:textFill>
              </w:rPr>
              <w:t>cm，比表面积一般在600～1500m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/g范围内，具有优良的吸附能力。</w:t>
            </w:r>
          </w:p>
          <w:p w14:paraId="30725A59">
            <w:pPr>
              <w:adjustRightInd w:val="0"/>
              <w:snapToGrid w:val="0"/>
              <w:spacing w:line="360" w:lineRule="auto"/>
              <w:ind w:firstLine="420" w:firstLineChars="200"/>
              <w:rPr>
                <w:b/>
                <w:color w:val="000000" w:themeColor="text1"/>
                <w:szCs w:val="21"/>
                <w14:textFill>
                  <w14:solidFill>
                    <w14:schemeClr w14:val="tx1"/>
                  </w14:solidFill>
                </w14:textFill>
              </w:rPr>
            </w:pPr>
            <w:r>
              <w:rPr>
                <w:color w:val="000000" w:themeColor="text1"/>
                <w:szCs w:val="21"/>
                <w14:textFill>
                  <w14:solidFill>
                    <w14:schemeClr w14:val="tx1"/>
                  </w14:solidFill>
                </w14:textFill>
              </w:rPr>
              <w:t>活性炭吸附装置净化效率与活性炭的吸附量有关，加入新活性炭使用初期（吸附量</w:t>
            </w:r>
            <w:r>
              <w:rPr>
                <w:rFonts w:hint="eastAsia" w:ascii="宋体" w:hAnsi="宋体" w:cs="宋体"/>
                <w:color w:val="000000" w:themeColor="text1"/>
                <w:szCs w:val="21"/>
                <w14:textFill>
                  <w14:solidFill>
                    <w14:schemeClr w14:val="tx1"/>
                  </w14:solidFill>
                </w14:textFill>
              </w:rPr>
              <w:t>≤</w:t>
            </w:r>
            <w:r>
              <w:rPr>
                <w:color w:val="000000" w:themeColor="text1"/>
                <w:szCs w:val="21"/>
                <w14:textFill>
                  <w14:solidFill>
                    <w14:schemeClr w14:val="tx1"/>
                  </w14:solidFill>
                </w14:textFill>
              </w:rPr>
              <w:t>10%），净化效率达99%以上；使用中期（吸附量为10%-25%），净化效率为90%-99%；使用末期（吸附量为24%-45%），净化效率为80%-90%。随操作时间之增加，吸附剂将逐渐趋于饱和现象，当指示压力表的示值大于1000Pa时须进行更换</w:t>
            </w:r>
            <w:r>
              <w:rPr>
                <w:rFonts w:hint="eastAsia"/>
                <w:color w:val="000000" w:themeColor="text1"/>
                <w:szCs w:val="21"/>
                <w14:textFill>
                  <w14:solidFill>
                    <w14:schemeClr w14:val="tx1"/>
                  </w14:solidFill>
                </w14:textFill>
              </w:rPr>
              <w:t>。</w:t>
            </w:r>
          </w:p>
          <w:p w14:paraId="2D574B81">
            <w:pPr>
              <w:adjustRightInd w:val="0"/>
              <w:snapToGrid w:val="0"/>
              <w:spacing w:line="360" w:lineRule="auto"/>
              <w:ind w:firstLine="42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742055" cy="2512695"/>
                  <wp:effectExtent l="0" t="0" r="10795" b="1905"/>
                  <wp:docPr id="26" name="图片 3" descr="c61955a2f26d217bc5890d2a507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c61955a2f26d217bc5890d2a5074811"/>
                          <pic:cNvPicPr>
                            <a:picLocks noChangeAspect="1"/>
                          </pic:cNvPicPr>
                        </pic:nvPicPr>
                        <pic:blipFill>
                          <a:blip r:embed="rId21"/>
                          <a:stretch>
                            <a:fillRect/>
                          </a:stretch>
                        </pic:blipFill>
                        <pic:spPr>
                          <a:xfrm>
                            <a:off x="0" y="0"/>
                            <a:ext cx="3742055" cy="2512695"/>
                          </a:xfrm>
                          <a:prstGeom prst="rect">
                            <a:avLst/>
                          </a:prstGeom>
                          <a:noFill/>
                          <a:ln>
                            <a:noFill/>
                          </a:ln>
                        </pic:spPr>
                      </pic:pic>
                    </a:graphicData>
                  </a:graphic>
                </wp:inline>
              </w:drawing>
            </w:r>
          </w:p>
          <w:p w14:paraId="4E758B1E">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本项目有机废气产生浓度（</w:t>
            </w:r>
            <w:r>
              <w:rPr>
                <w:rFonts w:hint="eastAsia"/>
                <w:color w:val="000000" w:themeColor="text1"/>
                <w:spacing w:val="-9"/>
                <w14:textFill>
                  <w14:solidFill>
                    <w14:schemeClr w14:val="tx1"/>
                  </w14:solidFill>
                </w14:textFill>
              </w:rPr>
              <w:t>1</w:t>
            </w:r>
            <w:r>
              <w:rPr>
                <w:rFonts w:hint="eastAsia"/>
                <w:color w:val="000000" w:themeColor="text1"/>
                <w:spacing w:val="-9"/>
                <w:lang w:val="en-US" w:eastAsia="zh-CN"/>
                <w14:textFill>
                  <w14:solidFill>
                    <w14:schemeClr w14:val="tx1"/>
                  </w14:solidFill>
                </w14:textFill>
              </w:rPr>
              <w:t>3.67</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），使用二级活性炭吸附装置处置（风量</w:t>
            </w:r>
            <w:r>
              <w:rPr>
                <w:rFonts w:hint="eastAsia"/>
                <w:color w:val="000000" w:themeColor="text1"/>
                <w:lang w:val="en-US" w:eastAsia="zh-CN"/>
                <w14:textFill>
                  <w14:solidFill>
                    <w14:schemeClr w14:val="tx1"/>
                  </w14:solidFill>
                </w14:textFill>
              </w:rPr>
              <w:t>12</w:t>
            </w:r>
            <w:r>
              <w:rPr>
                <w:rFonts w:hint="eastAsia"/>
                <w:color w:val="000000" w:themeColor="text1"/>
                <w14:textFill>
                  <w14:solidFill>
                    <w14:schemeClr w14:val="tx1"/>
                  </w14:solidFill>
                </w14:textFill>
              </w:rPr>
              <w:t>000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/h</w:t>
            </w:r>
            <w:r>
              <w:rPr>
                <w:rFonts w:hint="eastAsia"/>
                <w:color w:val="000000" w:themeColor="text1"/>
                <w14:textFill>
                  <w14:solidFill>
                    <w14:schemeClr w14:val="tx1"/>
                  </w14:solidFill>
                </w14:textFill>
              </w:rPr>
              <w:t>），二级活性炭吸附属于吸附法处理，因此选用二级活性炭吸附装置处理</w:t>
            </w:r>
            <w:r>
              <w:rPr>
                <w:rFonts w:hint="eastAsia"/>
                <w:color w:val="000000" w:themeColor="text1"/>
                <w:lang w:val="en-US" w:eastAsia="zh-CN"/>
                <w14:textFill>
                  <w14:solidFill>
                    <w14:schemeClr w14:val="tx1"/>
                  </w14:solidFill>
                </w14:textFill>
              </w:rPr>
              <w:t>吹塑、</w:t>
            </w:r>
            <w:r>
              <w:rPr>
                <w:rFonts w:hint="eastAsia"/>
                <w:color w:val="000000" w:themeColor="text1"/>
                <w:szCs w:val="21"/>
                <w14:textFill>
                  <w14:solidFill>
                    <w14:schemeClr w14:val="tx1"/>
                  </w14:solidFill>
                </w14:textFill>
              </w:rPr>
              <w:t>印刷、烘干、印刷机</w:t>
            </w:r>
            <w:r>
              <w:rPr>
                <w:rFonts w:hint="eastAsia"/>
                <w:color w:val="000000" w:themeColor="text1"/>
                <w:szCs w:val="21"/>
                <w:lang w:val="en-US" w:eastAsia="zh-CN"/>
                <w14:textFill>
                  <w14:solidFill>
                    <w14:schemeClr w14:val="tx1"/>
                  </w14:solidFill>
                </w14:textFill>
              </w:rPr>
              <w:t>清理</w:t>
            </w:r>
            <w:r>
              <w:rPr>
                <w:rFonts w:hint="eastAsia"/>
                <w:bCs/>
                <w:color w:val="000000" w:themeColor="text1"/>
                <w14:textFill>
                  <w14:solidFill>
                    <w14:schemeClr w14:val="tx1"/>
                  </w14:solidFill>
                </w14:textFill>
              </w:rPr>
              <w:t>工段的</w:t>
            </w:r>
            <w:r>
              <w:rPr>
                <w:rFonts w:hint="eastAsia"/>
                <w:color w:val="000000" w:themeColor="text1"/>
                <w14:textFill>
                  <w14:solidFill>
                    <w14:schemeClr w14:val="tx1"/>
                  </w14:solidFill>
                </w14:textFill>
              </w:rPr>
              <w:t>有机废气是可行的。</w:t>
            </w:r>
          </w:p>
          <w:p w14:paraId="47384AC0">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②</w:t>
            </w:r>
            <w:r>
              <w:rPr>
                <w:rFonts w:hint="eastAsia" w:ascii="宋体" w:hAnsi="宋体" w:cs="宋体"/>
                <w:color w:val="000000" w:themeColor="text1"/>
                <w:szCs w:val="21"/>
                <w:lang w:val="en-US" w:eastAsia="zh-CN"/>
                <w14:textFill>
                  <w14:solidFill>
                    <w14:schemeClr w14:val="tx1"/>
                  </w14:solidFill>
                </w14:textFill>
              </w:rPr>
              <w:t>包围式</w:t>
            </w:r>
            <w:r>
              <w:rPr>
                <w:rFonts w:hint="eastAsia" w:ascii="宋体" w:hAnsi="宋体" w:cs="宋体"/>
                <w:color w:val="000000" w:themeColor="text1"/>
                <w:szCs w:val="21"/>
                <w14:textFill>
                  <w14:solidFill>
                    <w14:schemeClr w14:val="tx1"/>
                  </w14:solidFill>
                </w14:textFill>
              </w:rPr>
              <w:t>集气罩</w:t>
            </w:r>
          </w:p>
          <w:p w14:paraId="6A459F7E">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包围型集气设备污染物产生点（或生产设施）四周及上下有围挡设施，通过仅保留1个操作工位面，或仅保留物料进出通道，通道敞开面小于1个操作工位面，或通过软质垂帘四周围挡（偶有部分敞开）对有害物进行捕集。</w:t>
            </w:r>
          </w:p>
          <w:p w14:paraId="1CAE0FA8">
            <w:pPr>
              <w:adjustRightInd w:val="0"/>
              <w:snapToGrid w:val="0"/>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（2）活性炭更换频次</w:t>
            </w:r>
          </w:p>
          <w:p w14:paraId="6D0CD5ED">
            <w:pPr>
              <w:adjustRightInd w:val="0"/>
              <w:snapToGrid w:val="0"/>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根据《活性炭吸附装置入户核查基本要求》：</w:t>
            </w:r>
          </w:p>
          <w:p w14:paraId="4C9EEEA6">
            <w:pPr>
              <w:adjustRightInd w:val="0"/>
              <w:snapToGrid w:val="0"/>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采用一次性颗粒活性炭处理VOCs废气，年活性炭使用量不应低于VOCs产生量的5倍。</w:t>
            </w:r>
          </w:p>
          <w:p w14:paraId="6B27E154">
            <w:pPr>
              <w:adjustRightInd w:val="0"/>
              <w:snapToGrid w:val="0"/>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w:t>
            </w:r>
            <w:r>
              <w:rPr>
                <w:rFonts w:hint="eastAsia"/>
                <w:bCs/>
                <w:color w:val="000000" w:themeColor="text1"/>
                <w:szCs w:val="21"/>
                <w:lang w:val="en-US" w:eastAsia="zh-CN"/>
                <w14:textFill>
                  <w14:solidFill>
                    <w14:schemeClr w14:val="tx1"/>
                  </w14:solidFill>
                </w14:textFill>
              </w:rPr>
              <w:t>1#排气筒对应工段</w:t>
            </w:r>
            <w:r>
              <w:rPr>
                <w:rFonts w:hint="eastAsia"/>
                <w:bCs/>
                <w:color w:val="000000" w:themeColor="text1"/>
                <w:szCs w:val="21"/>
                <w14:textFill>
                  <w14:solidFill>
                    <w14:schemeClr w14:val="tx1"/>
                  </w14:solidFill>
                </w14:textFill>
              </w:rPr>
              <w:t>VOCs废气产生量为</w:t>
            </w:r>
            <w:r>
              <w:rPr>
                <w:rFonts w:hint="eastAsia"/>
                <w:bCs/>
                <w:color w:val="000000" w:themeColor="text1"/>
                <w:szCs w:val="21"/>
                <w:lang w:val="en-US" w:eastAsia="zh-CN"/>
                <w14:textFill>
                  <w14:solidFill>
                    <w14:schemeClr w14:val="tx1"/>
                  </w14:solidFill>
                </w14:textFill>
              </w:rPr>
              <w:t>1.1808</w:t>
            </w:r>
            <w:r>
              <w:rPr>
                <w:rFonts w:hint="eastAsia"/>
                <w:bCs/>
                <w:color w:val="000000" w:themeColor="text1"/>
                <w:szCs w:val="21"/>
                <w14:textFill>
                  <w14:solidFill>
                    <w14:schemeClr w14:val="tx1"/>
                  </w14:solidFill>
                </w14:textFill>
              </w:rPr>
              <w:t>t/a，则活性炭使用量应不低于</w:t>
            </w:r>
            <w:r>
              <w:rPr>
                <w:rFonts w:hint="eastAsia"/>
                <w:bCs/>
                <w:color w:val="000000" w:themeColor="text1"/>
                <w:szCs w:val="21"/>
                <w:lang w:val="en-US" w:eastAsia="zh-CN"/>
                <w14:textFill>
                  <w14:solidFill>
                    <w14:schemeClr w14:val="tx1"/>
                  </w14:solidFill>
                </w14:textFill>
              </w:rPr>
              <w:t>5.904</w:t>
            </w:r>
            <w:r>
              <w:rPr>
                <w:rFonts w:hint="eastAsia"/>
                <w:bCs/>
                <w:color w:val="000000" w:themeColor="text1"/>
                <w:szCs w:val="21"/>
                <w14:textFill>
                  <w14:solidFill>
                    <w14:schemeClr w14:val="tx1"/>
                  </w14:solidFill>
                </w14:textFill>
              </w:rPr>
              <w:t>t/a，二级活性炭吸附装置的一次活性炭装填</w:t>
            </w:r>
            <w:r>
              <w:rPr>
                <w:rFonts w:hint="eastAsia"/>
                <w:bCs/>
                <w:color w:val="000000" w:themeColor="text1"/>
                <w:szCs w:val="21"/>
                <w:highlight w:val="none"/>
                <w14:textFill>
                  <w14:solidFill>
                    <w14:schemeClr w14:val="tx1"/>
                  </w14:solidFill>
                </w14:textFill>
              </w:rPr>
              <w:t>量为</w:t>
            </w:r>
            <w:r>
              <w:rPr>
                <w:rFonts w:hint="eastAsia"/>
                <w:bCs/>
                <w:color w:val="000000" w:themeColor="text1"/>
                <w:szCs w:val="21"/>
                <w:highlight w:val="none"/>
                <w:lang w:val="en-US" w:eastAsia="zh-CN"/>
                <w14:textFill>
                  <w14:solidFill>
                    <w14:schemeClr w14:val="tx1"/>
                  </w14:solidFill>
                </w14:textFill>
              </w:rPr>
              <w:t>1.2</w:t>
            </w:r>
            <w:r>
              <w:rPr>
                <w:rFonts w:hint="eastAsia"/>
                <w:bCs/>
                <w:color w:val="000000" w:themeColor="text1"/>
                <w:szCs w:val="21"/>
                <w:highlight w:val="none"/>
                <w14:textFill>
                  <w14:solidFill>
                    <w14:schemeClr w14:val="tx1"/>
                  </w14:solidFill>
                </w14:textFill>
              </w:rPr>
              <w:t>t，一年应至少更换</w:t>
            </w:r>
            <w:r>
              <w:rPr>
                <w:rFonts w:hint="eastAsia"/>
                <w:bCs/>
                <w:color w:val="000000" w:themeColor="text1"/>
                <w:szCs w:val="21"/>
                <w:highlight w:val="none"/>
                <w:lang w:val="en-US" w:eastAsia="zh-CN"/>
                <w14:textFill>
                  <w14:solidFill>
                    <w14:schemeClr w14:val="tx1"/>
                  </w14:solidFill>
                </w14:textFill>
              </w:rPr>
              <w:t>5</w:t>
            </w:r>
            <w:r>
              <w:rPr>
                <w:rFonts w:hint="eastAsia"/>
                <w:bCs/>
                <w:color w:val="000000" w:themeColor="text1"/>
                <w:szCs w:val="21"/>
                <w:highlight w:val="none"/>
                <w14:textFill>
                  <w14:solidFill>
                    <w14:schemeClr w14:val="tx1"/>
                  </w14:solidFill>
                </w14:textFill>
              </w:rPr>
              <w:t>次。</w:t>
            </w:r>
          </w:p>
          <w:p w14:paraId="6DC82E31">
            <w:pPr>
              <w:adjustRightInd w:val="0"/>
              <w:snapToGrid w:val="0"/>
              <w:spacing w:line="360" w:lineRule="auto"/>
              <w:ind w:firstLine="420" w:firstLineChars="200"/>
              <w:rPr>
                <w:rFonts w:hint="default"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1#排气筒活性炭更换量为6t/a，废气处理量共计0.85t/a，则废活性炭产生量约为6.85t/a。</w:t>
            </w:r>
          </w:p>
          <w:p w14:paraId="0C3EE017">
            <w:pPr>
              <w:adjustRightInd w:val="0"/>
              <w:snapToGrid w:val="0"/>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（3）活性炭吸附装置参数介绍</w:t>
            </w:r>
          </w:p>
          <w:p w14:paraId="581BB71B">
            <w:pPr>
              <w:jc w:val="center"/>
              <w:rPr>
                <w:rFonts w:hint="eastAsia" w:eastAsia="宋体"/>
                <w:b/>
                <w:bCs/>
                <w:color w:val="000000" w:themeColor="text1"/>
                <w:highlight w:val="none"/>
                <w:lang w:eastAsia="zh-CN"/>
                <w14:textFill>
                  <w14:solidFill>
                    <w14:schemeClr w14:val="tx1"/>
                  </w14:solidFill>
                </w14:textFill>
              </w:rPr>
            </w:pPr>
            <w:r>
              <w:rPr>
                <w:rFonts w:hint="eastAsia"/>
                <w:b/>
                <w:bCs/>
                <w:color w:val="000000" w:themeColor="text1"/>
                <w:highlight w:val="none"/>
                <w14:textFill>
                  <w14:solidFill>
                    <w14:schemeClr w14:val="tx1"/>
                  </w14:solidFill>
                </w14:textFill>
              </w:rPr>
              <w:t>表4.1-</w:t>
            </w:r>
            <w:r>
              <w:rPr>
                <w:rFonts w:hint="eastAsia"/>
                <w:b/>
                <w:bCs/>
                <w:color w:val="000000" w:themeColor="text1"/>
                <w:highlight w:val="none"/>
                <w:lang w:val="en-US" w:eastAsia="zh-CN"/>
                <w14:textFill>
                  <w14:solidFill>
                    <w14:schemeClr w14:val="tx1"/>
                  </w14:solidFill>
                </w14:textFill>
              </w:rPr>
              <w:t>8</w:t>
            </w:r>
            <w:r>
              <w:rPr>
                <w:rFonts w:hint="eastAsia"/>
                <w:b/>
                <w:bCs/>
                <w:color w:val="000000" w:themeColor="text1"/>
                <w:highlight w:val="none"/>
                <w14:textFill>
                  <w14:solidFill>
                    <w14:schemeClr w14:val="tx1"/>
                  </w14:solidFill>
                </w14:textFill>
              </w:rPr>
              <w:t xml:space="preserve">  二级活性炭吸附装置参数表</w:t>
            </w:r>
            <w:r>
              <w:rPr>
                <w:rFonts w:hint="eastAsia"/>
                <w:b/>
                <w:bCs/>
                <w:color w:val="000000" w:themeColor="text1"/>
                <w:highlight w:val="none"/>
                <w:lang w:eastAsia="zh-CN"/>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1#排气筒</w:t>
            </w:r>
            <w:r>
              <w:rPr>
                <w:rFonts w:hint="eastAsia"/>
                <w:b/>
                <w:bCs/>
                <w:color w:val="000000" w:themeColor="text1"/>
                <w:highlight w:val="none"/>
                <w:lang w:eastAsia="zh-CN"/>
                <w14:textFill>
                  <w14:solidFill>
                    <w14:schemeClr w14:val="tx1"/>
                  </w14:solidFill>
                </w14:textFill>
              </w:rPr>
              <w:t>）</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1643"/>
              <w:gridCol w:w="734"/>
              <w:gridCol w:w="2245"/>
              <w:gridCol w:w="3275"/>
            </w:tblGrid>
            <w:tr w14:paraId="08702A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04" w:type="pct"/>
                  <w:tcBorders>
                    <w:tl2br w:val="nil"/>
                    <w:tr2bl w:val="nil"/>
                  </w:tcBorders>
                  <w:vAlign w:val="center"/>
                </w:tcPr>
                <w:p w14:paraId="4F0AD3A3">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序号</w:t>
                  </w:r>
                </w:p>
              </w:tc>
              <w:tc>
                <w:tcPr>
                  <w:tcW w:w="956" w:type="pct"/>
                  <w:tcBorders>
                    <w:tl2br w:val="nil"/>
                    <w:tr2bl w:val="nil"/>
                  </w:tcBorders>
                  <w:vAlign w:val="center"/>
                </w:tcPr>
                <w:p w14:paraId="07B1551F">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治理设施类型</w:t>
                  </w:r>
                </w:p>
              </w:tc>
              <w:tc>
                <w:tcPr>
                  <w:tcW w:w="1733" w:type="pct"/>
                  <w:gridSpan w:val="2"/>
                  <w:tcBorders>
                    <w:tl2br w:val="nil"/>
                    <w:tr2bl w:val="nil"/>
                  </w:tcBorders>
                  <w:vAlign w:val="center"/>
                </w:tcPr>
                <w:p w14:paraId="7655E31A">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主要参数名称</w:t>
                  </w:r>
                </w:p>
              </w:tc>
              <w:tc>
                <w:tcPr>
                  <w:tcW w:w="1905" w:type="pct"/>
                  <w:tcBorders>
                    <w:tl2br w:val="nil"/>
                    <w:tr2bl w:val="nil"/>
                  </w:tcBorders>
                  <w:vAlign w:val="center"/>
                </w:tcPr>
                <w:p w14:paraId="4C3175A1">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设计值</w:t>
                  </w:r>
                </w:p>
              </w:tc>
            </w:tr>
            <w:tr w14:paraId="54993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restart"/>
                  <w:tcBorders>
                    <w:tl2br w:val="nil"/>
                    <w:tr2bl w:val="nil"/>
                  </w:tcBorders>
                  <w:vAlign w:val="center"/>
                </w:tcPr>
                <w:p w14:paraId="722E7270">
                  <w:pPr>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1</w:t>
                  </w:r>
                </w:p>
              </w:tc>
              <w:tc>
                <w:tcPr>
                  <w:tcW w:w="956" w:type="pct"/>
                  <w:vMerge w:val="restart"/>
                  <w:tcBorders>
                    <w:tl2br w:val="nil"/>
                    <w:tr2bl w:val="nil"/>
                  </w:tcBorders>
                  <w:vAlign w:val="center"/>
                </w:tcPr>
                <w:p w14:paraId="1F730D27">
                  <w:pPr>
                    <w:jc w:val="center"/>
                    <w:rPr>
                      <w:rFonts w:hint="eastAsia" w:eastAsia="宋体"/>
                      <w:bCs/>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二级</w:t>
                  </w:r>
                  <w:r>
                    <w:rPr>
                      <w:color w:val="000000" w:themeColor="text1"/>
                      <w:szCs w:val="21"/>
                      <w:highlight w:val="none"/>
                      <w14:textFill>
                        <w14:solidFill>
                          <w14:schemeClr w14:val="tx1"/>
                        </w14:solidFill>
                      </w14:textFill>
                    </w:rPr>
                    <w:t>活性炭吸附装置</w:t>
                  </w:r>
                  <w:r>
                    <w:rPr>
                      <w:rFonts w:hint="eastAsia"/>
                      <w:color w:val="000000" w:themeColor="text1"/>
                      <w:szCs w:val="21"/>
                      <w:highlight w:val="none"/>
                      <w:lang w:val="en-US" w:eastAsia="zh-CN"/>
                      <w14:textFill>
                        <w14:solidFill>
                          <w14:schemeClr w14:val="tx1"/>
                        </w14:solidFill>
                      </w14:textFill>
                    </w:rPr>
                    <w:t>*</w:t>
                  </w:r>
                </w:p>
              </w:tc>
              <w:tc>
                <w:tcPr>
                  <w:tcW w:w="427" w:type="pct"/>
                  <w:tcBorders>
                    <w:tl2br w:val="nil"/>
                    <w:tr2bl w:val="nil"/>
                  </w:tcBorders>
                  <w:vAlign w:val="center"/>
                </w:tcPr>
                <w:p w14:paraId="47CD9820">
                  <w:pPr>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风机</w:t>
                  </w:r>
                </w:p>
              </w:tc>
              <w:tc>
                <w:tcPr>
                  <w:tcW w:w="1306" w:type="pct"/>
                  <w:tcBorders>
                    <w:tl2br w:val="nil"/>
                    <w:tr2bl w:val="nil"/>
                  </w:tcBorders>
                  <w:vAlign w:val="center"/>
                </w:tcPr>
                <w:p w14:paraId="49D91896">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风量（m</w:t>
                  </w:r>
                  <w:r>
                    <w:rPr>
                      <w:bCs/>
                      <w:color w:val="000000" w:themeColor="text1"/>
                      <w:szCs w:val="21"/>
                      <w:highlight w:val="none"/>
                      <w:vertAlign w:val="superscript"/>
                      <w14:textFill>
                        <w14:solidFill>
                          <w14:schemeClr w14:val="tx1"/>
                        </w14:solidFill>
                      </w14:textFill>
                    </w:rPr>
                    <w:t>3</w:t>
                  </w:r>
                  <w:r>
                    <w:rPr>
                      <w:bCs/>
                      <w:color w:val="000000" w:themeColor="text1"/>
                      <w:szCs w:val="21"/>
                      <w:highlight w:val="none"/>
                      <w14:textFill>
                        <w14:solidFill>
                          <w14:schemeClr w14:val="tx1"/>
                        </w14:solidFill>
                      </w14:textFill>
                    </w:rPr>
                    <w:t>/h）</w:t>
                  </w:r>
                </w:p>
              </w:tc>
              <w:tc>
                <w:tcPr>
                  <w:tcW w:w="1905" w:type="pct"/>
                  <w:tcBorders>
                    <w:tl2br w:val="nil"/>
                    <w:tr2bl w:val="nil"/>
                  </w:tcBorders>
                  <w:vAlign w:val="center"/>
                </w:tcPr>
                <w:p w14:paraId="1965C5C9">
                  <w:pPr>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1</w:t>
                  </w:r>
                  <w:r>
                    <w:rPr>
                      <w:rFonts w:hint="eastAsia"/>
                      <w:bCs/>
                      <w:color w:val="000000" w:themeColor="text1"/>
                      <w:szCs w:val="21"/>
                      <w:highlight w:val="none"/>
                      <w:lang w:val="en-US" w:eastAsia="zh-CN"/>
                      <w14:textFill>
                        <w14:solidFill>
                          <w14:schemeClr w14:val="tx1"/>
                        </w14:solidFill>
                      </w14:textFill>
                    </w:rPr>
                    <w:t>2</w:t>
                  </w:r>
                  <w:r>
                    <w:rPr>
                      <w:rFonts w:hint="eastAsia"/>
                      <w:bCs/>
                      <w:color w:val="000000" w:themeColor="text1"/>
                      <w:szCs w:val="21"/>
                      <w:highlight w:val="none"/>
                      <w14:textFill>
                        <w14:solidFill>
                          <w14:schemeClr w14:val="tx1"/>
                        </w14:solidFill>
                      </w14:textFill>
                    </w:rPr>
                    <w:t>000</w:t>
                  </w:r>
                </w:p>
              </w:tc>
            </w:tr>
            <w:tr w14:paraId="60C0BF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tcBorders>
                    <w:tl2br w:val="nil"/>
                    <w:tr2bl w:val="nil"/>
                  </w:tcBorders>
                  <w:vAlign w:val="center"/>
                </w:tcPr>
                <w:p w14:paraId="4FA82079">
                  <w:pPr>
                    <w:jc w:val="center"/>
                    <w:rPr>
                      <w:bCs/>
                      <w:color w:val="000000" w:themeColor="text1"/>
                      <w:szCs w:val="21"/>
                      <w:highlight w:val="none"/>
                      <w14:textFill>
                        <w14:solidFill>
                          <w14:schemeClr w14:val="tx1"/>
                        </w14:solidFill>
                      </w14:textFill>
                    </w:rPr>
                  </w:pPr>
                </w:p>
              </w:tc>
              <w:tc>
                <w:tcPr>
                  <w:tcW w:w="956" w:type="pct"/>
                  <w:vMerge w:val="continue"/>
                  <w:tcBorders>
                    <w:tl2br w:val="nil"/>
                    <w:tr2bl w:val="nil"/>
                  </w:tcBorders>
                  <w:vAlign w:val="center"/>
                </w:tcPr>
                <w:p w14:paraId="45A2D931">
                  <w:pPr>
                    <w:jc w:val="center"/>
                    <w:rPr>
                      <w:bCs/>
                      <w:color w:val="000000" w:themeColor="text1"/>
                      <w:szCs w:val="21"/>
                      <w:highlight w:val="none"/>
                      <w14:textFill>
                        <w14:solidFill>
                          <w14:schemeClr w14:val="tx1"/>
                        </w14:solidFill>
                      </w14:textFill>
                    </w:rPr>
                  </w:pPr>
                </w:p>
              </w:tc>
              <w:tc>
                <w:tcPr>
                  <w:tcW w:w="427" w:type="pct"/>
                  <w:vMerge w:val="restart"/>
                  <w:tcBorders>
                    <w:tl2br w:val="nil"/>
                    <w:tr2bl w:val="nil"/>
                  </w:tcBorders>
                  <w:vAlign w:val="center"/>
                </w:tcPr>
                <w:p w14:paraId="2C9AB612">
                  <w:pPr>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单个</w:t>
                  </w:r>
                </w:p>
                <w:p w14:paraId="1AA90BE9">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箱体</w:t>
                  </w:r>
                </w:p>
              </w:tc>
              <w:tc>
                <w:tcPr>
                  <w:tcW w:w="1306" w:type="pct"/>
                  <w:tcBorders>
                    <w:tl2br w:val="nil"/>
                    <w:tr2bl w:val="nil"/>
                  </w:tcBorders>
                  <w:vAlign w:val="center"/>
                </w:tcPr>
                <w:p w14:paraId="10E94614">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尺寸（m）</w:t>
                  </w:r>
                </w:p>
              </w:tc>
              <w:tc>
                <w:tcPr>
                  <w:tcW w:w="1905" w:type="pct"/>
                  <w:tcBorders>
                    <w:tl2br w:val="nil"/>
                    <w:tr2bl w:val="nil"/>
                  </w:tcBorders>
                  <w:vAlign w:val="center"/>
                </w:tcPr>
                <w:p w14:paraId="78ACEA5F">
                  <w:pPr>
                    <w:jc w:val="center"/>
                    <w:rPr>
                      <w:rFonts w:hint="default"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1.5</w:t>
                  </w:r>
                  <w:r>
                    <w:rPr>
                      <w:rFonts w:hint="eastAsia"/>
                      <w:bCs/>
                      <w:color w:val="000000" w:themeColor="text1"/>
                      <w:szCs w:val="21"/>
                      <w:highlight w:val="none"/>
                      <w14:textFill>
                        <w14:solidFill>
                          <w14:schemeClr w14:val="tx1"/>
                        </w14:solidFill>
                      </w14:textFill>
                    </w:rPr>
                    <w:t>×</w:t>
                  </w:r>
                  <w:r>
                    <w:rPr>
                      <w:rFonts w:hint="eastAsia"/>
                      <w:bCs/>
                      <w:color w:val="000000" w:themeColor="text1"/>
                      <w:szCs w:val="21"/>
                      <w:highlight w:val="none"/>
                      <w:lang w:val="en-US" w:eastAsia="zh-CN"/>
                      <w14:textFill>
                        <w14:solidFill>
                          <w14:schemeClr w14:val="tx1"/>
                        </w14:solidFill>
                      </w14:textFill>
                    </w:rPr>
                    <w:t>2</w:t>
                  </w:r>
                  <w:r>
                    <w:rPr>
                      <w:rFonts w:hint="eastAsia"/>
                      <w:bCs/>
                      <w:color w:val="000000" w:themeColor="text1"/>
                      <w:szCs w:val="21"/>
                      <w:highlight w:val="none"/>
                      <w14:textFill>
                        <w14:solidFill>
                          <w14:schemeClr w14:val="tx1"/>
                        </w14:solidFill>
                      </w14:textFill>
                    </w:rPr>
                    <w:t>×</w:t>
                  </w:r>
                  <w:r>
                    <w:rPr>
                      <w:rFonts w:hint="eastAsia"/>
                      <w:bCs/>
                      <w:color w:val="000000" w:themeColor="text1"/>
                      <w:szCs w:val="21"/>
                      <w:highlight w:val="none"/>
                      <w:lang w:val="en-US" w:eastAsia="zh-CN"/>
                      <w14:textFill>
                        <w14:solidFill>
                          <w14:schemeClr w14:val="tx1"/>
                        </w14:solidFill>
                      </w14:textFill>
                    </w:rPr>
                    <w:t>1.55</w:t>
                  </w:r>
                </w:p>
              </w:tc>
            </w:tr>
            <w:tr w14:paraId="16E782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tcBorders>
                    <w:tl2br w:val="nil"/>
                    <w:tr2bl w:val="nil"/>
                  </w:tcBorders>
                  <w:vAlign w:val="center"/>
                </w:tcPr>
                <w:p w14:paraId="212D36E7">
                  <w:pPr>
                    <w:jc w:val="center"/>
                    <w:rPr>
                      <w:bCs/>
                      <w:color w:val="000000" w:themeColor="text1"/>
                      <w:szCs w:val="21"/>
                      <w:highlight w:val="none"/>
                      <w14:textFill>
                        <w14:solidFill>
                          <w14:schemeClr w14:val="tx1"/>
                        </w14:solidFill>
                      </w14:textFill>
                    </w:rPr>
                  </w:pPr>
                </w:p>
              </w:tc>
              <w:tc>
                <w:tcPr>
                  <w:tcW w:w="956" w:type="pct"/>
                  <w:vMerge w:val="continue"/>
                  <w:tcBorders>
                    <w:tl2br w:val="nil"/>
                    <w:tr2bl w:val="nil"/>
                  </w:tcBorders>
                  <w:vAlign w:val="center"/>
                </w:tcPr>
                <w:p w14:paraId="070E2C51">
                  <w:pPr>
                    <w:jc w:val="center"/>
                    <w:rPr>
                      <w:bCs/>
                      <w:color w:val="000000" w:themeColor="text1"/>
                      <w:szCs w:val="21"/>
                      <w:highlight w:val="none"/>
                      <w14:textFill>
                        <w14:solidFill>
                          <w14:schemeClr w14:val="tx1"/>
                        </w14:solidFill>
                      </w14:textFill>
                    </w:rPr>
                  </w:pPr>
                </w:p>
              </w:tc>
              <w:tc>
                <w:tcPr>
                  <w:tcW w:w="427" w:type="pct"/>
                  <w:vMerge w:val="continue"/>
                  <w:tcBorders>
                    <w:tl2br w:val="nil"/>
                    <w:tr2bl w:val="nil"/>
                  </w:tcBorders>
                  <w:vAlign w:val="center"/>
                </w:tcPr>
                <w:p w14:paraId="633C2934">
                  <w:pPr>
                    <w:jc w:val="center"/>
                    <w:rPr>
                      <w:bCs/>
                      <w:color w:val="000000" w:themeColor="text1"/>
                      <w:szCs w:val="21"/>
                      <w:highlight w:val="none"/>
                      <w14:textFill>
                        <w14:solidFill>
                          <w14:schemeClr w14:val="tx1"/>
                        </w14:solidFill>
                      </w14:textFill>
                    </w:rPr>
                  </w:pPr>
                </w:p>
              </w:tc>
              <w:tc>
                <w:tcPr>
                  <w:tcW w:w="1306" w:type="pct"/>
                  <w:tcBorders>
                    <w:tl2br w:val="nil"/>
                    <w:tr2bl w:val="nil"/>
                  </w:tcBorders>
                  <w:vAlign w:val="center"/>
                </w:tcPr>
                <w:p w14:paraId="6F7F0E91">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活性炭装填尺寸（m）</w:t>
                  </w:r>
                </w:p>
              </w:tc>
              <w:tc>
                <w:tcPr>
                  <w:tcW w:w="1905" w:type="pct"/>
                  <w:tcBorders>
                    <w:tl2br w:val="nil"/>
                    <w:tr2bl w:val="nil"/>
                  </w:tcBorders>
                  <w:vAlign w:val="center"/>
                </w:tcPr>
                <w:p w14:paraId="494A7829">
                  <w:pPr>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0.</w:t>
                  </w:r>
                  <w:r>
                    <w:rPr>
                      <w:rFonts w:hint="eastAsia"/>
                      <w:bCs/>
                      <w:color w:val="000000" w:themeColor="text1"/>
                      <w:szCs w:val="21"/>
                      <w:highlight w:val="none"/>
                      <w:lang w:val="en-US" w:eastAsia="zh-CN"/>
                      <w14:textFill>
                        <w14:solidFill>
                          <w14:schemeClr w14:val="tx1"/>
                        </w14:solidFill>
                      </w14:textFill>
                    </w:rPr>
                    <w:t>5</w:t>
                  </w:r>
                  <w:r>
                    <w:rPr>
                      <w:rFonts w:hint="eastAsia"/>
                      <w:bCs/>
                      <w:color w:val="000000" w:themeColor="text1"/>
                      <w:szCs w:val="21"/>
                      <w:highlight w:val="none"/>
                      <w14:textFill>
                        <w14:solidFill>
                          <w14:schemeClr w14:val="tx1"/>
                        </w14:solidFill>
                      </w14:textFill>
                    </w:rPr>
                    <w:t>5×1.</w:t>
                  </w:r>
                  <w:r>
                    <w:rPr>
                      <w:rFonts w:hint="eastAsia"/>
                      <w:bCs/>
                      <w:color w:val="000000" w:themeColor="text1"/>
                      <w:szCs w:val="21"/>
                      <w:highlight w:val="none"/>
                      <w:lang w:val="en-US" w:eastAsia="zh-CN"/>
                      <w14:textFill>
                        <w14:solidFill>
                          <w14:schemeClr w14:val="tx1"/>
                        </w14:solidFill>
                      </w14:textFill>
                    </w:rPr>
                    <w:t>8</w:t>
                  </w:r>
                  <w:r>
                    <w:rPr>
                      <w:rFonts w:hint="eastAsia"/>
                      <w:bCs/>
                      <w:color w:val="000000" w:themeColor="text1"/>
                      <w:szCs w:val="21"/>
                      <w:highlight w:val="none"/>
                      <w14:textFill>
                        <w14:solidFill>
                          <w14:schemeClr w14:val="tx1"/>
                        </w14:solidFill>
                      </w14:textFill>
                    </w:rPr>
                    <w:t>×0.2</w:t>
                  </w:r>
                  <w:r>
                    <w:rPr>
                      <w:rFonts w:hint="eastAsia"/>
                      <w:bCs/>
                      <w:color w:val="000000" w:themeColor="text1"/>
                      <w:szCs w:val="21"/>
                      <w:highlight w:val="none"/>
                      <w:lang w:val="en-US" w:eastAsia="zh-CN"/>
                      <w14:textFill>
                        <w14:solidFill>
                          <w14:schemeClr w14:val="tx1"/>
                        </w14:solidFill>
                      </w14:textFill>
                    </w:rPr>
                    <w:t>1</w:t>
                  </w:r>
                  <w:r>
                    <w:rPr>
                      <w:rFonts w:hint="eastAsia"/>
                      <w:bCs/>
                      <w:color w:val="000000" w:themeColor="text1"/>
                      <w:szCs w:val="21"/>
                      <w:highlight w:val="none"/>
                      <w14:textFill>
                        <w14:solidFill>
                          <w14:schemeClr w14:val="tx1"/>
                        </w14:solidFill>
                      </w14:textFill>
                    </w:rPr>
                    <w:t>（</w:t>
                  </w:r>
                  <w:r>
                    <w:rPr>
                      <w:rFonts w:hint="eastAsia"/>
                      <w:bCs/>
                      <w:color w:val="000000" w:themeColor="text1"/>
                      <w:szCs w:val="21"/>
                      <w:highlight w:val="none"/>
                      <w:lang w:val="en-US" w:eastAsia="zh-CN"/>
                      <w14:textFill>
                        <w14:solidFill>
                          <w14:schemeClr w14:val="tx1"/>
                        </w14:solidFill>
                      </w14:textFill>
                    </w:rPr>
                    <w:t>3</w:t>
                  </w:r>
                  <w:r>
                    <w:rPr>
                      <w:rFonts w:hint="eastAsia"/>
                      <w:bCs/>
                      <w:color w:val="000000" w:themeColor="text1"/>
                      <w:szCs w:val="21"/>
                      <w:highlight w:val="none"/>
                      <w14:textFill>
                        <w14:solidFill>
                          <w14:schemeClr w14:val="tx1"/>
                        </w14:solidFill>
                      </w14:textFill>
                    </w:rPr>
                    <w:t>层</w:t>
                  </w:r>
                  <w:r>
                    <w:rPr>
                      <w:rFonts w:hint="eastAsia"/>
                      <w:bCs/>
                      <w:color w:val="000000" w:themeColor="text1"/>
                      <w:szCs w:val="21"/>
                      <w:highlight w:val="none"/>
                      <w:lang w:val="en-US" w:eastAsia="zh-CN"/>
                      <w14:textFill>
                        <w14:solidFill>
                          <w14:schemeClr w14:val="tx1"/>
                        </w14:solidFill>
                      </w14:textFill>
                    </w:rPr>
                    <w:t>2列</w:t>
                  </w:r>
                  <w:r>
                    <w:rPr>
                      <w:rFonts w:hint="eastAsia"/>
                      <w:bCs/>
                      <w:color w:val="000000" w:themeColor="text1"/>
                      <w:szCs w:val="21"/>
                      <w:highlight w:val="none"/>
                      <w14:textFill>
                        <w14:solidFill>
                          <w14:schemeClr w14:val="tx1"/>
                        </w14:solidFill>
                      </w14:textFill>
                    </w:rPr>
                    <w:t>）</w:t>
                  </w:r>
                </w:p>
              </w:tc>
            </w:tr>
            <w:tr w14:paraId="1FD17A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tcBorders>
                    <w:tl2br w:val="nil"/>
                    <w:tr2bl w:val="nil"/>
                  </w:tcBorders>
                  <w:vAlign w:val="center"/>
                </w:tcPr>
                <w:p w14:paraId="4B8E5D36">
                  <w:pPr>
                    <w:jc w:val="center"/>
                    <w:rPr>
                      <w:bCs/>
                      <w:color w:val="000000" w:themeColor="text1"/>
                      <w:szCs w:val="21"/>
                      <w:highlight w:val="none"/>
                      <w14:textFill>
                        <w14:solidFill>
                          <w14:schemeClr w14:val="tx1"/>
                        </w14:solidFill>
                      </w14:textFill>
                    </w:rPr>
                  </w:pPr>
                </w:p>
              </w:tc>
              <w:tc>
                <w:tcPr>
                  <w:tcW w:w="956" w:type="pct"/>
                  <w:vMerge w:val="continue"/>
                  <w:tcBorders>
                    <w:tl2br w:val="nil"/>
                    <w:tr2bl w:val="nil"/>
                  </w:tcBorders>
                  <w:vAlign w:val="center"/>
                </w:tcPr>
                <w:p w14:paraId="595E8B95">
                  <w:pPr>
                    <w:jc w:val="center"/>
                    <w:rPr>
                      <w:bCs/>
                      <w:color w:val="000000" w:themeColor="text1"/>
                      <w:szCs w:val="21"/>
                      <w:highlight w:val="none"/>
                      <w14:textFill>
                        <w14:solidFill>
                          <w14:schemeClr w14:val="tx1"/>
                        </w14:solidFill>
                      </w14:textFill>
                    </w:rPr>
                  </w:pPr>
                </w:p>
              </w:tc>
              <w:tc>
                <w:tcPr>
                  <w:tcW w:w="1733" w:type="pct"/>
                  <w:gridSpan w:val="2"/>
                  <w:tcBorders>
                    <w:tl2br w:val="nil"/>
                    <w:tr2bl w:val="nil"/>
                  </w:tcBorders>
                  <w:vAlign w:val="center"/>
                </w:tcPr>
                <w:p w14:paraId="7E72975D">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活性炭过风面积（</w:t>
                  </w:r>
                  <w:r>
                    <w:rPr>
                      <w:rFonts w:hint="eastAsia"/>
                      <w:bCs/>
                      <w:color w:val="000000" w:themeColor="text1"/>
                      <w:szCs w:val="21"/>
                      <w:highlight w:val="none"/>
                      <w14:textFill>
                        <w14:solidFill>
                          <w14:schemeClr w14:val="tx1"/>
                        </w14:solidFill>
                      </w14:textFill>
                    </w:rPr>
                    <w:t>m</w:t>
                  </w:r>
                  <w:r>
                    <w:rPr>
                      <w:rFonts w:hint="eastAsia"/>
                      <w:bCs/>
                      <w:color w:val="000000" w:themeColor="text1"/>
                      <w:szCs w:val="21"/>
                      <w:highlight w:val="none"/>
                      <w:vertAlign w:val="superscript"/>
                      <w14:textFill>
                        <w14:solidFill>
                          <w14:schemeClr w14:val="tx1"/>
                        </w14:solidFill>
                      </w14:textFill>
                    </w:rPr>
                    <w:t>2</w:t>
                  </w:r>
                  <w:r>
                    <w:rPr>
                      <w:bCs/>
                      <w:color w:val="000000" w:themeColor="text1"/>
                      <w:szCs w:val="21"/>
                      <w:highlight w:val="none"/>
                      <w14:textFill>
                        <w14:solidFill>
                          <w14:schemeClr w14:val="tx1"/>
                        </w14:solidFill>
                      </w14:textFill>
                    </w:rPr>
                    <w:t>）</w:t>
                  </w:r>
                </w:p>
              </w:tc>
              <w:tc>
                <w:tcPr>
                  <w:tcW w:w="1905" w:type="pct"/>
                  <w:tcBorders>
                    <w:tl2br w:val="nil"/>
                    <w:tr2bl w:val="nil"/>
                  </w:tcBorders>
                  <w:vAlign w:val="center"/>
                </w:tcPr>
                <w:p w14:paraId="5C662BAD">
                  <w:pPr>
                    <w:jc w:val="center"/>
                    <w:rPr>
                      <w:rFonts w:hint="default"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5.94</w:t>
                  </w:r>
                </w:p>
              </w:tc>
            </w:tr>
            <w:tr w14:paraId="01DD65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tcBorders>
                    <w:tl2br w:val="nil"/>
                    <w:tr2bl w:val="nil"/>
                  </w:tcBorders>
                  <w:vAlign w:val="center"/>
                </w:tcPr>
                <w:p w14:paraId="298EE015">
                  <w:pPr>
                    <w:jc w:val="center"/>
                    <w:rPr>
                      <w:bCs/>
                      <w:color w:val="000000" w:themeColor="text1"/>
                      <w:szCs w:val="21"/>
                      <w:highlight w:val="none"/>
                      <w14:textFill>
                        <w14:solidFill>
                          <w14:schemeClr w14:val="tx1"/>
                        </w14:solidFill>
                      </w14:textFill>
                    </w:rPr>
                  </w:pPr>
                </w:p>
              </w:tc>
              <w:tc>
                <w:tcPr>
                  <w:tcW w:w="956" w:type="pct"/>
                  <w:vMerge w:val="continue"/>
                  <w:tcBorders>
                    <w:tl2br w:val="nil"/>
                    <w:tr2bl w:val="nil"/>
                  </w:tcBorders>
                  <w:vAlign w:val="center"/>
                </w:tcPr>
                <w:p w14:paraId="0B2D8DD8">
                  <w:pPr>
                    <w:jc w:val="center"/>
                    <w:rPr>
                      <w:bCs/>
                      <w:color w:val="000000" w:themeColor="text1"/>
                      <w:szCs w:val="21"/>
                      <w:highlight w:val="none"/>
                      <w14:textFill>
                        <w14:solidFill>
                          <w14:schemeClr w14:val="tx1"/>
                        </w14:solidFill>
                      </w14:textFill>
                    </w:rPr>
                  </w:pPr>
                </w:p>
              </w:tc>
              <w:tc>
                <w:tcPr>
                  <w:tcW w:w="1733" w:type="pct"/>
                  <w:gridSpan w:val="2"/>
                  <w:tcBorders>
                    <w:tl2br w:val="nil"/>
                    <w:tr2bl w:val="nil"/>
                  </w:tcBorders>
                  <w:vAlign w:val="center"/>
                </w:tcPr>
                <w:p w14:paraId="27AA72EC">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活性炭累计装填厚度（m）</w:t>
                  </w:r>
                </w:p>
              </w:tc>
              <w:tc>
                <w:tcPr>
                  <w:tcW w:w="1905" w:type="pct"/>
                  <w:tcBorders>
                    <w:tl2br w:val="nil"/>
                    <w:tr2bl w:val="nil"/>
                  </w:tcBorders>
                  <w:vAlign w:val="center"/>
                </w:tcPr>
                <w:p w14:paraId="6EF0FC64">
                  <w:pPr>
                    <w:jc w:val="center"/>
                    <w:rPr>
                      <w:rFonts w:hint="eastAsia" w:eastAsia="宋体"/>
                      <w:bCs/>
                      <w:color w:val="000000" w:themeColor="text1"/>
                      <w:szCs w:val="21"/>
                      <w:highlight w:val="none"/>
                      <w:lang w:eastAsia="zh-CN"/>
                      <w14:textFill>
                        <w14:solidFill>
                          <w14:schemeClr w14:val="tx1"/>
                        </w14:solidFill>
                      </w14:textFill>
                    </w:rPr>
                  </w:pPr>
                  <w:r>
                    <w:rPr>
                      <w:rFonts w:hint="eastAsia"/>
                      <w:bCs/>
                      <w:color w:val="000000" w:themeColor="text1"/>
                      <w:szCs w:val="21"/>
                      <w:highlight w:val="none"/>
                      <w14:textFill>
                        <w14:solidFill>
                          <w14:schemeClr w14:val="tx1"/>
                        </w14:solidFill>
                      </w14:textFill>
                    </w:rPr>
                    <w:t>0.4</w:t>
                  </w:r>
                  <w:r>
                    <w:rPr>
                      <w:rFonts w:hint="eastAsia"/>
                      <w:bCs/>
                      <w:color w:val="000000" w:themeColor="text1"/>
                      <w:szCs w:val="21"/>
                      <w:highlight w:val="none"/>
                      <w:lang w:val="en-US" w:eastAsia="zh-CN"/>
                      <w14:textFill>
                        <w14:solidFill>
                          <w14:schemeClr w14:val="tx1"/>
                        </w14:solidFill>
                      </w14:textFill>
                    </w:rPr>
                    <w:t>2</w:t>
                  </w:r>
                </w:p>
              </w:tc>
            </w:tr>
            <w:tr w14:paraId="08BA4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tcBorders>
                    <w:tl2br w:val="nil"/>
                    <w:tr2bl w:val="nil"/>
                  </w:tcBorders>
                  <w:vAlign w:val="center"/>
                </w:tcPr>
                <w:p w14:paraId="0D28ADCF">
                  <w:pPr>
                    <w:jc w:val="center"/>
                    <w:rPr>
                      <w:bCs/>
                      <w:color w:val="000000" w:themeColor="text1"/>
                      <w:szCs w:val="21"/>
                      <w:highlight w:val="none"/>
                      <w14:textFill>
                        <w14:solidFill>
                          <w14:schemeClr w14:val="tx1"/>
                        </w14:solidFill>
                      </w14:textFill>
                    </w:rPr>
                  </w:pPr>
                </w:p>
              </w:tc>
              <w:tc>
                <w:tcPr>
                  <w:tcW w:w="956" w:type="pct"/>
                  <w:vMerge w:val="continue"/>
                  <w:tcBorders>
                    <w:tl2br w:val="nil"/>
                    <w:tr2bl w:val="nil"/>
                  </w:tcBorders>
                  <w:vAlign w:val="center"/>
                </w:tcPr>
                <w:p w14:paraId="1680D350">
                  <w:pPr>
                    <w:jc w:val="center"/>
                    <w:rPr>
                      <w:bCs/>
                      <w:color w:val="000000" w:themeColor="text1"/>
                      <w:szCs w:val="21"/>
                      <w:highlight w:val="none"/>
                      <w14:textFill>
                        <w14:solidFill>
                          <w14:schemeClr w14:val="tx1"/>
                        </w14:solidFill>
                      </w14:textFill>
                    </w:rPr>
                  </w:pPr>
                </w:p>
              </w:tc>
              <w:tc>
                <w:tcPr>
                  <w:tcW w:w="1733" w:type="pct"/>
                  <w:gridSpan w:val="2"/>
                  <w:tcBorders>
                    <w:tl2br w:val="nil"/>
                    <w:tr2bl w:val="nil"/>
                  </w:tcBorders>
                  <w:vAlign w:val="center"/>
                </w:tcPr>
                <w:p w14:paraId="1DC51BA5">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吸附层气体流速（m/s）</w:t>
                  </w:r>
                </w:p>
              </w:tc>
              <w:tc>
                <w:tcPr>
                  <w:tcW w:w="1905" w:type="pct"/>
                  <w:tcBorders>
                    <w:tl2br w:val="nil"/>
                    <w:tr2bl w:val="nil"/>
                  </w:tcBorders>
                  <w:vAlign w:val="center"/>
                </w:tcPr>
                <w:p w14:paraId="72FBDC95">
                  <w:pPr>
                    <w:jc w:val="center"/>
                    <w:rPr>
                      <w:rFonts w:hint="default"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14:textFill>
                        <w14:solidFill>
                          <w14:schemeClr w14:val="tx1"/>
                        </w14:solidFill>
                      </w14:textFill>
                    </w:rPr>
                    <w:t>0.</w:t>
                  </w:r>
                  <w:r>
                    <w:rPr>
                      <w:rFonts w:hint="eastAsia"/>
                      <w:bCs/>
                      <w:color w:val="000000" w:themeColor="text1"/>
                      <w:szCs w:val="21"/>
                      <w:highlight w:val="none"/>
                      <w:lang w:val="en-US" w:eastAsia="zh-CN"/>
                      <w14:textFill>
                        <w14:solidFill>
                          <w14:schemeClr w14:val="tx1"/>
                        </w14:solidFill>
                      </w14:textFill>
                    </w:rPr>
                    <w:t>56</w:t>
                  </w:r>
                </w:p>
              </w:tc>
            </w:tr>
            <w:tr w14:paraId="1329E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tcBorders>
                    <w:tl2br w:val="nil"/>
                    <w:tr2bl w:val="nil"/>
                  </w:tcBorders>
                  <w:vAlign w:val="center"/>
                </w:tcPr>
                <w:p w14:paraId="223405F8">
                  <w:pPr>
                    <w:jc w:val="center"/>
                    <w:rPr>
                      <w:bCs/>
                      <w:color w:val="000000" w:themeColor="text1"/>
                      <w:szCs w:val="21"/>
                      <w:highlight w:val="none"/>
                      <w14:textFill>
                        <w14:solidFill>
                          <w14:schemeClr w14:val="tx1"/>
                        </w14:solidFill>
                      </w14:textFill>
                    </w:rPr>
                  </w:pPr>
                </w:p>
              </w:tc>
              <w:tc>
                <w:tcPr>
                  <w:tcW w:w="956" w:type="pct"/>
                  <w:vMerge w:val="continue"/>
                  <w:tcBorders>
                    <w:tl2br w:val="nil"/>
                    <w:tr2bl w:val="nil"/>
                  </w:tcBorders>
                  <w:vAlign w:val="center"/>
                </w:tcPr>
                <w:p w14:paraId="52D74F1D">
                  <w:pPr>
                    <w:jc w:val="center"/>
                    <w:rPr>
                      <w:bCs/>
                      <w:color w:val="000000" w:themeColor="text1"/>
                      <w:szCs w:val="21"/>
                      <w:highlight w:val="none"/>
                      <w14:textFill>
                        <w14:solidFill>
                          <w14:schemeClr w14:val="tx1"/>
                        </w14:solidFill>
                      </w14:textFill>
                    </w:rPr>
                  </w:pPr>
                </w:p>
              </w:tc>
              <w:tc>
                <w:tcPr>
                  <w:tcW w:w="1733" w:type="pct"/>
                  <w:gridSpan w:val="2"/>
                  <w:tcBorders>
                    <w:tl2br w:val="nil"/>
                    <w:tr2bl w:val="nil"/>
                  </w:tcBorders>
                  <w:vAlign w:val="center"/>
                </w:tcPr>
                <w:p w14:paraId="3F7600F4">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活性炭总填充量</w:t>
                  </w:r>
                  <w:r>
                    <w:rPr>
                      <w:rFonts w:hint="eastAsia"/>
                      <w:bCs/>
                      <w:color w:val="000000" w:themeColor="text1"/>
                      <w:szCs w:val="21"/>
                      <w:highlight w:val="none"/>
                      <w14:textFill>
                        <w14:solidFill>
                          <w14:schemeClr w14:val="tx1"/>
                        </w14:solidFill>
                      </w14:textFill>
                    </w:rPr>
                    <w:t>（m</w:t>
                  </w:r>
                  <w:r>
                    <w:rPr>
                      <w:rFonts w:hint="eastAsia"/>
                      <w:bCs/>
                      <w:color w:val="000000" w:themeColor="text1"/>
                      <w:szCs w:val="21"/>
                      <w:highlight w:val="none"/>
                      <w:vertAlign w:val="superscript"/>
                      <w14:textFill>
                        <w14:solidFill>
                          <w14:schemeClr w14:val="tx1"/>
                        </w14:solidFill>
                      </w14:textFill>
                    </w:rPr>
                    <w:t>3</w:t>
                  </w:r>
                  <w:r>
                    <w:rPr>
                      <w:rFonts w:hint="eastAsia"/>
                      <w:bCs/>
                      <w:color w:val="000000" w:themeColor="text1"/>
                      <w:szCs w:val="21"/>
                      <w:highlight w:val="none"/>
                      <w14:textFill>
                        <w14:solidFill>
                          <w14:schemeClr w14:val="tx1"/>
                        </w14:solidFill>
                      </w14:textFill>
                    </w:rPr>
                    <w:t>）</w:t>
                  </w:r>
                </w:p>
              </w:tc>
              <w:tc>
                <w:tcPr>
                  <w:tcW w:w="1905" w:type="pct"/>
                  <w:tcBorders>
                    <w:tl2br w:val="nil"/>
                    <w:tr2bl w:val="nil"/>
                  </w:tcBorders>
                  <w:vAlign w:val="center"/>
                </w:tcPr>
                <w:p w14:paraId="64EF3032">
                  <w:pPr>
                    <w:jc w:val="center"/>
                    <w:rPr>
                      <w:rFonts w:hint="default"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2.4948</w:t>
                  </w:r>
                </w:p>
              </w:tc>
            </w:tr>
            <w:tr w14:paraId="5D759B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tcBorders>
                    <w:tl2br w:val="nil"/>
                    <w:tr2bl w:val="nil"/>
                  </w:tcBorders>
                  <w:vAlign w:val="center"/>
                </w:tcPr>
                <w:p w14:paraId="58A22AA5">
                  <w:pPr>
                    <w:jc w:val="center"/>
                    <w:rPr>
                      <w:bCs/>
                      <w:color w:val="000000" w:themeColor="text1"/>
                      <w:szCs w:val="21"/>
                      <w:highlight w:val="none"/>
                      <w14:textFill>
                        <w14:solidFill>
                          <w14:schemeClr w14:val="tx1"/>
                        </w14:solidFill>
                      </w14:textFill>
                    </w:rPr>
                  </w:pPr>
                </w:p>
              </w:tc>
              <w:tc>
                <w:tcPr>
                  <w:tcW w:w="956" w:type="pct"/>
                  <w:vMerge w:val="continue"/>
                  <w:tcBorders>
                    <w:tl2br w:val="nil"/>
                    <w:tr2bl w:val="nil"/>
                  </w:tcBorders>
                  <w:vAlign w:val="center"/>
                </w:tcPr>
                <w:p w14:paraId="2CA3F1C9">
                  <w:pPr>
                    <w:jc w:val="center"/>
                    <w:rPr>
                      <w:bCs/>
                      <w:color w:val="000000" w:themeColor="text1"/>
                      <w:szCs w:val="21"/>
                      <w:highlight w:val="none"/>
                      <w14:textFill>
                        <w14:solidFill>
                          <w14:schemeClr w14:val="tx1"/>
                        </w14:solidFill>
                      </w14:textFill>
                    </w:rPr>
                  </w:pPr>
                </w:p>
              </w:tc>
              <w:tc>
                <w:tcPr>
                  <w:tcW w:w="1733" w:type="pct"/>
                  <w:gridSpan w:val="2"/>
                  <w:tcBorders>
                    <w:tl2br w:val="nil"/>
                    <w:tr2bl w:val="nil"/>
                  </w:tcBorders>
                  <w:vAlign w:val="center"/>
                </w:tcPr>
                <w:p w14:paraId="1D57EDC0">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活性炭总填充量（t）</w:t>
                  </w:r>
                </w:p>
              </w:tc>
              <w:tc>
                <w:tcPr>
                  <w:tcW w:w="1905" w:type="pct"/>
                  <w:tcBorders>
                    <w:tl2br w:val="nil"/>
                    <w:tr2bl w:val="nil"/>
                  </w:tcBorders>
                  <w:vAlign w:val="center"/>
                </w:tcPr>
                <w:p w14:paraId="1D69AAF1">
                  <w:pPr>
                    <w:jc w:val="center"/>
                    <w:rPr>
                      <w:rFonts w:hint="default"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1.2</w:t>
                  </w:r>
                </w:p>
              </w:tc>
            </w:tr>
            <w:tr w14:paraId="2CFC0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tcBorders>
                    <w:tl2br w:val="nil"/>
                    <w:tr2bl w:val="nil"/>
                  </w:tcBorders>
                  <w:vAlign w:val="center"/>
                </w:tcPr>
                <w:p w14:paraId="298A8382">
                  <w:pPr>
                    <w:jc w:val="center"/>
                    <w:rPr>
                      <w:bCs/>
                      <w:color w:val="000000" w:themeColor="text1"/>
                      <w:szCs w:val="21"/>
                      <w:highlight w:val="none"/>
                      <w14:textFill>
                        <w14:solidFill>
                          <w14:schemeClr w14:val="tx1"/>
                        </w14:solidFill>
                      </w14:textFill>
                    </w:rPr>
                  </w:pPr>
                </w:p>
              </w:tc>
              <w:tc>
                <w:tcPr>
                  <w:tcW w:w="956" w:type="pct"/>
                  <w:vMerge w:val="continue"/>
                  <w:tcBorders>
                    <w:tl2br w:val="nil"/>
                    <w:tr2bl w:val="nil"/>
                  </w:tcBorders>
                  <w:vAlign w:val="center"/>
                </w:tcPr>
                <w:p w14:paraId="1498949B">
                  <w:pPr>
                    <w:jc w:val="center"/>
                    <w:rPr>
                      <w:bCs/>
                      <w:color w:val="000000" w:themeColor="text1"/>
                      <w:szCs w:val="21"/>
                      <w:highlight w:val="none"/>
                      <w14:textFill>
                        <w14:solidFill>
                          <w14:schemeClr w14:val="tx1"/>
                        </w14:solidFill>
                      </w14:textFill>
                    </w:rPr>
                  </w:pPr>
                </w:p>
              </w:tc>
              <w:tc>
                <w:tcPr>
                  <w:tcW w:w="1733" w:type="pct"/>
                  <w:gridSpan w:val="2"/>
                  <w:tcBorders>
                    <w:tl2br w:val="nil"/>
                    <w:tr2bl w:val="nil"/>
                  </w:tcBorders>
                  <w:vAlign w:val="center"/>
                </w:tcPr>
                <w:p w14:paraId="334AB4CE">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停留时间（s）</w:t>
                  </w:r>
                </w:p>
              </w:tc>
              <w:tc>
                <w:tcPr>
                  <w:tcW w:w="1905" w:type="pct"/>
                  <w:tcBorders>
                    <w:tl2br w:val="nil"/>
                    <w:tr2bl w:val="nil"/>
                  </w:tcBorders>
                  <w:vAlign w:val="center"/>
                </w:tcPr>
                <w:p w14:paraId="5067B715">
                  <w:pPr>
                    <w:jc w:val="center"/>
                    <w:rPr>
                      <w:rFonts w:hint="eastAsia" w:eastAsia="宋体"/>
                      <w:bCs/>
                      <w:color w:val="000000" w:themeColor="text1"/>
                      <w:szCs w:val="21"/>
                      <w:highlight w:val="none"/>
                      <w:lang w:eastAsia="zh-CN"/>
                      <w14:textFill>
                        <w14:solidFill>
                          <w14:schemeClr w14:val="tx1"/>
                        </w14:solidFill>
                      </w14:textFill>
                    </w:rPr>
                  </w:pPr>
                  <w:r>
                    <w:rPr>
                      <w:rFonts w:hint="eastAsia"/>
                      <w:bCs/>
                      <w:color w:val="000000" w:themeColor="text1"/>
                      <w:szCs w:val="21"/>
                      <w:highlight w:val="none"/>
                      <w14:textFill>
                        <w14:solidFill>
                          <w14:schemeClr w14:val="tx1"/>
                        </w14:solidFill>
                      </w14:textFill>
                    </w:rPr>
                    <w:t>0.7</w:t>
                  </w:r>
                  <w:r>
                    <w:rPr>
                      <w:rFonts w:hint="eastAsia"/>
                      <w:bCs/>
                      <w:color w:val="000000" w:themeColor="text1"/>
                      <w:szCs w:val="21"/>
                      <w:highlight w:val="none"/>
                      <w:lang w:val="en-US" w:eastAsia="zh-CN"/>
                      <w14:textFill>
                        <w14:solidFill>
                          <w14:schemeClr w14:val="tx1"/>
                        </w14:solidFill>
                      </w14:textFill>
                    </w:rPr>
                    <w:t>5</w:t>
                  </w:r>
                </w:p>
              </w:tc>
            </w:tr>
            <w:tr w14:paraId="2F546D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tcBorders>
                    <w:tl2br w:val="nil"/>
                    <w:tr2bl w:val="nil"/>
                  </w:tcBorders>
                  <w:vAlign w:val="center"/>
                </w:tcPr>
                <w:p w14:paraId="2F084136">
                  <w:pPr>
                    <w:jc w:val="center"/>
                    <w:rPr>
                      <w:bCs/>
                      <w:color w:val="000000" w:themeColor="text1"/>
                      <w:szCs w:val="21"/>
                      <w:highlight w:val="none"/>
                      <w14:textFill>
                        <w14:solidFill>
                          <w14:schemeClr w14:val="tx1"/>
                        </w14:solidFill>
                      </w14:textFill>
                    </w:rPr>
                  </w:pPr>
                </w:p>
              </w:tc>
              <w:tc>
                <w:tcPr>
                  <w:tcW w:w="956" w:type="pct"/>
                  <w:vMerge w:val="continue"/>
                  <w:tcBorders>
                    <w:tl2br w:val="nil"/>
                    <w:tr2bl w:val="nil"/>
                  </w:tcBorders>
                  <w:vAlign w:val="center"/>
                </w:tcPr>
                <w:p w14:paraId="59C4112D">
                  <w:pPr>
                    <w:jc w:val="center"/>
                    <w:rPr>
                      <w:bCs/>
                      <w:color w:val="000000" w:themeColor="text1"/>
                      <w:szCs w:val="21"/>
                      <w:highlight w:val="none"/>
                      <w14:textFill>
                        <w14:solidFill>
                          <w14:schemeClr w14:val="tx1"/>
                        </w14:solidFill>
                      </w14:textFill>
                    </w:rPr>
                  </w:pPr>
                </w:p>
              </w:tc>
              <w:tc>
                <w:tcPr>
                  <w:tcW w:w="1733" w:type="pct"/>
                  <w:gridSpan w:val="2"/>
                  <w:tcBorders>
                    <w:tl2br w:val="nil"/>
                    <w:tr2bl w:val="nil"/>
                  </w:tcBorders>
                  <w:vAlign w:val="center"/>
                </w:tcPr>
                <w:p w14:paraId="0B6CD5C5">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活性炭设计更换周期</w:t>
                  </w:r>
                </w:p>
              </w:tc>
              <w:tc>
                <w:tcPr>
                  <w:tcW w:w="1905" w:type="pct"/>
                  <w:tcBorders>
                    <w:tl2br w:val="nil"/>
                    <w:tr2bl w:val="nil"/>
                  </w:tcBorders>
                  <w:vAlign w:val="center"/>
                </w:tcPr>
                <w:p w14:paraId="39B96955">
                  <w:pPr>
                    <w:jc w:val="center"/>
                    <w:rPr>
                      <w:bCs/>
                      <w:color w:val="000000" w:themeColor="text1"/>
                      <w:szCs w:val="2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次/年</w:t>
                  </w:r>
                </w:p>
              </w:tc>
            </w:tr>
            <w:tr w14:paraId="149951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tcBorders>
                    <w:tl2br w:val="nil"/>
                    <w:tr2bl w:val="nil"/>
                  </w:tcBorders>
                  <w:vAlign w:val="center"/>
                </w:tcPr>
                <w:p w14:paraId="5F50F570">
                  <w:pPr>
                    <w:jc w:val="center"/>
                    <w:rPr>
                      <w:bCs/>
                      <w:color w:val="000000" w:themeColor="text1"/>
                      <w:szCs w:val="21"/>
                      <w:highlight w:val="none"/>
                      <w14:textFill>
                        <w14:solidFill>
                          <w14:schemeClr w14:val="tx1"/>
                        </w14:solidFill>
                      </w14:textFill>
                    </w:rPr>
                  </w:pPr>
                </w:p>
              </w:tc>
              <w:tc>
                <w:tcPr>
                  <w:tcW w:w="956" w:type="pct"/>
                  <w:vMerge w:val="continue"/>
                  <w:tcBorders>
                    <w:tl2br w:val="nil"/>
                    <w:tr2bl w:val="nil"/>
                  </w:tcBorders>
                  <w:vAlign w:val="center"/>
                </w:tcPr>
                <w:p w14:paraId="165224E9">
                  <w:pPr>
                    <w:jc w:val="center"/>
                    <w:rPr>
                      <w:bCs/>
                      <w:color w:val="000000" w:themeColor="text1"/>
                      <w:szCs w:val="21"/>
                      <w:highlight w:val="none"/>
                      <w14:textFill>
                        <w14:solidFill>
                          <w14:schemeClr w14:val="tx1"/>
                        </w14:solidFill>
                      </w14:textFill>
                    </w:rPr>
                  </w:pPr>
                </w:p>
              </w:tc>
              <w:tc>
                <w:tcPr>
                  <w:tcW w:w="1733" w:type="pct"/>
                  <w:gridSpan w:val="2"/>
                  <w:tcBorders>
                    <w:tl2br w:val="nil"/>
                    <w:tr2bl w:val="nil"/>
                  </w:tcBorders>
                  <w:vAlign w:val="center"/>
                </w:tcPr>
                <w:p w14:paraId="30479D20">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吸附单元压力损失（kPa）</w:t>
                  </w:r>
                </w:p>
              </w:tc>
              <w:tc>
                <w:tcPr>
                  <w:tcW w:w="1905" w:type="pct"/>
                  <w:tcBorders>
                    <w:tl2br w:val="nil"/>
                    <w:tr2bl w:val="nil"/>
                  </w:tcBorders>
                  <w:vAlign w:val="center"/>
                </w:tcPr>
                <w:p w14:paraId="6A8ADAFF">
                  <w:pPr>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2.4</w:t>
                  </w:r>
                </w:p>
              </w:tc>
            </w:tr>
            <w:tr w14:paraId="4AB8F2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tcBorders>
                    <w:tl2br w:val="nil"/>
                    <w:tr2bl w:val="nil"/>
                  </w:tcBorders>
                  <w:vAlign w:val="center"/>
                </w:tcPr>
                <w:p w14:paraId="6D9B162D">
                  <w:pPr>
                    <w:jc w:val="center"/>
                    <w:rPr>
                      <w:bCs/>
                      <w:color w:val="000000" w:themeColor="text1"/>
                      <w:szCs w:val="21"/>
                      <w:highlight w:val="none"/>
                      <w14:textFill>
                        <w14:solidFill>
                          <w14:schemeClr w14:val="tx1"/>
                        </w14:solidFill>
                      </w14:textFill>
                    </w:rPr>
                  </w:pPr>
                </w:p>
              </w:tc>
              <w:tc>
                <w:tcPr>
                  <w:tcW w:w="956" w:type="pct"/>
                  <w:vMerge w:val="continue"/>
                  <w:tcBorders>
                    <w:tl2br w:val="nil"/>
                    <w:tr2bl w:val="nil"/>
                  </w:tcBorders>
                  <w:vAlign w:val="center"/>
                </w:tcPr>
                <w:p w14:paraId="64621A00">
                  <w:pPr>
                    <w:jc w:val="center"/>
                    <w:rPr>
                      <w:bCs/>
                      <w:color w:val="000000" w:themeColor="text1"/>
                      <w:szCs w:val="21"/>
                      <w:highlight w:val="none"/>
                      <w14:textFill>
                        <w14:solidFill>
                          <w14:schemeClr w14:val="tx1"/>
                        </w14:solidFill>
                      </w14:textFill>
                    </w:rPr>
                  </w:pPr>
                </w:p>
              </w:tc>
              <w:tc>
                <w:tcPr>
                  <w:tcW w:w="1733" w:type="pct"/>
                  <w:gridSpan w:val="2"/>
                  <w:tcBorders>
                    <w:tl2br w:val="nil"/>
                    <w:tr2bl w:val="nil"/>
                  </w:tcBorders>
                  <w:vAlign w:val="center"/>
                </w:tcPr>
                <w:p w14:paraId="06305385">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气体温度（℃）</w:t>
                  </w:r>
                </w:p>
              </w:tc>
              <w:tc>
                <w:tcPr>
                  <w:tcW w:w="1905" w:type="pct"/>
                  <w:tcBorders>
                    <w:tl2br w:val="nil"/>
                    <w:tr2bl w:val="nil"/>
                  </w:tcBorders>
                  <w:vAlign w:val="center"/>
                </w:tcPr>
                <w:p w14:paraId="18964BA4">
                  <w:pPr>
                    <w:jc w:val="center"/>
                    <w:rPr>
                      <w:rFonts w:hint="default"/>
                      <w:bCs/>
                      <w:color w:val="000000" w:themeColor="text1"/>
                      <w:szCs w:val="21"/>
                      <w:highlight w:val="none"/>
                      <w:lang w:val="en-US"/>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32</w:t>
                  </w:r>
                </w:p>
              </w:tc>
            </w:tr>
            <w:tr w14:paraId="37E57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tcBorders>
                    <w:tl2br w:val="nil"/>
                    <w:tr2bl w:val="nil"/>
                  </w:tcBorders>
                  <w:vAlign w:val="center"/>
                </w:tcPr>
                <w:p w14:paraId="7ACF5A9D">
                  <w:pPr>
                    <w:jc w:val="center"/>
                    <w:rPr>
                      <w:bCs/>
                      <w:color w:val="000000" w:themeColor="text1"/>
                      <w:szCs w:val="21"/>
                      <w:highlight w:val="none"/>
                      <w14:textFill>
                        <w14:solidFill>
                          <w14:schemeClr w14:val="tx1"/>
                        </w14:solidFill>
                      </w14:textFill>
                    </w:rPr>
                  </w:pPr>
                </w:p>
              </w:tc>
              <w:tc>
                <w:tcPr>
                  <w:tcW w:w="956" w:type="pct"/>
                  <w:vMerge w:val="continue"/>
                  <w:tcBorders>
                    <w:tl2br w:val="nil"/>
                    <w:tr2bl w:val="nil"/>
                  </w:tcBorders>
                  <w:vAlign w:val="center"/>
                </w:tcPr>
                <w:p w14:paraId="523CE25E">
                  <w:pPr>
                    <w:jc w:val="center"/>
                    <w:rPr>
                      <w:bCs/>
                      <w:color w:val="000000" w:themeColor="text1"/>
                      <w:szCs w:val="21"/>
                      <w:highlight w:val="none"/>
                      <w14:textFill>
                        <w14:solidFill>
                          <w14:schemeClr w14:val="tx1"/>
                        </w14:solidFill>
                      </w14:textFill>
                    </w:rPr>
                  </w:pPr>
                </w:p>
              </w:tc>
              <w:tc>
                <w:tcPr>
                  <w:tcW w:w="1733" w:type="pct"/>
                  <w:gridSpan w:val="2"/>
                  <w:tcBorders>
                    <w:tl2br w:val="nil"/>
                    <w:tr2bl w:val="nil"/>
                  </w:tcBorders>
                  <w:vAlign w:val="center"/>
                </w:tcPr>
                <w:p w14:paraId="65E90249">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气体颗粒物</w:t>
                  </w:r>
                  <w:r>
                    <w:rPr>
                      <w:rFonts w:hint="eastAsia"/>
                      <w:bCs/>
                      <w:color w:val="000000" w:themeColor="text1"/>
                      <w:szCs w:val="21"/>
                      <w:highlight w:val="none"/>
                      <w14:textFill>
                        <w14:solidFill>
                          <w14:schemeClr w14:val="tx1"/>
                        </w14:solidFill>
                      </w14:textFill>
                    </w:rPr>
                    <w:t>（mg/m</w:t>
                  </w:r>
                  <w:r>
                    <w:rPr>
                      <w:rFonts w:hint="eastAsia"/>
                      <w:bCs/>
                      <w:color w:val="000000" w:themeColor="text1"/>
                      <w:szCs w:val="21"/>
                      <w:highlight w:val="none"/>
                      <w:vertAlign w:val="superscript"/>
                      <w14:textFill>
                        <w14:solidFill>
                          <w14:schemeClr w14:val="tx1"/>
                        </w14:solidFill>
                      </w14:textFill>
                    </w:rPr>
                    <w:t>3</w:t>
                  </w:r>
                  <w:r>
                    <w:rPr>
                      <w:rFonts w:hint="eastAsia"/>
                      <w:bCs/>
                      <w:color w:val="000000" w:themeColor="text1"/>
                      <w:szCs w:val="21"/>
                      <w:highlight w:val="none"/>
                      <w14:textFill>
                        <w14:solidFill>
                          <w14:schemeClr w14:val="tx1"/>
                        </w14:solidFill>
                      </w14:textFill>
                    </w:rPr>
                    <w:t>）</w:t>
                  </w:r>
                </w:p>
              </w:tc>
              <w:tc>
                <w:tcPr>
                  <w:tcW w:w="1905" w:type="pct"/>
                  <w:tcBorders>
                    <w:tl2br w:val="nil"/>
                    <w:tr2bl w:val="nil"/>
                  </w:tcBorders>
                  <w:vAlign w:val="center"/>
                </w:tcPr>
                <w:p w14:paraId="2D90E384">
                  <w:pPr>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＜1</w:t>
                  </w:r>
                </w:p>
              </w:tc>
            </w:tr>
            <w:tr w14:paraId="65C5C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tcBorders>
                    <w:tl2br w:val="nil"/>
                    <w:tr2bl w:val="nil"/>
                  </w:tcBorders>
                  <w:vAlign w:val="center"/>
                </w:tcPr>
                <w:p w14:paraId="23324E6D">
                  <w:pPr>
                    <w:jc w:val="center"/>
                    <w:rPr>
                      <w:bCs/>
                      <w:color w:val="000000" w:themeColor="text1"/>
                      <w:szCs w:val="21"/>
                      <w:highlight w:val="none"/>
                      <w14:textFill>
                        <w14:solidFill>
                          <w14:schemeClr w14:val="tx1"/>
                        </w14:solidFill>
                      </w14:textFill>
                    </w:rPr>
                  </w:pPr>
                </w:p>
              </w:tc>
              <w:tc>
                <w:tcPr>
                  <w:tcW w:w="956" w:type="pct"/>
                  <w:vMerge w:val="continue"/>
                  <w:tcBorders>
                    <w:tl2br w:val="nil"/>
                    <w:tr2bl w:val="nil"/>
                  </w:tcBorders>
                  <w:vAlign w:val="center"/>
                </w:tcPr>
                <w:p w14:paraId="5F422790">
                  <w:pPr>
                    <w:jc w:val="center"/>
                    <w:rPr>
                      <w:bCs/>
                      <w:color w:val="000000" w:themeColor="text1"/>
                      <w:szCs w:val="21"/>
                      <w:highlight w:val="none"/>
                      <w14:textFill>
                        <w14:solidFill>
                          <w14:schemeClr w14:val="tx1"/>
                        </w14:solidFill>
                      </w14:textFill>
                    </w:rPr>
                  </w:pPr>
                </w:p>
              </w:tc>
              <w:tc>
                <w:tcPr>
                  <w:tcW w:w="427" w:type="pct"/>
                  <w:vMerge w:val="restart"/>
                  <w:tcBorders>
                    <w:tl2br w:val="nil"/>
                    <w:tr2bl w:val="nil"/>
                  </w:tcBorders>
                  <w:vAlign w:val="center"/>
                </w:tcPr>
                <w:p w14:paraId="64BCE5F7">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活性炭</w:t>
                  </w:r>
                </w:p>
              </w:tc>
              <w:tc>
                <w:tcPr>
                  <w:tcW w:w="1306" w:type="pct"/>
                  <w:tcBorders>
                    <w:tl2br w:val="nil"/>
                    <w:tr2bl w:val="nil"/>
                  </w:tcBorders>
                  <w:vAlign w:val="center"/>
                </w:tcPr>
                <w:p w14:paraId="5B1E4BEA">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类型</w:t>
                  </w:r>
                </w:p>
              </w:tc>
              <w:tc>
                <w:tcPr>
                  <w:tcW w:w="1905" w:type="pct"/>
                  <w:tcBorders>
                    <w:tl2br w:val="nil"/>
                    <w:tr2bl w:val="nil"/>
                  </w:tcBorders>
                  <w:vAlign w:val="center"/>
                </w:tcPr>
                <w:p w14:paraId="028FA1A6">
                  <w:pPr>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颗粒炭</w:t>
                  </w:r>
                </w:p>
              </w:tc>
            </w:tr>
            <w:tr w14:paraId="04D65C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tcBorders>
                    <w:tl2br w:val="nil"/>
                    <w:tr2bl w:val="nil"/>
                  </w:tcBorders>
                  <w:vAlign w:val="center"/>
                </w:tcPr>
                <w:p w14:paraId="74734BEE">
                  <w:pPr>
                    <w:jc w:val="center"/>
                    <w:rPr>
                      <w:bCs/>
                      <w:color w:val="000000" w:themeColor="text1"/>
                      <w:szCs w:val="21"/>
                      <w:highlight w:val="none"/>
                      <w14:textFill>
                        <w14:solidFill>
                          <w14:schemeClr w14:val="tx1"/>
                        </w14:solidFill>
                      </w14:textFill>
                    </w:rPr>
                  </w:pPr>
                </w:p>
              </w:tc>
              <w:tc>
                <w:tcPr>
                  <w:tcW w:w="956" w:type="pct"/>
                  <w:vMerge w:val="continue"/>
                  <w:tcBorders>
                    <w:tl2br w:val="nil"/>
                    <w:tr2bl w:val="nil"/>
                  </w:tcBorders>
                  <w:vAlign w:val="center"/>
                </w:tcPr>
                <w:p w14:paraId="180059F7">
                  <w:pPr>
                    <w:jc w:val="center"/>
                    <w:rPr>
                      <w:bCs/>
                      <w:color w:val="000000" w:themeColor="text1"/>
                      <w:szCs w:val="21"/>
                      <w:highlight w:val="none"/>
                      <w14:textFill>
                        <w14:solidFill>
                          <w14:schemeClr w14:val="tx1"/>
                        </w14:solidFill>
                      </w14:textFill>
                    </w:rPr>
                  </w:pPr>
                </w:p>
              </w:tc>
              <w:tc>
                <w:tcPr>
                  <w:tcW w:w="427" w:type="pct"/>
                  <w:vMerge w:val="continue"/>
                  <w:tcBorders>
                    <w:tl2br w:val="nil"/>
                    <w:tr2bl w:val="nil"/>
                  </w:tcBorders>
                  <w:vAlign w:val="center"/>
                </w:tcPr>
                <w:p w14:paraId="31C47658">
                  <w:pPr>
                    <w:jc w:val="center"/>
                    <w:rPr>
                      <w:bCs/>
                      <w:color w:val="000000" w:themeColor="text1"/>
                      <w:szCs w:val="21"/>
                      <w:highlight w:val="none"/>
                      <w14:textFill>
                        <w14:solidFill>
                          <w14:schemeClr w14:val="tx1"/>
                        </w14:solidFill>
                      </w14:textFill>
                    </w:rPr>
                  </w:pPr>
                </w:p>
              </w:tc>
              <w:tc>
                <w:tcPr>
                  <w:tcW w:w="1306" w:type="pct"/>
                  <w:tcBorders>
                    <w:tl2br w:val="nil"/>
                    <w:tr2bl w:val="nil"/>
                  </w:tcBorders>
                  <w:vAlign w:val="center"/>
                </w:tcPr>
                <w:p w14:paraId="0596E3E5">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碘吸附值（mg/g）</w:t>
                  </w:r>
                </w:p>
              </w:tc>
              <w:tc>
                <w:tcPr>
                  <w:tcW w:w="1905" w:type="pct"/>
                  <w:tcBorders>
                    <w:tl2br w:val="nil"/>
                    <w:tr2bl w:val="nil"/>
                  </w:tcBorders>
                  <w:vAlign w:val="center"/>
                </w:tcPr>
                <w:p w14:paraId="493B2B5D">
                  <w:pPr>
                    <w:jc w:val="center"/>
                    <w:rPr>
                      <w:bCs/>
                      <w:color w:val="000000" w:themeColor="text1"/>
                      <w:szCs w:val="21"/>
                      <w:highlight w:val="none"/>
                      <w14:textFill>
                        <w14:solidFill>
                          <w14:schemeClr w14:val="tx1"/>
                        </w14:solidFill>
                      </w14:textFill>
                    </w:rPr>
                  </w:pPr>
                  <w:r>
                    <w:rPr>
                      <w:rFonts w:hint="eastAsia" w:eastAsia="宋体"/>
                      <w:bCs/>
                      <w:color w:val="000000" w:themeColor="text1"/>
                      <w:szCs w:val="21"/>
                      <w:highlight w:val="none"/>
                      <w:lang w:eastAsia="zh-CN"/>
                      <w14:textFill>
                        <w14:solidFill>
                          <w14:schemeClr w14:val="tx1"/>
                        </w14:solidFill>
                      </w14:textFill>
                    </w:rPr>
                    <w:t>≥</w:t>
                  </w:r>
                  <w:r>
                    <w:rPr>
                      <w:bCs/>
                      <w:color w:val="000000" w:themeColor="text1"/>
                      <w:szCs w:val="21"/>
                      <w:highlight w:val="none"/>
                      <w14:textFill>
                        <w14:solidFill>
                          <w14:schemeClr w14:val="tx1"/>
                        </w14:solidFill>
                      </w14:textFill>
                    </w:rPr>
                    <w:t>800</w:t>
                  </w:r>
                </w:p>
              </w:tc>
            </w:tr>
            <w:tr w14:paraId="33B82A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14:paraId="4BD3848D">
                  <w:pPr>
                    <w:jc w:val="center"/>
                    <w:rPr>
                      <w:bCs/>
                      <w:color w:val="000000" w:themeColor="text1"/>
                      <w:szCs w:val="21"/>
                      <w:highlight w:val="none"/>
                      <w14:textFill>
                        <w14:solidFill>
                          <w14:schemeClr w14:val="tx1"/>
                        </w14:solidFill>
                      </w14:textFill>
                    </w:rPr>
                  </w:pPr>
                </w:p>
              </w:tc>
              <w:tc>
                <w:tcPr>
                  <w:tcW w:w="956" w:type="pct"/>
                  <w:vMerge w:val="continue"/>
                  <w:vAlign w:val="center"/>
                </w:tcPr>
                <w:p w14:paraId="124B2339">
                  <w:pPr>
                    <w:jc w:val="center"/>
                    <w:rPr>
                      <w:bCs/>
                      <w:color w:val="000000" w:themeColor="text1"/>
                      <w:szCs w:val="21"/>
                      <w:highlight w:val="none"/>
                      <w14:textFill>
                        <w14:solidFill>
                          <w14:schemeClr w14:val="tx1"/>
                        </w14:solidFill>
                      </w14:textFill>
                    </w:rPr>
                  </w:pPr>
                </w:p>
              </w:tc>
              <w:tc>
                <w:tcPr>
                  <w:tcW w:w="427" w:type="pct"/>
                  <w:vMerge w:val="continue"/>
                  <w:vAlign w:val="center"/>
                </w:tcPr>
                <w:p w14:paraId="1F159C65">
                  <w:pPr>
                    <w:jc w:val="center"/>
                    <w:rPr>
                      <w:bCs/>
                      <w:color w:val="000000" w:themeColor="text1"/>
                      <w:szCs w:val="21"/>
                      <w:highlight w:val="none"/>
                      <w14:textFill>
                        <w14:solidFill>
                          <w14:schemeClr w14:val="tx1"/>
                        </w14:solidFill>
                      </w14:textFill>
                    </w:rPr>
                  </w:pPr>
                </w:p>
              </w:tc>
              <w:tc>
                <w:tcPr>
                  <w:tcW w:w="2171" w:type="dxa"/>
                  <w:vAlign w:val="center"/>
                </w:tcPr>
                <w:p w14:paraId="72CBD822">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比表面积（m</w:t>
                  </w:r>
                  <w:r>
                    <w:rPr>
                      <w:bCs/>
                      <w:color w:val="000000" w:themeColor="text1"/>
                      <w:szCs w:val="21"/>
                      <w:highlight w:val="none"/>
                      <w:vertAlign w:val="superscript"/>
                      <w14:textFill>
                        <w14:solidFill>
                          <w14:schemeClr w14:val="tx1"/>
                        </w14:solidFill>
                      </w14:textFill>
                    </w:rPr>
                    <w:t>2</w:t>
                  </w:r>
                  <w:r>
                    <w:rPr>
                      <w:bCs/>
                      <w:color w:val="000000" w:themeColor="text1"/>
                      <w:szCs w:val="21"/>
                      <w:highlight w:val="none"/>
                      <w14:textFill>
                        <w14:solidFill>
                          <w14:schemeClr w14:val="tx1"/>
                        </w14:solidFill>
                      </w14:textFill>
                    </w:rPr>
                    <w:t>/g）</w:t>
                  </w:r>
                </w:p>
              </w:tc>
              <w:tc>
                <w:tcPr>
                  <w:tcW w:w="3166" w:type="dxa"/>
                  <w:vAlign w:val="center"/>
                </w:tcPr>
                <w:p w14:paraId="305558E7">
                  <w:pPr>
                    <w:jc w:val="center"/>
                    <w:rPr>
                      <w:bCs/>
                      <w:color w:val="000000" w:themeColor="text1"/>
                      <w:szCs w:val="21"/>
                      <w:highlight w:val="none"/>
                      <w14:textFill>
                        <w14:solidFill>
                          <w14:schemeClr w14:val="tx1"/>
                        </w14:solidFill>
                      </w14:textFill>
                    </w:rPr>
                  </w:pPr>
                  <w:r>
                    <w:rPr>
                      <w:rFonts w:hint="eastAsia" w:eastAsia="宋体"/>
                      <w:bCs/>
                      <w:color w:val="000000" w:themeColor="text1"/>
                      <w:szCs w:val="21"/>
                      <w:highlight w:val="none"/>
                      <w:lang w:eastAsia="zh-CN"/>
                      <w14:textFill>
                        <w14:solidFill>
                          <w14:schemeClr w14:val="tx1"/>
                        </w14:solidFill>
                      </w14:textFill>
                    </w:rPr>
                    <w:t>≥</w:t>
                  </w:r>
                  <w:r>
                    <w:rPr>
                      <w:bCs/>
                      <w:color w:val="000000" w:themeColor="text1"/>
                      <w:szCs w:val="21"/>
                      <w:highlight w:val="none"/>
                      <w14:textFill>
                        <w14:solidFill>
                          <w14:schemeClr w14:val="tx1"/>
                        </w14:solidFill>
                      </w14:textFill>
                    </w:rPr>
                    <w:t>850</w:t>
                  </w:r>
                </w:p>
              </w:tc>
            </w:tr>
          </w:tbl>
          <w:p w14:paraId="3BFB0F5B">
            <w:pPr>
              <w:adjustRightInd w:val="0"/>
              <w:snapToGrid w:val="0"/>
              <w:spacing w:line="240" w:lineRule="auto"/>
              <w:rPr>
                <w:rFonts w:hint="default" w:eastAsia="宋体"/>
                <w:b/>
                <w:bCs w:val="0"/>
                <w:color w:val="000000" w:themeColor="text1"/>
                <w:szCs w:val="21"/>
                <w:lang w:val="en-US" w:eastAsia="zh-CN"/>
                <w14:textFill>
                  <w14:solidFill>
                    <w14:schemeClr w14:val="tx1"/>
                  </w14:solidFill>
                </w14:textFill>
              </w:rPr>
            </w:pPr>
            <w:r>
              <w:rPr>
                <w:rFonts w:hint="eastAsia"/>
                <w:b/>
                <w:bCs w:val="0"/>
                <w:color w:val="000000" w:themeColor="text1"/>
                <w:szCs w:val="21"/>
                <w:lang w:val="en-US" w:eastAsia="zh-CN"/>
                <w14:textFill>
                  <w14:solidFill>
                    <w14:schemeClr w14:val="tx1"/>
                  </w14:solidFill>
                </w14:textFill>
              </w:rPr>
              <w:t>*注：该装置配备压差检测作为饱和监控措施，配备防爆措施</w:t>
            </w:r>
          </w:p>
          <w:p w14:paraId="06FE7831">
            <w:pPr>
              <w:adjustRightInd w:val="0"/>
              <w:snapToGrid w:val="0"/>
              <w:spacing w:line="420" w:lineRule="exact"/>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根据上表，本项目二级活性炭吸附装置采用柱状炭、颗粒炭，吸附层气体流速＜0.6m/s，停留时间＞0.7s，可满足《吸附法工业有机废气治理工程技术规范》（HJ2026-2013）的要求。</w:t>
            </w:r>
          </w:p>
          <w:p w14:paraId="2950F39A">
            <w:pPr>
              <w:adjustRightInd w:val="0"/>
              <w:snapToGrid w:val="0"/>
              <w:spacing w:line="420" w:lineRule="exact"/>
              <w:ind w:firstLine="422" w:firstLineChars="20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4.1.</w:t>
            </w:r>
            <w:r>
              <w:rPr>
                <w:rFonts w:hint="eastAsia"/>
                <w:b/>
                <w:color w:val="000000" w:themeColor="text1"/>
                <w:szCs w:val="21"/>
                <w14:textFill>
                  <w14:solidFill>
                    <w14:schemeClr w14:val="tx1"/>
                  </w14:solidFill>
                </w14:textFill>
              </w:rPr>
              <w:t>6</w:t>
            </w:r>
            <w:r>
              <w:rPr>
                <w:b/>
                <w:color w:val="000000" w:themeColor="text1"/>
                <w:szCs w:val="21"/>
                <w14:textFill>
                  <w14:solidFill>
                    <w14:schemeClr w14:val="tx1"/>
                  </w14:solidFill>
                </w14:textFill>
              </w:rPr>
              <w:t>卫生防护距离</w:t>
            </w:r>
          </w:p>
          <w:p w14:paraId="3DA5D78F">
            <w:pPr>
              <w:adjustRightInd w:val="0"/>
              <w:snapToGrid w:val="0"/>
              <w:spacing w:line="42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根据《大气有害物质无组织排放卫生防护距离推导技术导则》（GB/T39499-2020），各类工业企业卫生防护距离按下式计算：</w:t>
            </w:r>
          </w:p>
          <w:p w14:paraId="7189EEFB">
            <w:pPr>
              <w:spacing w:line="360" w:lineRule="auto"/>
              <w:jc w:val="center"/>
              <w:rPr>
                <w:color w:val="000000" w:themeColor="text1"/>
                <w:szCs w:val="21"/>
                <w14:textFill>
                  <w14:solidFill>
                    <w14:schemeClr w14:val="tx1"/>
                  </w14:solidFill>
                </w14:textFill>
              </w:rPr>
            </w:pPr>
            <w:r>
              <w:rPr>
                <w:color w:val="000000" w:themeColor="text1"/>
                <w:position w:val="-30"/>
                <w:szCs w:val="21"/>
                <w14:textFill>
                  <w14:solidFill>
                    <w14:schemeClr w14:val="tx1"/>
                  </w14:solidFill>
                </w14:textFill>
              </w:rPr>
              <w:object>
                <v:shape id="_x0000_i1025" o:spt="75" type="#_x0000_t75" style="height:36.75pt;width:169.5pt;" o:ole="t" filled="f" o:preferrelative="t" stroked="f" coordsize="21600,21600">
                  <v:path/>
                  <v:fill on="f" focussize="0,0"/>
                  <v:stroke on="f" joinstyle="miter"/>
                  <v:imagedata r:id="rId23" o:title=""/>
                  <o:lock v:ext="edit" aspectratio="t"/>
                  <w10:wrap type="none"/>
                  <w10:anchorlock/>
                </v:shape>
                <o:OLEObject Type="Embed" ProgID="Equation.3" ShapeID="_x0000_i1025" DrawAspect="Content" ObjectID="_1468075725" r:id="rId22">
                  <o:LockedField>false</o:LockedField>
                </o:OLEObject>
              </w:object>
            </w:r>
          </w:p>
          <w:p w14:paraId="3F343EF2">
            <w:pPr>
              <w:adjustRightInd w:val="0"/>
              <w:snapToGrid w:val="0"/>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式中：Q</w:t>
            </w:r>
            <w:r>
              <w:rPr>
                <w:bCs/>
                <w:color w:val="000000" w:themeColor="text1"/>
                <w:szCs w:val="21"/>
                <w:vertAlign w:val="subscript"/>
                <w14:textFill>
                  <w14:solidFill>
                    <w14:schemeClr w14:val="tx1"/>
                  </w14:solidFill>
                </w14:textFill>
              </w:rPr>
              <w:t>c</w:t>
            </w:r>
            <w:r>
              <w:rPr>
                <w:bCs/>
                <w:color w:val="000000" w:themeColor="text1"/>
                <w:szCs w:val="21"/>
                <w14:textFill>
                  <w14:solidFill>
                    <w14:schemeClr w14:val="tx1"/>
                  </w14:solidFill>
                </w14:textFill>
              </w:rPr>
              <w:t>—大气有害物质的无组织排放量，单位为千克每小时（kg/h）；</w:t>
            </w:r>
          </w:p>
          <w:p w14:paraId="206C8619">
            <w:pPr>
              <w:adjustRightInd w:val="0"/>
              <w:snapToGrid w:val="0"/>
              <w:spacing w:line="42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C</w:t>
            </w:r>
            <w:r>
              <w:rPr>
                <w:bCs/>
                <w:color w:val="000000" w:themeColor="text1"/>
                <w:szCs w:val="21"/>
                <w:vertAlign w:val="subscript"/>
                <w14:textFill>
                  <w14:solidFill>
                    <w14:schemeClr w14:val="tx1"/>
                  </w14:solidFill>
                </w14:textFill>
              </w:rPr>
              <w:t>m</w:t>
            </w:r>
            <w:r>
              <w:rPr>
                <w:bCs/>
                <w:color w:val="000000" w:themeColor="text1"/>
                <w:szCs w:val="21"/>
                <w14:textFill>
                  <w14:solidFill>
                    <w14:schemeClr w14:val="tx1"/>
                  </w14:solidFill>
                </w14:textFill>
              </w:rPr>
              <w:t>—大气有害物质环境空气质量的标准限值，单位为毫克每立方米（mg/m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w:t>
            </w:r>
          </w:p>
          <w:p w14:paraId="2FE2BC49">
            <w:pPr>
              <w:adjustRightInd w:val="0"/>
              <w:snapToGrid w:val="0"/>
              <w:spacing w:line="42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L—大气有害物质卫生防护距离初值，单位为米（m）；</w:t>
            </w:r>
          </w:p>
          <w:p w14:paraId="6F91710A">
            <w:pPr>
              <w:adjustRightInd w:val="0"/>
              <w:snapToGrid w:val="0"/>
              <w:spacing w:line="42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r—大气有害物质无组织排放源所在生产单元的等效半径，单位为米（m），</w:t>
            </w:r>
            <w:r>
              <w:rPr>
                <w:color w:val="000000" w:themeColor="text1"/>
                <w:spacing w:val="-6"/>
                <w:szCs w:val="21"/>
                <w14:textFill>
                  <w14:solidFill>
                    <w14:schemeClr w14:val="tx1"/>
                  </w14:solidFill>
                </w14:textFill>
              </w:rPr>
              <w:t>根据该生产单元面积S（m</w:t>
            </w:r>
            <w:r>
              <w:rPr>
                <w:color w:val="000000" w:themeColor="text1"/>
                <w:spacing w:val="-6"/>
                <w:szCs w:val="21"/>
                <w:vertAlign w:val="superscript"/>
                <w14:textFill>
                  <w14:solidFill>
                    <w14:schemeClr w14:val="tx1"/>
                  </w14:solidFill>
                </w14:textFill>
              </w:rPr>
              <w:t>2</w:t>
            </w:r>
            <w:r>
              <w:rPr>
                <w:color w:val="000000" w:themeColor="text1"/>
                <w:spacing w:val="-6"/>
                <w:szCs w:val="21"/>
                <w14:textFill>
                  <w14:solidFill>
                    <w14:schemeClr w14:val="tx1"/>
                  </w14:solidFill>
                </w14:textFill>
              </w:rPr>
              <w:t>）计算，r=（S/π）</w:t>
            </w:r>
            <w:r>
              <w:rPr>
                <w:color w:val="000000" w:themeColor="text1"/>
                <w:spacing w:val="-6"/>
                <w:szCs w:val="21"/>
                <w:vertAlign w:val="superscript"/>
                <w14:textFill>
                  <w14:solidFill>
                    <w14:schemeClr w14:val="tx1"/>
                  </w14:solidFill>
                </w14:textFill>
              </w:rPr>
              <w:t>1/2</w:t>
            </w:r>
            <w:r>
              <w:rPr>
                <w:bCs/>
                <w:color w:val="000000" w:themeColor="text1"/>
                <w:szCs w:val="21"/>
                <w14:textFill>
                  <w14:solidFill>
                    <w14:schemeClr w14:val="tx1"/>
                  </w14:solidFill>
                </w14:textFill>
              </w:rPr>
              <w:t>；</w:t>
            </w:r>
          </w:p>
          <w:p w14:paraId="2D37B0E1">
            <w:pPr>
              <w:adjustRightInd w:val="0"/>
              <w:snapToGrid w:val="0"/>
              <w:spacing w:line="42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A、B、C、D—卫生防护距离初值计算系数。</w:t>
            </w:r>
          </w:p>
          <w:p w14:paraId="04D13D5E">
            <w:pPr>
              <w:pStyle w:val="39"/>
              <w:snapToGrid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表4.1-</w:t>
            </w:r>
            <w:r>
              <w:rPr>
                <w:rFonts w:hint="eastAsia" w:ascii="Times New Roman" w:hAnsi="Times New Roman" w:cs="Times New Roman"/>
                <w:bCs/>
                <w:color w:val="000000" w:themeColor="text1"/>
                <w:sz w:val="21"/>
                <w:szCs w:val="21"/>
                <w:lang w:val="en-US" w:eastAsia="zh-CN"/>
                <w14:textFill>
                  <w14:solidFill>
                    <w14:schemeClr w14:val="tx1"/>
                  </w14:solidFill>
                </w14:textFill>
              </w:rPr>
              <w:t>9</w:t>
            </w:r>
            <w:r>
              <w:rPr>
                <w:rFonts w:hint="eastAsia" w:ascii="Times New Roman" w:hAnsi="Times New Roman" w:cs="Times New Roman"/>
                <w:bCs/>
                <w:color w:val="000000" w:themeColor="text1"/>
                <w:sz w:val="21"/>
                <w:szCs w:val="21"/>
                <w14:textFill>
                  <w14:solidFill>
                    <w14:schemeClr w14:val="tx1"/>
                  </w14:solidFill>
                </w14:textFill>
              </w:rPr>
              <w:t xml:space="preserve"> </w:t>
            </w:r>
            <w:r>
              <w:rPr>
                <w:rFonts w:ascii="Times New Roman" w:hAnsi="Times New Roman" w:cs="Times New Roman"/>
                <w:color w:val="000000" w:themeColor="text1"/>
                <w:sz w:val="21"/>
                <w:szCs w:val="21"/>
                <w14:textFill>
                  <w14:solidFill>
                    <w14:schemeClr w14:val="tx1"/>
                  </w14:solidFill>
                </w14:textFill>
              </w:rPr>
              <w:t>卫</w:t>
            </w:r>
            <w:r>
              <w:rPr>
                <w:rFonts w:ascii="Times New Roman" w:hAnsi="Times New Roman" w:cs="Times New Roman"/>
                <w:bCs/>
                <w:color w:val="000000" w:themeColor="text1"/>
                <w:sz w:val="21"/>
                <w:szCs w:val="21"/>
                <w14:textFill>
                  <w14:solidFill>
                    <w14:schemeClr w14:val="tx1"/>
                  </w14:solidFill>
                </w14:textFill>
              </w:rPr>
              <w:t>生防护距离初值计算系数</w:t>
            </w:r>
            <w:r>
              <w:rPr>
                <w:rFonts w:hint="eastAsia" w:ascii="Times New Roman" w:hAnsi="Times New Roman" w:cs="Times New Roman"/>
                <w:bCs/>
                <w:color w:val="000000" w:themeColor="text1"/>
                <w:sz w:val="21"/>
                <w:szCs w:val="21"/>
                <w14:textFill>
                  <w14:solidFill>
                    <w14:schemeClr w14:val="tx1"/>
                  </w14:solidFill>
                </w14:textFill>
              </w:rPr>
              <w:t>表</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22"/>
              <w:gridCol w:w="2814"/>
              <w:gridCol w:w="428"/>
              <w:gridCol w:w="428"/>
              <w:gridCol w:w="428"/>
              <w:gridCol w:w="429"/>
              <w:gridCol w:w="429"/>
              <w:gridCol w:w="429"/>
              <w:gridCol w:w="429"/>
              <w:gridCol w:w="429"/>
              <w:gridCol w:w="429"/>
            </w:tblGrid>
            <w:tr w14:paraId="43FBF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637" w:type="pct"/>
                  <w:vMerge w:val="restart"/>
                  <w:noWrap/>
                  <w:vAlign w:val="center"/>
                </w:tcPr>
                <w:p w14:paraId="13903FC7">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卫生防护距离初值计算系数</w:t>
                  </w:r>
                </w:p>
              </w:tc>
              <w:tc>
                <w:tcPr>
                  <w:tcW w:w="839" w:type="pct"/>
                  <w:vMerge w:val="restart"/>
                  <w:noWrap/>
                  <w:vAlign w:val="center"/>
                </w:tcPr>
                <w:p w14:paraId="24CC0D79">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工业企业所在地区近5年平均风速/（m/s）</w:t>
                  </w:r>
                </w:p>
              </w:tc>
              <w:tc>
                <w:tcPr>
                  <w:tcW w:w="3523" w:type="pct"/>
                  <w:gridSpan w:val="9"/>
                  <w:noWrap/>
                  <w:vAlign w:val="center"/>
                </w:tcPr>
                <w:p w14:paraId="047DB631">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卫生防护距离L/m</w:t>
                  </w:r>
                </w:p>
              </w:tc>
            </w:tr>
            <w:tr w14:paraId="741DA1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7" w:type="pct"/>
                  <w:vMerge w:val="continue"/>
                  <w:noWrap/>
                  <w:vAlign w:val="center"/>
                </w:tcPr>
                <w:p w14:paraId="02F999F5">
                  <w:pPr>
                    <w:pStyle w:val="39"/>
                    <w:snapToGrid w:val="0"/>
                    <w:jc w:val="center"/>
                    <w:rPr>
                      <w:rFonts w:ascii="Times New Roman" w:hAnsi="Times New Roman" w:cs="Times New Roman"/>
                      <w:bCs/>
                      <w:color w:val="000000" w:themeColor="text1"/>
                      <w:sz w:val="21"/>
                      <w:szCs w:val="21"/>
                      <w14:textFill>
                        <w14:solidFill>
                          <w14:schemeClr w14:val="tx1"/>
                        </w14:solidFill>
                      </w14:textFill>
                    </w:rPr>
                  </w:pPr>
                </w:p>
              </w:tc>
              <w:tc>
                <w:tcPr>
                  <w:tcW w:w="839" w:type="pct"/>
                  <w:vMerge w:val="continue"/>
                  <w:noWrap/>
                  <w:vAlign w:val="center"/>
                </w:tcPr>
                <w:p w14:paraId="60FE6581">
                  <w:pPr>
                    <w:pStyle w:val="39"/>
                    <w:snapToGrid w:val="0"/>
                    <w:jc w:val="center"/>
                    <w:rPr>
                      <w:rFonts w:ascii="Times New Roman" w:hAnsi="Times New Roman" w:cs="Times New Roman"/>
                      <w:bCs/>
                      <w:color w:val="000000" w:themeColor="text1"/>
                      <w:sz w:val="21"/>
                      <w:szCs w:val="21"/>
                      <w14:textFill>
                        <w14:solidFill>
                          <w14:schemeClr w14:val="tx1"/>
                        </w14:solidFill>
                      </w14:textFill>
                    </w:rPr>
                  </w:pPr>
                </w:p>
              </w:tc>
              <w:tc>
                <w:tcPr>
                  <w:tcW w:w="1172" w:type="pct"/>
                  <w:gridSpan w:val="3"/>
                  <w:noWrap/>
                  <w:vAlign w:val="center"/>
                </w:tcPr>
                <w:p w14:paraId="386EC53E">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L≤1000</w:t>
                  </w:r>
                </w:p>
              </w:tc>
              <w:tc>
                <w:tcPr>
                  <w:tcW w:w="1172" w:type="pct"/>
                  <w:gridSpan w:val="3"/>
                  <w:noWrap/>
                  <w:vAlign w:val="center"/>
                </w:tcPr>
                <w:p w14:paraId="69FEE051">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1000＜L≤2000</w:t>
                  </w:r>
                </w:p>
              </w:tc>
              <w:tc>
                <w:tcPr>
                  <w:tcW w:w="1177" w:type="pct"/>
                  <w:gridSpan w:val="3"/>
                  <w:noWrap/>
                  <w:vAlign w:val="center"/>
                </w:tcPr>
                <w:p w14:paraId="3FF3727C">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L＞2000</w:t>
                  </w:r>
                </w:p>
              </w:tc>
            </w:tr>
            <w:tr w14:paraId="01D736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7" w:type="pct"/>
                  <w:vMerge w:val="continue"/>
                  <w:noWrap/>
                  <w:vAlign w:val="center"/>
                </w:tcPr>
                <w:p w14:paraId="736D1CA9">
                  <w:pPr>
                    <w:pStyle w:val="39"/>
                    <w:snapToGrid w:val="0"/>
                    <w:jc w:val="center"/>
                    <w:rPr>
                      <w:rFonts w:ascii="Times New Roman" w:hAnsi="Times New Roman" w:cs="Times New Roman"/>
                      <w:bCs/>
                      <w:color w:val="000000" w:themeColor="text1"/>
                      <w:sz w:val="21"/>
                      <w:szCs w:val="21"/>
                      <w14:textFill>
                        <w14:solidFill>
                          <w14:schemeClr w14:val="tx1"/>
                        </w14:solidFill>
                      </w14:textFill>
                    </w:rPr>
                  </w:pPr>
                </w:p>
              </w:tc>
              <w:tc>
                <w:tcPr>
                  <w:tcW w:w="839" w:type="pct"/>
                  <w:vMerge w:val="continue"/>
                  <w:noWrap/>
                  <w:vAlign w:val="center"/>
                </w:tcPr>
                <w:p w14:paraId="3D5E39F3">
                  <w:pPr>
                    <w:pStyle w:val="39"/>
                    <w:snapToGrid w:val="0"/>
                    <w:jc w:val="center"/>
                    <w:rPr>
                      <w:rFonts w:ascii="Times New Roman" w:hAnsi="Times New Roman" w:cs="Times New Roman"/>
                      <w:bCs/>
                      <w:color w:val="000000" w:themeColor="text1"/>
                      <w:sz w:val="21"/>
                      <w:szCs w:val="21"/>
                      <w14:textFill>
                        <w14:solidFill>
                          <w14:schemeClr w14:val="tx1"/>
                        </w14:solidFill>
                      </w14:textFill>
                    </w:rPr>
                  </w:pPr>
                </w:p>
              </w:tc>
              <w:tc>
                <w:tcPr>
                  <w:tcW w:w="3523" w:type="pct"/>
                  <w:gridSpan w:val="9"/>
                  <w:noWrap/>
                  <w:vAlign w:val="center"/>
                </w:tcPr>
                <w:p w14:paraId="7AE17AC9">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工业企业大气污染源构成类别</w:t>
                  </w:r>
                </w:p>
              </w:tc>
            </w:tr>
            <w:tr w14:paraId="3F8DA1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7" w:type="pct"/>
                  <w:vMerge w:val="continue"/>
                  <w:noWrap/>
                  <w:vAlign w:val="center"/>
                </w:tcPr>
                <w:p w14:paraId="0987F08C">
                  <w:pPr>
                    <w:pStyle w:val="39"/>
                    <w:snapToGrid w:val="0"/>
                    <w:jc w:val="center"/>
                    <w:rPr>
                      <w:rFonts w:ascii="Times New Roman" w:hAnsi="Times New Roman" w:cs="Times New Roman"/>
                      <w:bCs/>
                      <w:color w:val="000000" w:themeColor="text1"/>
                      <w:sz w:val="21"/>
                      <w:szCs w:val="21"/>
                      <w14:textFill>
                        <w14:solidFill>
                          <w14:schemeClr w14:val="tx1"/>
                        </w14:solidFill>
                      </w14:textFill>
                    </w:rPr>
                  </w:pPr>
                </w:p>
              </w:tc>
              <w:tc>
                <w:tcPr>
                  <w:tcW w:w="839" w:type="pct"/>
                  <w:vMerge w:val="continue"/>
                  <w:noWrap/>
                  <w:vAlign w:val="center"/>
                </w:tcPr>
                <w:p w14:paraId="6476D4B0">
                  <w:pPr>
                    <w:pStyle w:val="39"/>
                    <w:snapToGrid w:val="0"/>
                    <w:jc w:val="center"/>
                    <w:rPr>
                      <w:rFonts w:ascii="Times New Roman" w:hAnsi="Times New Roman" w:cs="Times New Roman"/>
                      <w:bCs/>
                      <w:color w:val="000000" w:themeColor="text1"/>
                      <w:sz w:val="21"/>
                      <w:szCs w:val="21"/>
                      <w14:textFill>
                        <w14:solidFill>
                          <w14:schemeClr w14:val="tx1"/>
                        </w14:solidFill>
                      </w14:textFill>
                    </w:rPr>
                  </w:pPr>
                </w:p>
              </w:tc>
              <w:tc>
                <w:tcPr>
                  <w:tcW w:w="390" w:type="pct"/>
                  <w:noWrap/>
                  <w:vAlign w:val="center"/>
                </w:tcPr>
                <w:p w14:paraId="16527CE1">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Ⅰ</w:t>
                  </w:r>
                </w:p>
              </w:tc>
              <w:tc>
                <w:tcPr>
                  <w:tcW w:w="390" w:type="pct"/>
                  <w:noWrap/>
                  <w:vAlign w:val="center"/>
                </w:tcPr>
                <w:p w14:paraId="4F131595">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Ⅱ</w:t>
                  </w:r>
                </w:p>
              </w:tc>
              <w:tc>
                <w:tcPr>
                  <w:tcW w:w="391" w:type="pct"/>
                  <w:noWrap/>
                  <w:vAlign w:val="center"/>
                </w:tcPr>
                <w:p w14:paraId="5CAB09C4">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Ⅲ</w:t>
                  </w:r>
                </w:p>
              </w:tc>
              <w:tc>
                <w:tcPr>
                  <w:tcW w:w="390" w:type="pct"/>
                  <w:noWrap/>
                  <w:vAlign w:val="center"/>
                </w:tcPr>
                <w:p w14:paraId="328DEEA7">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Ⅰ</w:t>
                  </w:r>
                </w:p>
              </w:tc>
              <w:tc>
                <w:tcPr>
                  <w:tcW w:w="390" w:type="pct"/>
                  <w:noWrap/>
                  <w:vAlign w:val="center"/>
                </w:tcPr>
                <w:p w14:paraId="0DDE07B7">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Ⅱ</w:t>
                  </w:r>
                </w:p>
              </w:tc>
              <w:tc>
                <w:tcPr>
                  <w:tcW w:w="391" w:type="pct"/>
                  <w:noWrap/>
                  <w:vAlign w:val="center"/>
                </w:tcPr>
                <w:p w14:paraId="469DD0E4">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Ⅲ</w:t>
                  </w:r>
                </w:p>
              </w:tc>
              <w:tc>
                <w:tcPr>
                  <w:tcW w:w="390" w:type="pct"/>
                  <w:noWrap/>
                  <w:vAlign w:val="center"/>
                </w:tcPr>
                <w:p w14:paraId="1A44FEBA">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Ⅰ</w:t>
                  </w:r>
                </w:p>
              </w:tc>
              <w:tc>
                <w:tcPr>
                  <w:tcW w:w="390" w:type="pct"/>
                  <w:noWrap/>
                  <w:vAlign w:val="center"/>
                </w:tcPr>
                <w:p w14:paraId="5D4E15DD">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Ⅱ</w:t>
                  </w:r>
                </w:p>
              </w:tc>
              <w:tc>
                <w:tcPr>
                  <w:tcW w:w="397" w:type="pct"/>
                  <w:noWrap/>
                  <w:vAlign w:val="center"/>
                </w:tcPr>
                <w:p w14:paraId="69B0E170">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Ⅲ</w:t>
                  </w:r>
                </w:p>
              </w:tc>
            </w:tr>
            <w:tr w14:paraId="3637C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7" w:type="pct"/>
                  <w:vMerge w:val="restart"/>
                  <w:noWrap/>
                  <w:vAlign w:val="center"/>
                </w:tcPr>
                <w:p w14:paraId="59BC377E">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A</w:t>
                  </w:r>
                </w:p>
              </w:tc>
              <w:tc>
                <w:tcPr>
                  <w:tcW w:w="839" w:type="pct"/>
                  <w:noWrap/>
                  <w:vAlign w:val="center"/>
                </w:tcPr>
                <w:p w14:paraId="575FA4D5">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&lt;2</w:t>
                  </w:r>
                </w:p>
              </w:tc>
              <w:tc>
                <w:tcPr>
                  <w:tcW w:w="390" w:type="pct"/>
                  <w:noWrap/>
                  <w:vAlign w:val="center"/>
                </w:tcPr>
                <w:p w14:paraId="40DA275A">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400</w:t>
                  </w:r>
                </w:p>
              </w:tc>
              <w:tc>
                <w:tcPr>
                  <w:tcW w:w="390" w:type="pct"/>
                  <w:noWrap/>
                  <w:vAlign w:val="center"/>
                </w:tcPr>
                <w:p w14:paraId="3DDAF1A8">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400</w:t>
                  </w:r>
                </w:p>
              </w:tc>
              <w:tc>
                <w:tcPr>
                  <w:tcW w:w="391" w:type="pct"/>
                  <w:noWrap/>
                  <w:vAlign w:val="center"/>
                </w:tcPr>
                <w:p w14:paraId="15B78237">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400</w:t>
                  </w:r>
                </w:p>
              </w:tc>
              <w:tc>
                <w:tcPr>
                  <w:tcW w:w="390" w:type="pct"/>
                  <w:noWrap/>
                  <w:vAlign w:val="center"/>
                </w:tcPr>
                <w:p w14:paraId="751F3974">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400</w:t>
                  </w:r>
                </w:p>
              </w:tc>
              <w:tc>
                <w:tcPr>
                  <w:tcW w:w="390" w:type="pct"/>
                  <w:noWrap/>
                  <w:vAlign w:val="center"/>
                </w:tcPr>
                <w:p w14:paraId="0E8D2FF8">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400</w:t>
                  </w:r>
                </w:p>
              </w:tc>
              <w:tc>
                <w:tcPr>
                  <w:tcW w:w="391" w:type="pct"/>
                  <w:noWrap/>
                  <w:vAlign w:val="center"/>
                </w:tcPr>
                <w:p w14:paraId="5FA7A9D7">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400</w:t>
                  </w:r>
                </w:p>
              </w:tc>
              <w:tc>
                <w:tcPr>
                  <w:tcW w:w="390" w:type="pct"/>
                  <w:noWrap/>
                  <w:vAlign w:val="center"/>
                </w:tcPr>
                <w:p w14:paraId="68FB09E1">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80</w:t>
                  </w:r>
                </w:p>
              </w:tc>
              <w:tc>
                <w:tcPr>
                  <w:tcW w:w="390" w:type="pct"/>
                  <w:noWrap/>
                  <w:vAlign w:val="center"/>
                </w:tcPr>
                <w:p w14:paraId="34B7F458">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80</w:t>
                  </w:r>
                </w:p>
              </w:tc>
              <w:tc>
                <w:tcPr>
                  <w:tcW w:w="397" w:type="pct"/>
                  <w:noWrap/>
                  <w:vAlign w:val="center"/>
                </w:tcPr>
                <w:p w14:paraId="4C5821BB">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80</w:t>
                  </w:r>
                </w:p>
              </w:tc>
            </w:tr>
            <w:tr w14:paraId="742A41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7" w:type="pct"/>
                  <w:vMerge w:val="continue"/>
                  <w:noWrap/>
                  <w:vAlign w:val="center"/>
                </w:tcPr>
                <w:p w14:paraId="19655909">
                  <w:pPr>
                    <w:pStyle w:val="39"/>
                    <w:snapToGrid w:val="0"/>
                    <w:jc w:val="center"/>
                    <w:rPr>
                      <w:rFonts w:ascii="Times New Roman" w:hAnsi="Times New Roman" w:cs="Times New Roman"/>
                      <w:bCs/>
                      <w:color w:val="000000" w:themeColor="text1"/>
                      <w:sz w:val="21"/>
                      <w:szCs w:val="21"/>
                      <w14:textFill>
                        <w14:solidFill>
                          <w14:schemeClr w14:val="tx1"/>
                        </w14:solidFill>
                      </w14:textFill>
                    </w:rPr>
                  </w:pPr>
                </w:p>
              </w:tc>
              <w:tc>
                <w:tcPr>
                  <w:tcW w:w="839" w:type="pct"/>
                  <w:noWrap/>
                  <w:vAlign w:val="center"/>
                </w:tcPr>
                <w:p w14:paraId="674B8DBD">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2-4</w:t>
                  </w:r>
                </w:p>
              </w:tc>
              <w:tc>
                <w:tcPr>
                  <w:tcW w:w="390" w:type="pct"/>
                  <w:noWrap/>
                  <w:vAlign w:val="center"/>
                </w:tcPr>
                <w:p w14:paraId="685A69B9">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700</w:t>
                  </w:r>
                </w:p>
              </w:tc>
              <w:tc>
                <w:tcPr>
                  <w:tcW w:w="390" w:type="pct"/>
                  <w:noWrap/>
                  <w:vAlign w:val="center"/>
                </w:tcPr>
                <w:p w14:paraId="03C4C89F">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470</w:t>
                  </w:r>
                </w:p>
              </w:tc>
              <w:tc>
                <w:tcPr>
                  <w:tcW w:w="391" w:type="pct"/>
                  <w:noWrap/>
                  <w:vAlign w:val="center"/>
                </w:tcPr>
                <w:p w14:paraId="2B631D19">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350</w:t>
                  </w:r>
                </w:p>
              </w:tc>
              <w:tc>
                <w:tcPr>
                  <w:tcW w:w="390" w:type="pct"/>
                  <w:noWrap/>
                  <w:vAlign w:val="center"/>
                </w:tcPr>
                <w:p w14:paraId="10DACE33">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700</w:t>
                  </w:r>
                </w:p>
              </w:tc>
              <w:tc>
                <w:tcPr>
                  <w:tcW w:w="390" w:type="pct"/>
                  <w:noWrap/>
                  <w:vAlign w:val="center"/>
                </w:tcPr>
                <w:p w14:paraId="1819D3E6">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470</w:t>
                  </w:r>
                </w:p>
              </w:tc>
              <w:tc>
                <w:tcPr>
                  <w:tcW w:w="391" w:type="pct"/>
                  <w:noWrap/>
                  <w:vAlign w:val="center"/>
                </w:tcPr>
                <w:p w14:paraId="54FA57DA">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350</w:t>
                  </w:r>
                </w:p>
              </w:tc>
              <w:tc>
                <w:tcPr>
                  <w:tcW w:w="390" w:type="pct"/>
                  <w:noWrap/>
                  <w:vAlign w:val="center"/>
                </w:tcPr>
                <w:p w14:paraId="2D182553">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380</w:t>
                  </w:r>
                </w:p>
              </w:tc>
              <w:tc>
                <w:tcPr>
                  <w:tcW w:w="390" w:type="pct"/>
                  <w:noWrap/>
                  <w:vAlign w:val="center"/>
                </w:tcPr>
                <w:p w14:paraId="3B787493">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250</w:t>
                  </w:r>
                </w:p>
              </w:tc>
              <w:tc>
                <w:tcPr>
                  <w:tcW w:w="397" w:type="pct"/>
                  <w:noWrap/>
                  <w:vAlign w:val="center"/>
                </w:tcPr>
                <w:p w14:paraId="011FEE5E">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190</w:t>
                  </w:r>
                </w:p>
              </w:tc>
            </w:tr>
            <w:tr w14:paraId="620CF3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7" w:type="pct"/>
                  <w:vMerge w:val="continue"/>
                  <w:noWrap/>
                  <w:vAlign w:val="center"/>
                </w:tcPr>
                <w:p w14:paraId="08DA0E9C">
                  <w:pPr>
                    <w:pStyle w:val="39"/>
                    <w:snapToGrid w:val="0"/>
                    <w:jc w:val="center"/>
                    <w:rPr>
                      <w:rFonts w:ascii="Times New Roman" w:hAnsi="Times New Roman" w:cs="Times New Roman"/>
                      <w:bCs/>
                      <w:color w:val="000000" w:themeColor="text1"/>
                      <w:sz w:val="21"/>
                      <w:szCs w:val="21"/>
                      <w14:textFill>
                        <w14:solidFill>
                          <w14:schemeClr w14:val="tx1"/>
                        </w14:solidFill>
                      </w14:textFill>
                    </w:rPr>
                  </w:pPr>
                </w:p>
              </w:tc>
              <w:tc>
                <w:tcPr>
                  <w:tcW w:w="839" w:type="pct"/>
                  <w:noWrap/>
                  <w:vAlign w:val="center"/>
                </w:tcPr>
                <w:p w14:paraId="25A6594A">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&gt;4</w:t>
                  </w:r>
                </w:p>
              </w:tc>
              <w:tc>
                <w:tcPr>
                  <w:tcW w:w="390" w:type="pct"/>
                  <w:noWrap/>
                  <w:vAlign w:val="center"/>
                </w:tcPr>
                <w:p w14:paraId="717189CD">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530</w:t>
                  </w:r>
                </w:p>
              </w:tc>
              <w:tc>
                <w:tcPr>
                  <w:tcW w:w="390" w:type="pct"/>
                  <w:noWrap/>
                  <w:vAlign w:val="center"/>
                </w:tcPr>
                <w:p w14:paraId="42409ACA">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350</w:t>
                  </w:r>
                </w:p>
              </w:tc>
              <w:tc>
                <w:tcPr>
                  <w:tcW w:w="391" w:type="pct"/>
                  <w:noWrap/>
                  <w:vAlign w:val="center"/>
                </w:tcPr>
                <w:p w14:paraId="2D108FA8">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260</w:t>
                  </w:r>
                </w:p>
              </w:tc>
              <w:tc>
                <w:tcPr>
                  <w:tcW w:w="390" w:type="pct"/>
                  <w:noWrap/>
                  <w:vAlign w:val="center"/>
                </w:tcPr>
                <w:p w14:paraId="1777D6AA">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530</w:t>
                  </w:r>
                </w:p>
              </w:tc>
              <w:tc>
                <w:tcPr>
                  <w:tcW w:w="390" w:type="pct"/>
                  <w:noWrap/>
                  <w:vAlign w:val="center"/>
                </w:tcPr>
                <w:p w14:paraId="6A7199B8">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350</w:t>
                  </w:r>
                </w:p>
              </w:tc>
              <w:tc>
                <w:tcPr>
                  <w:tcW w:w="391" w:type="pct"/>
                  <w:noWrap/>
                  <w:vAlign w:val="center"/>
                </w:tcPr>
                <w:p w14:paraId="784F794C">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260</w:t>
                  </w:r>
                </w:p>
              </w:tc>
              <w:tc>
                <w:tcPr>
                  <w:tcW w:w="390" w:type="pct"/>
                  <w:noWrap/>
                  <w:vAlign w:val="center"/>
                </w:tcPr>
                <w:p w14:paraId="415BF5D4">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290</w:t>
                  </w:r>
                </w:p>
              </w:tc>
              <w:tc>
                <w:tcPr>
                  <w:tcW w:w="390" w:type="pct"/>
                  <w:noWrap/>
                  <w:vAlign w:val="center"/>
                </w:tcPr>
                <w:p w14:paraId="78E43B92">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190</w:t>
                  </w:r>
                </w:p>
              </w:tc>
              <w:tc>
                <w:tcPr>
                  <w:tcW w:w="397" w:type="pct"/>
                  <w:noWrap/>
                  <w:vAlign w:val="center"/>
                </w:tcPr>
                <w:p w14:paraId="34546D2E">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110</w:t>
                  </w:r>
                </w:p>
              </w:tc>
            </w:tr>
            <w:tr w14:paraId="774826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7" w:type="pct"/>
                  <w:vMerge w:val="restart"/>
                  <w:noWrap/>
                  <w:vAlign w:val="center"/>
                </w:tcPr>
                <w:p w14:paraId="1B8E3442">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B</w:t>
                  </w:r>
                </w:p>
              </w:tc>
              <w:tc>
                <w:tcPr>
                  <w:tcW w:w="839" w:type="pct"/>
                  <w:noWrap/>
                  <w:vAlign w:val="center"/>
                </w:tcPr>
                <w:p w14:paraId="0796B9BB">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&lt;2</w:t>
                  </w:r>
                </w:p>
              </w:tc>
              <w:tc>
                <w:tcPr>
                  <w:tcW w:w="1172" w:type="pct"/>
                  <w:gridSpan w:val="3"/>
                  <w:noWrap/>
                  <w:vAlign w:val="center"/>
                </w:tcPr>
                <w:p w14:paraId="1FA7224F">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0.01</w:t>
                  </w:r>
                </w:p>
              </w:tc>
              <w:tc>
                <w:tcPr>
                  <w:tcW w:w="1172" w:type="pct"/>
                  <w:gridSpan w:val="3"/>
                  <w:noWrap/>
                  <w:vAlign w:val="center"/>
                </w:tcPr>
                <w:p w14:paraId="1BF45F6B">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0.015</w:t>
                  </w:r>
                </w:p>
              </w:tc>
              <w:tc>
                <w:tcPr>
                  <w:tcW w:w="1177" w:type="pct"/>
                  <w:gridSpan w:val="3"/>
                  <w:noWrap/>
                  <w:vAlign w:val="center"/>
                </w:tcPr>
                <w:p w14:paraId="32AFD4A0">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0.015</w:t>
                  </w:r>
                </w:p>
              </w:tc>
            </w:tr>
            <w:tr w14:paraId="2BF25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7" w:type="pct"/>
                  <w:vMerge w:val="continue"/>
                  <w:noWrap/>
                  <w:vAlign w:val="center"/>
                </w:tcPr>
                <w:p w14:paraId="5CFA6334">
                  <w:pPr>
                    <w:pStyle w:val="39"/>
                    <w:snapToGrid w:val="0"/>
                    <w:jc w:val="center"/>
                    <w:rPr>
                      <w:rFonts w:ascii="Times New Roman" w:hAnsi="Times New Roman" w:cs="Times New Roman"/>
                      <w:bCs/>
                      <w:color w:val="000000" w:themeColor="text1"/>
                      <w:sz w:val="21"/>
                      <w:szCs w:val="21"/>
                      <w14:textFill>
                        <w14:solidFill>
                          <w14:schemeClr w14:val="tx1"/>
                        </w14:solidFill>
                      </w14:textFill>
                    </w:rPr>
                  </w:pPr>
                </w:p>
              </w:tc>
              <w:tc>
                <w:tcPr>
                  <w:tcW w:w="839" w:type="pct"/>
                  <w:noWrap/>
                  <w:vAlign w:val="center"/>
                </w:tcPr>
                <w:p w14:paraId="6D626F99">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&gt;2</w:t>
                  </w:r>
                </w:p>
              </w:tc>
              <w:tc>
                <w:tcPr>
                  <w:tcW w:w="1172" w:type="pct"/>
                  <w:gridSpan w:val="3"/>
                  <w:noWrap/>
                  <w:vAlign w:val="center"/>
                </w:tcPr>
                <w:p w14:paraId="589268A6">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0.021</w:t>
                  </w:r>
                </w:p>
              </w:tc>
              <w:tc>
                <w:tcPr>
                  <w:tcW w:w="1172" w:type="pct"/>
                  <w:gridSpan w:val="3"/>
                  <w:noWrap/>
                  <w:vAlign w:val="center"/>
                </w:tcPr>
                <w:p w14:paraId="6E75EFFB">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0.036</w:t>
                  </w:r>
                </w:p>
              </w:tc>
              <w:tc>
                <w:tcPr>
                  <w:tcW w:w="1177" w:type="pct"/>
                  <w:gridSpan w:val="3"/>
                  <w:noWrap/>
                  <w:vAlign w:val="center"/>
                </w:tcPr>
                <w:p w14:paraId="7BC4A14D">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0.036</w:t>
                  </w:r>
                </w:p>
              </w:tc>
            </w:tr>
            <w:tr w14:paraId="17E5F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7" w:type="pct"/>
                  <w:vMerge w:val="restart"/>
                  <w:noWrap/>
                  <w:vAlign w:val="center"/>
                </w:tcPr>
                <w:p w14:paraId="23BD9482">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C</w:t>
                  </w:r>
                </w:p>
              </w:tc>
              <w:tc>
                <w:tcPr>
                  <w:tcW w:w="839" w:type="pct"/>
                  <w:noWrap/>
                  <w:vAlign w:val="center"/>
                </w:tcPr>
                <w:p w14:paraId="118C3266">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&lt;2</w:t>
                  </w:r>
                </w:p>
              </w:tc>
              <w:tc>
                <w:tcPr>
                  <w:tcW w:w="1172" w:type="pct"/>
                  <w:gridSpan w:val="3"/>
                  <w:noWrap/>
                  <w:vAlign w:val="center"/>
                </w:tcPr>
                <w:p w14:paraId="25C7E9A3">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1.85</w:t>
                  </w:r>
                </w:p>
              </w:tc>
              <w:tc>
                <w:tcPr>
                  <w:tcW w:w="1172" w:type="pct"/>
                  <w:gridSpan w:val="3"/>
                  <w:noWrap/>
                  <w:vAlign w:val="center"/>
                </w:tcPr>
                <w:p w14:paraId="011F116D">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1.79</w:t>
                  </w:r>
                </w:p>
              </w:tc>
              <w:tc>
                <w:tcPr>
                  <w:tcW w:w="1177" w:type="pct"/>
                  <w:gridSpan w:val="3"/>
                  <w:noWrap/>
                  <w:vAlign w:val="center"/>
                </w:tcPr>
                <w:p w14:paraId="20D40319">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1.79</w:t>
                  </w:r>
                </w:p>
              </w:tc>
            </w:tr>
            <w:tr w14:paraId="637F90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7" w:type="pct"/>
                  <w:vMerge w:val="continue"/>
                  <w:noWrap/>
                  <w:vAlign w:val="center"/>
                </w:tcPr>
                <w:p w14:paraId="06A79988">
                  <w:pPr>
                    <w:pStyle w:val="39"/>
                    <w:snapToGrid w:val="0"/>
                    <w:jc w:val="center"/>
                    <w:rPr>
                      <w:rFonts w:ascii="Times New Roman" w:hAnsi="Times New Roman" w:cs="Times New Roman"/>
                      <w:bCs/>
                      <w:color w:val="000000" w:themeColor="text1"/>
                      <w:sz w:val="21"/>
                      <w:szCs w:val="21"/>
                      <w14:textFill>
                        <w14:solidFill>
                          <w14:schemeClr w14:val="tx1"/>
                        </w14:solidFill>
                      </w14:textFill>
                    </w:rPr>
                  </w:pPr>
                </w:p>
              </w:tc>
              <w:tc>
                <w:tcPr>
                  <w:tcW w:w="839" w:type="pct"/>
                  <w:noWrap/>
                  <w:vAlign w:val="center"/>
                </w:tcPr>
                <w:p w14:paraId="0BE1EC50">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&gt;2</w:t>
                  </w:r>
                </w:p>
              </w:tc>
              <w:tc>
                <w:tcPr>
                  <w:tcW w:w="1172" w:type="pct"/>
                  <w:gridSpan w:val="3"/>
                  <w:noWrap/>
                  <w:vAlign w:val="center"/>
                </w:tcPr>
                <w:p w14:paraId="0D2BB500">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1.85</w:t>
                  </w:r>
                </w:p>
              </w:tc>
              <w:tc>
                <w:tcPr>
                  <w:tcW w:w="1172" w:type="pct"/>
                  <w:gridSpan w:val="3"/>
                  <w:noWrap/>
                  <w:vAlign w:val="center"/>
                </w:tcPr>
                <w:p w14:paraId="2333E3AC">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1.77</w:t>
                  </w:r>
                </w:p>
              </w:tc>
              <w:tc>
                <w:tcPr>
                  <w:tcW w:w="1177" w:type="pct"/>
                  <w:gridSpan w:val="3"/>
                  <w:noWrap/>
                  <w:vAlign w:val="center"/>
                </w:tcPr>
                <w:p w14:paraId="4BFCAB42">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1.77</w:t>
                  </w:r>
                </w:p>
              </w:tc>
            </w:tr>
            <w:tr w14:paraId="29619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7" w:type="pct"/>
                  <w:vMerge w:val="restart"/>
                  <w:noWrap/>
                  <w:vAlign w:val="center"/>
                </w:tcPr>
                <w:p w14:paraId="6E9D08E8">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D</w:t>
                  </w:r>
                </w:p>
              </w:tc>
              <w:tc>
                <w:tcPr>
                  <w:tcW w:w="839" w:type="pct"/>
                  <w:noWrap/>
                  <w:vAlign w:val="center"/>
                </w:tcPr>
                <w:p w14:paraId="3A4EE08B">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&lt;2</w:t>
                  </w:r>
                </w:p>
              </w:tc>
              <w:tc>
                <w:tcPr>
                  <w:tcW w:w="1172" w:type="pct"/>
                  <w:gridSpan w:val="3"/>
                  <w:noWrap/>
                  <w:vAlign w:val="center"/>
                </w:tcPr>
                <w:p w14:paraId="316636B4">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0.78</w:t>
                  </w:r>
                </w:p>
              </w:tc>
              <w:tc>
                <w:tcPr>
                  <w:tcW w:w="1172" w:type="pct"/>
                  <w:gridSpan w:val="3"/>
                  <w:noWrap/>
                  <w:vAlign w:val="center"/>
                </w:tcPr>
                <w:p w14:paraId="2526E005">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0.78</w:t>
                  </w:r>
                </w:p>
              </w:tc>
              <w:tc>
                <w:tcPr>
                  <w:tcW w:w="1177" w:type="pct"/>
                  <w:gridSpan w:val="3"/>
                  <w:noWrap/>
                  <w:vAlign w:val="center"/>
                </w:tcPr>
                <w:p w14:paraId="7F563E37">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0.57</w:t>
                  </w:r>
                </w:p>
              </w:tc>
            </w:tr>
            <w:tr w14:paraId="48144B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7" w:type="pct"/>
                  <w:vMerge w:val="continue"/>
                  <w:noWrap/>
                  <w:vAlign w:val="center"/>
                </w:tcPr>
                <w:p w14:paraId="080C2829">
                  <w:pPr>
                    <w:pStyle w:val="39"/>
                    <w:snapToGrid w:val="0"/>
                    <w:jc w:val="center"/>
                    <w:rPr>
                      <w:rFonts w:ascii="Times New Roman" w:hAnsi="Times New Roman" w:cs="Times New Roman"/>
                      <w:bCs/>
                      <w:color w:val="000000" w:themeColor="text1"/>
                      <w:sz w:val="21"/>
                      <w:szCs w:val="21"/>
                      <w14:textFill>
                        <w14:solidFill>
                          <w14:schemeClr w14:val="tx1"/>
                        </w14:solidFill>
                      </w14:textFill>
                    </w:rPr>
                  </w:pPr>
                </w:p>
              </w:tc>
              <w:tc>
                <w:tcPr>
                  <w:tcW w:w="839" w:type="pct"/>
                  <w:noWrap/>
                  <w:vAlign w:val="center"/>
                </w:tcPr>
                <w:p w14:paraId="45AD5BF1">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&gt;2</w:t>
                  </w:r>
                </w:p>
              </w:tc>
              <w:tc>
                <w:tcPr>
                  <w:tcW w:w="1172" w:type="pct"/>
                  <w:gridSpan w:val="3"/>
                  <w:noWrap/>
                  <w:vAlign w:val="center"/>
                </w:tcPr>
                <w:p w14:paraId="619A59C3">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0.84</w:t>
                  </w:r>
                </w:p>
              </w:tc>
              <w:tc>
                <w:tcPr>
                  <w:tcW w:w="1172" w:type="pct"/>
                  <w:gridSpan w:val="3"/>
                  <w:noWrap/>
                  <w:vAlign w:val="center"/>
                </w:tcPr>
                <w:p w14:paraId="06C2D392">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0.84</w:t>
                  </w:r>
                </w:p>
              </w:tc>
              <w:tc>
                <w:tcPr>
                  <w:tcW w:w="1177" w:type="pct"/>
                  <w:gridSpan w:val="3"/>
                  <w:noWrap/>
                  <w:vAlign w:val="center"/>
                </w:tcPr>
                <w:p w14:paraId="00455F93">
                  <w:pPr>
                    <w:pStyle w:val="39"/>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0.76</w:t>
                  </w:r>
                </w:p>
              </w:tc>
            </w:tr>
          </w:tbl>
          <w:p w14:paraId="58B43AAC">
            <w:pPr>
              <w:spacing w:beforeLines="30"/>
              <w:jc w:val="center"/>
              <w:rPr>
                <w:b/>
                <w:color w:val="000000" w:themeColor="text1"/>
                <w:sz w:val="24"/>
                <w:highlight w:val="none"/>
                <w14:textFill>
                  <w14:solidFill>
                    <w14:schemeClr w14:val="tx1"/>
                  </w14:solidFill>
                </w14:textFill>
              </w:rPr>
            </w:pPr>
            <w:r>
              <w:rPr>
                <w:b/>
                <w:color w:val="000000" w:themeColor="text1"/>
                <w:szCs w:val="21"/>
                <w:highlight w:val="none"/>
                <w14:textFill>
                  <w14:solidFill>
                    <w14:schemeClr w14:val="tx1"/>
                  </w14:solidFill>
                </w14:textFill>
              </w:rPr>
              <w:t>表4.1-</w:t>
            </w:r>
            <w:r>
              <w:rPr>
                <w:rFonts w:hint="eastAsia"/>
                <w:b/>
                <w:color w:val="000000" w:themeColor="text1"/>
                <w:szCs w:val="21"/>
                <w:highlight w:val="none"/>
                <w:lang w:val="en-US" w:eastAsia="zh-CN"/>
                <w14:textFill>
                  <w14:solidFill>
                    <w14:schemeClr w14:val="tx1"/>
                  </w14:solidFill>
                </w14:textFill>
              </w:rPr>
              <w:t>10</w:t>
            </w:r>
            <w:r>
              <w:rPr>
                <w:b/>
                <w:color w:val="000000" w:themeColor="text1"/>
                <w:szCs w:val="21"/>
                <w:highlight w:val="none"/>
                <w14:textFill>
                  <w14:solidFill>
                    <w14:schemeClr w14:val="tx1"/>
                  </w14:solidFill>
                </w14:textFill>
              </w:rPr>
              <w:t xml:space="preserve">  卫生防护距离初值计算结果表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266"/>
              <w:gridCol w:w="782"/>
              <w:gridCol w:w="531"/>
              <w:gridCol w:w="718"/>
              <w:gridCol w:w="607"/>
              <w:gridCol w:w="622"/>
              <w:gridCol w:w="798"/>
              <w:gridCol w:w="813"/>
              <w:gridCol w:w="794"/>
              <w:gridCol w:w="814"/>
            </w:tblGrid>
            <w:tr w14:paraId="163F8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 w:type="pct"/>
                  <w:noWrap/>
                  <w:vAlign w:val="center"/>
                </w:tcPr>
                <w:p w14:paraId="52476ECA">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污染源</w:t>
                  </w:r>
                </w:p>
              </w:tc>
              <w:tc>
                <w:tcPr>
                  <w:tcW w:w="734" w:type="pct"/>
                  <w:noWrap/>
                  <w:vAlign w:val="center"/>
                </w:tcPr>
                <w:p w14:paraId="07C81398">
                  <w:pPr>
                    <w:snapToGrid w:val="0"/>
                    <w:jc w:val="center"/>
                    <w:rPr>
                      <w:b/>
                      <w:bCs/>
                      <w:color w:val="000000" w:themeColor="text1"/>
                      <w:spacing w:val="-20"/>
                      <w:szCs w:val="21"/>
                      <w14:textFill>
                        <w14:solidFill>
                          <w14:schemeClr w14:val="tx1"/>
                        </w14:solidFill>
                      </w14:textFill>
                    </w:rPr>
                  </w:pPr>
                  <w:r>
                    <w:rPr>
                      <w:b/>
                      <w:bCs/>
                      <w:color w:val="000000" w:themeColor="text1"/>
                      <w:spacing w:val="-20"/>
                      <w:szCs w:val="21"/>
                      <w14:textFill>
                        <w14:solidFill>
                          <w14:schemeClr w14:val="tx1"/>
                        </w14:solidFill>
                      </w14:textFill>
                    </w:rPr>
                    <w:t>污染物</w:t>
                  </w:r>
                </w:p>
                <w:p w14:paraId="17C2262D">
                  <w:pPr>
                    <w:snapToGrid w:val="0"/>
                    <w:jc w:val="center"/>
                    <w:rPr>
                      <w:b/>
                      <w:bCs/>
                      <w:color w:val="000000" w:themeColor="text1"/>
                      <w:spacing w:val="-20"/>
                      <w:szCs w:val="21"/>
                      <w14:textFill>
                        <w14:solidFill>
                          <w14:schemeClr w14:val="tx1"/>
                        </w14:solidFill>
                      </w14:textFill>
                    </w:rPr>
                  </w:pPr>
                  <w:r>
                    <w:rPr>
                      <w:b/>
                      <w:bCs/>
                      <w:color w:val="000000" w:themeColor="text1"/>
                      <w:szCs w:val="21"/>
                      <w14:textFill>
                        <w14:solidFill>
                          <w14:schemeClr w14:val="tx1"/>
                        </w14:solidFill>
                      </w14:textFill>
                    </w:rPr>
                    <w:t>名称</w:t>
                  </w:r>
                </w:p>
              </w:tc>
              <w:tc>
                <w:tcPr>
                  <w:tcW w:w="453" w:type="pct"/>
                  <w:noWrap/>
                  <w:vAlign w:val="center"/>
                </w:tcPr>
                <w:p w14:paraId="6EE565BC">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平均</w:t>
                  </w:r>
                </w:p>
                <w:p w14:paraId="62D130A5">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风速</w:t>
                  </w:r>
                </w:p>
              </w:tc>
              <w:tc>
                <w:tcPr>
                  <w:tcW w:w="308" w:type="pct"/>
                  <w:noWrap/>
                  <w:vAlign w:val="center"/>
                </w:tcPr>
                <w:p w14:paraId="74676F91">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A</w:t>
                  </w:r>
                </w:p>
              </w:tc>
              <w:tc>
                <w:tcPr>
                  <w:tcW w:w="421" w:type="pct"/>
                  <w:noWrap/>
                  <w:vAlign w:val="center"/>
                </w:tcPr>
                <w:p w14:paraId="03A7B563">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B</w:t>
                  </w:r>
                </w:p>
              </w:tc>
              <w:tc>
                <w:tcPr>
                  <w:tcW w:w="356" w:type="pct"/>
                  <w:noWrap/>
                  <w:vAlign w:val="center"/>
                </w:tcPr>
                <w:p w14:paraId="5EEA2E25">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C</w:t>
                  </w:r>
                </w:p>
              </w:tc>
              <w:tc>
                <w:tcPr>
                  <w:tcW w:w="365" w:type="pct"/>
                  <w:noWrap/>
                  <w:vAlign w:val="center"/>
                </w:tcPr>
                <w:p w14:paraId="6748E351">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D</w:t>
                  </w:r>
                </w:p>
              </w:tc>
              <w:tc>
                <w:tcPr>
                  <w:tcW w:w="463" w:type="pct"/>
                  <w:noWrap/>
                  <w:vAlign w:val="center"/>
                </w:tcPr>
                <w:p w14:paraId="58EEA279">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C</w:t>
                  </w:r>
                  <w:r>
                    <w:rPr>
                      <w:b/>
                      <w:bCs/>
                      <w:color w:val="000000" w:themeColor="text1"/>
                      <w:szCs w:val="21"/>
                      <w:vertAlign w:val="subscript"/>
                      <w14:textFill>
                        <w14:solidFill>
                          <w14:schemeClr w14:val="tx1"/>
                        </w14:solidFill>
                      </w14:textFill>
                    </w:rPr>
                    <w:t>m</w:t>
                  </w:r>
                </w:p>
                <w:p w14:paraId="3D6727FE">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mg/m</w:t>
                  </w:r>
                  <w:r>
                    <w:rPr>
                      <w:b/>
                      <w:bCs/>
                      <w:color w:val="000000" w:themeColor="text1"/>
                      <w:szCs w:val="21"/>
                      <w:vertAlign w:val="superscript"/>
                      <w14:textFill>
                        <w14:solidFill>
                          <w14:schemeClr w14:val="tx1"/>
                        </w14:solidFill>
                      </w14:textFill>
                    </w:rPr>
                    <w:t>3</w:t>
                  </w:r>
                </w:p>
              </w:tc>
              <w:tc>
                <w:tcPr>
                  <w:tcW w:w="471" w:type="pct"/>
                  <w:noWrap/>
                  <w:vAlign w:val="center"/>
                </w:tcPr>
                <w:p w14:paraId="1D58B919">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r</w:t>
                  </w:r>
                </w:p>
                <w:p w14:paraId="4E7E45AB">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（m）</w:t>
                  </w:r>
                </w:p>
              </w:tc>
              <w:tc>
                <w:tcPr>
                  <w:tcW w:w="460" w:type="pct"/>
                  <w:noWrap/>
                  <w:vAlign w:val="center"/>
                </w:tcPr>
                <w:p w14:paraId="7A045046">
                  <w:pPr>
                    <w:snapToGrid w:val="0"/>
                    <w:jc w:val="center"/>
                    <w:rPr>
                      <w:b/>
                      <w:bCs/>
                      <w:color w:val="000000" w:themeColor="text1"/>
                      <w:szCs w:val="21"/>
                      <w:vertAlign w:val="subscript"/>
                      <w14:textFill>
                        <w14:solidFill>
                          <w14:schemeClr w14:val="tx1"/>
                        </w14:solidFill>
                      </w14:textFill>
                    </w:rPr>
                  </w:pPr>
                  <w:r>
                    <w:rPr>
                      <w:b/>
                      <w:bCs/>
                      <w:color w:val="000000" w:themeColor="text1"/>
                      <w:szCs w:val="21"/>
                      <w14:textFill>
                        <w14:solidFill>
                          <w14:schemeClr w14:val="tx1"/>
                        </w14:solidFill>
                      </w14:textFill>
                    </w:rPr>
                    <w:t>Q</w:t>
                  </w:r>
                  <w:r>
                    <w:rPr>
                      <w:b/>
                      <w:bCs/>
                      <w:color w:val="000000" w:themeColor="text1"/>
                      <w:szCs w:val="21"/>
                      <w:vertAlign w:val="subscript"/>
                      <w14:textFill>
                        <w14:solidFill>
                          <w14:schemeClr w14:val="tx1"/>
                        </w14:solidFill>
                      </w14:textFill>
                    </w:rPr>
                    <w:t>c</w:t>
                  </w:r>
                </w:p>
                <w:p w14:paraId="4BBEE0C1">
                  <w:pPr>
                    <w:snapToGrid w:val="0"/>
                    <w:jc w:val="center"/>
                    <w:rPr>
                      <w:b/>
                      <w:bCs/>
                      <w:color w:val="000000" w:themeColor="text1"/>
                      <w:szCs w:val="21"/>
                      <w14:textFill>
                        <w14:solidFill>
                          <w14:schemeClr w14:val="tx1"/>
                        </w14:solidFill>
                      </w14:textFill>
                    </w:rPr>
                  </w:pPr>
                  <w:r>
                    <w:rPr>
                      <w:b/>
                      <w:bCs/>
                      <w:color w:val="000000" w:themeColor="text1"/>
                      <w:spacing w:val="-6"/>
                      <w:szCs w:val="21"/>
                      <w14:textFill>
                        <w14:solidFill>
                          <w14:schemeClr w14:val="tx1"/>
                        </w14:solidFill>
                      </w14:textFill>
                    </w:rPr>
                    <w:t>(kg/h)</w:t>
                  </w:r>
                </w:p>
              </w:tc>
              <w:tc>
                <w:tcPr>
                  <w:tcW w:w="471" w:type="pct"/>
                  <w:noWrap/>
                  <w:vAlign w:val="center"/>
                </w:tcPr>
                <w:p w14:paraId="0F50A1DD">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L</w:t>
                  </w:r>
                </w:p>
                <w:p w14:paraId="51C96CBB">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（m）</w:t>
                  </w:r>
                </w:p>
              </w:tc>
            </w:tr>
            <w:tr w14:paraId="3B37BD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 w:type="pct"/>
                  <w:vMerge w:val="restart"/>
                  <w:noWrap/>
                  <w:vAlign w:val="center"/>
                </w:tcPr>
                <w:p w14:paraId="006B333A">
                  <w:pPr>
                    <w:widowControl/>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生产</w:t>
                  </w:r>
                </w:p>
                <w:p w14:paraId="330FD9CD">
                  <w:pPr>
                    <w:widowControl/>
                    <w:snapToGrid w:val="0"/>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厂房</w:t>
                  </w:r>
                </w:p>
              </w:tc>
              <w:tc>
                <w:tcPr>
                  <w:tcW w:w="734" w:type="pct"/>
                  <w:noWrap/>
                  <w:vAlign w:val="center"/>
                </w:tcPr>
                <w:p w14:paraId="6705D173">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非甲烷总烃</w:t>
                  </w:r>
                </w:p>
              </w:tc>
              <w:tc>
                <w:tcPr>
                  <w:tcW w:w="453" w:type="pct"/>
                  <w:noWrap/>
                  <w:vAlign w:val="center"/>
                </w:tcPr>
                <w:p w14:paraId="782CA906">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2.</w:t>
                  </w:r>
                  <w:r>
                    <w:rPr>
                      <w:rFonts w:hint="eastAsia"/>
                      <w:bCs/>
                      <w:color w:val="000000" w:themeColor="text1"/>
                      <w:kern w:val="0"/>
                      <w:szCs w:val="21"/>
                      <w14:textFill>
                        <w14:solidFill>
                          <w14:schemeClr w14:val="tx1"/>
                        </w14:solidFill>
                      </w14:textFill>
                    </w:rPr>
                    <w:t>8</w:t>
                  </w:r>
                  <w:r>
                    <w:rPr>
                      <w:bCs/>
                      <w:color w:val="000000" w:themeColor="text1"/>
                      <w:kern w:val="0"/>
                      <w:szCs w:val="21"/>
                      <w14:textFill>
                        <w14:solidFill>
                          <w14:schemeClr w14:val="tx1"/>
                        </w14:solidFill>
                      </w14:textFill>
                    </w:rPr>
                    <w:t>m/s</w:t>
                  </w:r>
                </w:p>
              </w:tc>
              <w:tc>
                <w:tcPr>
                  <w:tcW w:w="308" w:type="pct"/>
                  <w:noWrap/>
                  <w:vAlign w:val="center"/>
                </w:tcPr>
                <w:p w14:paraId="4E1F6365">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47</w:t>
                  </w:r>
                  <w:r>
                    <w:rPr>
                      <w:bCs/>
                      <w:color w:val="000000" w:themeColor="text1"/>
                      <w:kern w:val="0"/>
                      <w:szCs w:val="21"/>
                      <w14:textFill>
                        <w14:solidFill>
                          <w14:schemeClr w14:val="tx1"/>
                        </w14:solidFill>
                      </w14:textFill>
                    </w:rPr>
                    <w:t>0</w:t>
                  </w:r>
                </w:p>
              </w:tc>
              <w:tc>
                <w:tcPr>
                  <w:tcW w:w="421" w:type="pct"/>
                  <w:noWrap/>
                  <w:vAlign w:val="center"/>
                </w:tcPr>
                <w:p w14:paraId="7030BFF2">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0.021</w:t>
                  </w:r>
                </w:p>
              </w:tc>
              <w:tc>
                <w:tcPr>
                  <w:tcW w:w="356" w:type="pct"/>
                  <w:noWrap/>
                  <w:vAlign w:val="center"/>
                </w:tcPr>
                <w:p w14:paraId="3FF69036">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1.85</w:t>
                  </w:r>
                </w:p>
              </w:tc>
              <w:tc>
                <w:tcPr>
                  <w:tcW w:w="365" w:type="pct"/>
                  <w:noWrap/>
                  <w:vAlign w:val="center"/>
                </w:tcPr>
                <w:p w14:paraId="59440919">
                  <w:pPr>
                    <w:pStyle w:val="58"/>
                    <w:widowControl w:val="0"/>
                    <w:pBdr>
                      <w:bottom w:val="none" w:color="auto" w:sz="0" w:space="0"/>
                    </w:pBdr>
                    <w:spacing w:before="0" w:after="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0.84</w:t>
                  </w:r>
                </w:p>
              </w:tc>
              <w:tc>
                <w:tcPr>
                  <w:tcW w:w="463" w:type="pct"/>
                  <w:noWrap/>
                  <w:vAlign w:val="center"/>
                </w:tcPr>
                <w:p w14:paraId="36558388">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2.0</w:t>
                  </w:r>
                </w:p>
              </w:tc>
              <w:tc>
                <w:tcPr>
                  <w:tcW w:w="471" w:type="pct"/>
                  <w:vMerge w:val="restart"/>
                  <w:noWrap/>
                  <w:vAlign w:val="center"/>
                </w:tcPr>
                <w:p w14:paraId="6AE101AC">
                  <w:pPr>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16.76</w:t>
                  </w:r>
                </w:p>
              </w:tc>
              <w:tc>
                <w:tcPr>
                  <w:tcW w:w="460" w:type="pct"/>
                  <w:noWrap/>
                  <w:vAlign w:val="center"/>
                </w:tcPr>
                <w:p w14:paraId="63CE7479">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0.0328</w:t>
                  </w:r>
                </w:p>
              </w:tc>
              <w:tc>
                <w:tcPr>
                  <w:tcW w:w="471" w:type="pct"/>
                  <w:noWrap/>
                  <w:vAlign w:val="center"/>
                </w:tcPr>
                <w:p w14:paraId="3762EDED">
                  <w:pPr>
                    <w:snapToGrid w:val="0"/>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0.906</w:t>
                  </w:r>
                </w:p>
              </w:tc>
            </w:tr>
            <w:tr w14:paraId="173D86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 w:type="pct"/>
                  <w:vMerge w:val="continue"/>
                  <w:noWrap/>
                  <w:vAlign w:val="center"/>
                </w:tcPr>
                <w:p w14:paraId="43AFFDC6">
                  <w:pPr>
                    <w:widowControl/>
                    <w:snapToGrid w:val="0"/>
                    <w:jc w:val="center"/>
                    <w:rPr>
                      <w:rFonts w:hint="eastAsia"/>
                      <w:color w:val="000000" w:themeColor="text1"/>
                      <w:kern w:val="0"/>
                      <w:szCs w:val="21"/>
                      <w14:textFill>
                        <w14:solidFill>
                          <w14:schemeClr w14:val="tx1"/>
                        </w14:solidFill>
                      </w14:textFill>
                    </w:rPr>
                  </w:pPr>
                </w:p>
              </w:tc>
              <w:tc>
                <w:tcPr>
                  <w:tcW w:w="734" w:type="pct"/>
                  <w:noWrap/>
                  <w:vAlign w:val="center"/>
                </w:tcPr>
                <w:p w14:paraId="14F093DF">
                  <w:pPr>
                    <w:jc w:val="center"/>
                    <w:rPr>
                      <w:rFonts w:hint="eastAsia"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颗粒物</w:t>
                  </w:r>
                </w:p>
              </w:tc>
              <w:tc>
                <w:tcPr>
                  <w:tcW w:w="453" w:type="pct"/>
                  <w:noWrap/>
                  <w:vAlign w:val="center"/>
                </w:tcPr>
                <w:p w14:paraId="787FB6C4">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2.</w:t>
                  </w:r>
                  <w:r>
                    <w:rPr>
                      <w:rFonts w:hint="eastAsia"/>
                      <w:bCs/>
                      <w:color w:val="000000" w:themeColor="text1"/>
                      <w:kern w:val="0"/>
                      <w:szCs w:val="21"/>
                      <w14:textFill>
                        <w14:solidFill>
                          <w14:schemeClr w14:val="tx1"/>
                        </w14:solidFill>
                      </w14:textFill>
                    </w:rPr>
                    <w:t>8</w:t>
                  </w:r>
                  <w:r>
                    <w:rPr>
                      <w:bCs/>
                      <w:color w:val="000000" w:themeColor="text1"/>
                      <w:kern w:val="0"/>
                      <w:szCs w:val="21"/>
                      <w14:textFill>
                        <w14:solidFill>
                          <w14:schemeClr w14:val="tx1"/>
                        </w14:solidFill>
                      </w14:textFill>
                    </w:rPr>
                    <w:t>m/s</w:t>
                  </w:r>
                </w:p>
              </w:tc>
              <w:tc>
                <w:tcPr>
                  <w:tcW w:w="308" w:type="pct"/>
                  <w:noWrap/>
                  <w:vAlign w:val="center"/>
                </w:tcPr>
                <w:p w14:paraId="62CB5C4C">
                  <w:pPr>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350</w:t>
                  </w:r>
                </w:p>
              </w:tc>
              <w:tc>
                <w:tcPr>
                  <w:tcW w:w="421" w:type="pct"/>
                  <w:noWrap/>
                  <w:vAlign w:val="center"/>
                </w:tcPr>
                <w:p w14:paraId="333FCFA1">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0.021</w:t>
                  </w:r>
                </w:p>
              </w:tc>
              <w:tc>
                <w:tcPr>
                  <w:tcW w:w="356" w:type="pct"/>
                  <w:noWrap/>
                  <w:vAlign w:val="center"/>
                </w:tcPr>
                <w:p w14:paraId="6CFD6E5B">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1.85</w:t>
                  </w:r>
                </w:p>
              </w:tc>
              <w:tc>
                <w:tcPr>
                  <w:tcW w:w="365" w:type="pct"/>
                  <w:noWrap/>
                  <w:vAlign w:val="center"/>
                </w:tcPr>
                <w:p w14:paraId="6DCC814E">
                  <w:pPr>
                    <w:pStyle w:val="58"/>
                    <w:widowControl w:val="0"/>
                    <w:pBdr>
                      <w:bottom w:val="none" w:color="auto" w:sz="0" w:space="0"/>
                    </w:pBdr>
                    <w:spacing w:before="0" w:after="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0.84</w:t>
                  </w:r>
                </w:p>
              </w:tc>
              <w:tc>
                <w:tcPr>
                  <w:tcW w:w="463" w:type="pct"/>
                  <w:noWrap/>
                  <w:vAlign w:val="center"/>
                </w:tcPr>
                <w:p w14:paraId="25C38073">
                  <w:pPr>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0.45</w:t>
                  </w:r>
                </w:p>
              </w:tc>
              <w:tc>
                <w:tcPr>
                  <w:tcW w:w="471" w:type="pct"/>
                  <w:vMerge w:val="continue"/>
                  <w:noWrap/>
                  <w:vAlign w:val="center"/>
                </w:tcPr>
                <w:p w14:paraId="7225C279">
                  <w:pPr>
                    <w:jc w:val="center"/>
                    <w:rPr>
                      <w:rFonts w:hint="eastAsia"/>
                      <w:bCs/>
                      <w:color w:val="000000" w:themeColor="text1"/>
                      <w:kern w:val="0"/>
                      <w:szCs w:val="21"/>
                      <w14:textFill>
                        <w14:solidFill>
                          <w14:schemeClr w14:val="tx1"/>
                        </w14:solidFill>
                      </w14:textFill>
                    </w:rPr>
                  </w:pPr>
                </w:p>
              </w:tc>
              <w:tc>
                <w:tcPr>
                  <w:tcW w:w="460" w:type="pct"/>
                  <w:noWrap/>
                  <w:vAlign w:val="center"/>
                </w:tcPr>
                <w:p w14:paraId="0B913F7B">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0.025</w:t>
                  </w:r>
                </w:p>
              </w:tc>
              <w:tc>
                <w:tcPr>
                  <w:tcW w:w="471" w:type="pct"/>
                  <w:noWrap/>
                  <w:vAlign w:val="center"/>
                </w:tcPr>
                <w:p w14:paraId="7B0620BD">
                  <w:pPr>
                    <w:snapToGrid w:val="0"/>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2.567</w:t>
                  </w:r>
                </w:p>
              </w:tc>
            </w:tr>
          </w:tbl>
          <w:p w14:paraId="2B0F7134">
            <w:pPr>
              <w:adjustRightInd w:val="0"/>
              <w:snapToGrid w:val="0"/>
              <w:spacing w:line="360" w:lineRule="auto"/>
              <w:ind w:firstLine="420" w:firstLineChars="200"/>
              <w:rPr>
                <w:color w:val="000000" w:themeColor="text1"/>
                <w14:textFill>
                  <w14:solidFill>
                    <w14:schemeClr w14:val="tx1"/>
                  </w14:solidFill>
                </w14:textFill>
              </w:rPr>
            </w:pPr>
            <w:r>
              <w:rPr>
                <w:bCs/>
                <w:color w:val="000000" w:themeColor="text1"/>
                <w:szCs w:val="21"/>
                <w14:textFill>
                  <w14:solidFill>
                    <w14:schemeClr w14:val="tx1"/>
                  </w14:solidFill>
                </w14:textFill>
              </w:rPr>
              <w:t>注</w:t>
            </w:r>
            <w:r>
              <w:rPr>
                <w:rFonts w:hint="eastAsia"/>
                <w:bCs/>
                <w:color w:val="000000" w:themeColor="text1"/>
                <w:szCs w:val="21"/>
                <w14:textFill>
                  <w14:solidFill>
                    <w14:schemeClr w14:val="tx1"/>
                  </w14:solidFill>
                </w14:textFill>
              </w:rPr>
              <w:t>(1)</w:t>
            </w:r>
            <w:r>
              <w:rPr>
                <w:bCs/>
                <w:color w:val="000000" w:themeColor="text1"/>
                <w:szCs w:val="21"/>
                <w14:textFill>
                  <w14:solidFill>
                    <w14:schemeClr w14:val="tx1"/>
                  </w14:solidFill>
                </w14:textFill>
              </w:rPr>
              <w:t>：非甲烷总烃执行《大气污染物综合排放标准详解》（中国环境科学出版社出版的国家环境保护局科技标准司编制）推算的一次浓度值，即2.0mg/m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w:t>
            </w:r>
          </w:p>
          <w:p w14:paraId="13AE49F6">
            <w:pPr>
              <w:widowControl/>
              <w:spacing w:line="360" w:lineRule="auto"/>
              <w:ind w:firstLine="420" w:firstLineChars="200"/>
              <w:jc w:val="left"/>
              <w:rPr>
                <w:color w:val="000000" w:themeColor="text1"/>
                <w14:textFill>
                  <w14:solidFill>
                    <w14:schemeClr w14:val="tx1"/>
                  </w14:solidFill>
                </w14:textFill>
              </w:rPr>
            </w:pPr>
            <w:r>
              <w:rPr>
                <w:bCs/>
                <w:color w:val="000000" w:themeColor="text1"/>
                <w:szCs w:val="21"/>
                <w14:textFill>
                  <w14:solidFill>
                    <w14:schemeClr w14:val="tx1"/>
                  </w14:solidFill>
                </w14:textFill>
              </w:rPr>
              <w:t>注</w:t>
            </w:r>
            <w:r>
              <w:rPr>
                <w:rFonts w:hint="eastAsia"/>
                <w:bCs/>
                <w:color w:val="000000" w:themeColor="text1"/>
                <w:szCs w:val="21"/>
                <w14:textFill>
                  <w14:solidFill>
                    <w14:schemeClr w14:val="tx1"/>
                  </w14:solidFill>
                </w14:textFill>
              </w:rPr>
              <w:t>(2)</w:t>
            </w:r>
            <w:r>
              <w:rPr>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项目所在地空气质量功能区为《环境空气质量标准》（</w:t>
            </w:r>
            <w:r>
              <w:rPr>
                <w:color w:val="000000" w:themeColor="text1"/>
                <w14:textFill>
                  <w14:solidFill>
                    <w14:schemeClr w14:val="tx1"/>
                  </w14:solidFill>
                </w14:textFill>
              </w:rPr>
              <w:t>GB 3095-2012</w:t>
            </w:r>
            <w:r>
              <w:rPr>
                <w:rFonts w:hint="eastAsia"/>
                <w:color w:val="000000" w:themeColor="text1"/>
                <w14:textFill>
                  <w14:solidFill>
                    <w14:schemeClr w14:val="tx1"/>
                  </w14:solidFill>
                </w14:textFill>
              </w:rPr>
              <w:t>）中的二类区，</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执行《环境空气质量标准》（</w:t>
            </w:r>
            <w:r>
              <w:rPr>
                <w:color w:val="000000" w:themeColor="text1"/>
                <w14:textFill>
                  <w14:solidFill>
                    <w14:schemeClr w14:val="tx1"/>
                  </w14:solidFill>
                </w14:textFill>
              </w:rPr>
              <w:t>GB 3095-2012</w:t>
            </w:r>
            <w:r>
              <w:rPr>
                <w:rFonts w:hint="eastAsia"/>
                <w:color w:val="000000" w:themeColor="text1"/>
                <w14:textFill>
                  <w14:solidFill>
                    <w14:schemeClr w14:val="tx1"/>
                  </w14:solidFill>
                </w14:textFill>
              </w:rPr>
              <w:t>）中的二级标准，即日均值</w:t>
            </w:r>
            <w:r>
              <w:rPr>
                <w:color w:val="000000" w:themeColor="text1"/>
                <w14:textFill>
                  <w14:solidFill>
                    <w14:schemeClr w14:val="tx1"/>
                  </w14:solidFill>
                </w14:textFill>
              </w:rPr>
              <w:t>0.15mg/m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。根据《环境影响评价技术导则大气环境》（</w:t>
            </w:r>
            <w:r>
              <w:rPr>
                <w:color w:val="000000" w:themeColor="text1"/>
                <w14:textFill>
                  <w14:solidFill>
                    <w14:schemeClr w14:val="tx1"/>
                  </w14:solidFill>
                </w14:textFill>
              </w:rPr>
              <w:t>HJ2.2-2018</w:t>
            </w:r>
            <w:r>
              <w:rPr>
                <w:rFonts w:hint="eastAsia"/>
                <w:color w:val="000000" w:themeColor="text1"/>
                <w14:textFill>
                  <w14:solidFill>
                    <w14:schemeClr w14:val="tx1"/>
                  </w14:solidFill>
                </w14:textFill>
              </w:rPr>
              <w:t>），对仅有日平均质量浓度限值的，可按</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倍折算为</w:t>
            </w:r>
            <w:r>
              <w:rPr>
                <w:color w:val="000000" w:themeColor="text1"/>
                <w14:textFill>
                  <w14:solidFill>
                    <w14:schemeClr w14:val="tx1"/>
                  </w14:solidFill>
                </w14:textFill>
              </w:rPr>
              <w:t>1h</w:t>
            </w:r>
            <w:r>
              <w:rPr>
                <w:rFonts w:hint="eastAsia"/>
                <w:color w:val="000000" w:themeColor="text1"/>
                <w14:textFill>
                  <w14:solidFill>
                    <w14:schemeClr w14:val="tx1"/>
                  </w14:solidFill>
                </w14:textFill>
              </w:rPr>
              <w:t>评价质量浓度限值，因此颗粒物的</w:t>
            </w:r>
            <w:r>
              <w:rPr>
                <w:color w:val="000000" w:themeColor="text1"/>
                <w14:textFill>
                  <w14:solidFill>
                    <w14:schemeClr w14:val="tx1"/>
                  </w14:solidFill>
                </w14:textFill>
              </w:rPr>
              <w:t>1h</w:t>
            </w:r>
            <w:r>
              <w:rPr>
                <w:rFonts w:hint="eastAsia"/>
                <w:color w:val="000000" w:themeColor="text1"/>
                <w14:textFill>
                  <w14:solidFill>
                    <w14:schemeClr w14:val="tx1"/>
                  </w14:solidFill>
                </w14:textFill>
              </w:rPr>
              <w:t>评价质量浓度限值为0.45</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2D8C48E0">
            <w:pPr>
              <w:adjustRightInd w:val="0"/>
              <w:snapToGrid w:val="0"/>
              <w:spacing w:line="360" w:lineRule="auto"/>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根据《大气有害物质无组织排放卫生防护距离推导技术导则》（GB/T39499-2020）的规定，卫生防护距离初值小于50m时，级差为50m</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卫生防护距离初值</w:t>
            </w:r>
            <w:r>
              <w:rPr>
                <w:rFonts w:hint="eastAsia"/>
                <w:bCs/>
                <w:color w:val="000000" w:themeColor="text1"/>
                <w:szCs w:val="21"/>
                <w14:textFill>
                  <w14:solidFill>
                    <w14:schemeClr w14:val="tx1"/>
                  </w14:solidFill>
                </w14:textFill>
              </w:rPr>
              <w:t>大于或等于50m，但小于100m时，级差为50m</w:t>
            </w:r>
            <w:r>
              <w:rPr>
                <w:bCs/>
                <w:color w:val="000000" w:themeColor="text1"/>
                <w:szCs w:val="21"/>
                <w14:textFill>
                  <w14:solidFill>
                    <w14:schemeClr w14:val="tx1"/>
                  </w14:solidFill>
                </w14:textFill>
              </w:rPr>
              <w:t>。当企业某生产单元的无组织排放存在多种特征大气有害物质时，如果分别推导出的卫生防护距离初值在同一级别时，则该企业的卫生防护距离终值应提高一级</w:t>
            </w:r>
            <w:r>
              <w:rPr>
                <w:rFonts w:hint="eastAsia"/>
                <w:bCs/>
                <w:color w:val="000000" w:themeColor="text1"/>
                <w:szCs w:val="21"/>
                <w14:textFill>
                  <w14:solidFill>
                    <w14:schemeClr w14:val="tx1"/>
                  </w14:solidFill>
                </w14:textFill>
              </w:rPr>
              <w:t>；卫生防护距离初值不在同一级别的，以卫生防护距离终值较大者为准</w:t>
            </w:r>
            <w:r>
              <w:rPr>
                <w:bCs/>
                <w:color w:val="000000" w:themeColor="text1"/>
                <w:szCs w:val="21"/>
                <w14:textFill>
                  <w14:solidFill>
                    <w14:schemeClr w14:val="tx1"/>
                  </w14:solidFill>
                </w14:textFill>
              </w:rPr>
              <w:t>。根据计算结果，本项目以</w:t>
            </w:r>
            <w:r>
              <w:rPr>
                <w:rFonts w:hint="eastAsia"/>
                <w:bCs/>
                <w:color w:val="000000" w:themeColor="text1"/>
                <w:szCs w:val="21"/>
                <w14:textFill>
                  <w14:solidFill>
                    <w14:schemeClr w14:val="tx1"/>
                  </w14:solidFill>
                </w14:textFill>
              </w:rPr>
              <w:t>生产厂房为边</w:t>
            </w:r>
            <w:r>
              <w:rPr>
                <w:bCs/>
                <w:color w:val="000000" w:themeColor="text1"/>
                <w:szCs w:val="21"/>
                <w14:textFill>
                  <w14:solidFill>
                    <w14:schemeClr w14:val="tx1"/>
                  </w14:solidFill>
                </w14:textFill>
              </w:rPr>
              <w:t>界设置</w:t>
            </w:r>
            <w:r>
              <w:rPr>
                <w:rFonts w:hint="eastAsia"/>
                <w:bCs/>
                <w:color w:val="000000" w:themeColor="text1"/>
                <w:szCs w:val="21"/>
                <w:lang w:val="en-US" w:eastAsia="zh-CN"/>
                <w14:textFill>
                  <w14:solidFill>
                    <w14:schemeClr w14:val="tx1"/>
                  </w14:solidFill>
                </w14:textFill>
              </w:rPr>
              <w:t>10</w:t>
            </w:r>
            <w:r>
              <w:rPr>
                <w:bCs/>
                <w:color w:val="000000" w:themeColor="text1"/>
                <w:szCs w:val="21"/>
                <w14:textFill>
                  <w14:solidFill>
                    <w14:schemeClr w14:val="tx1"/>
                  </w14:solidFill>
                </w14:textFill>
              </w:rPr>
              <w:t>0m卫生防护距离。根据现场调查，</w:t>
            </w:r>
            <w:r>
              <w:rPr>
                <w:rFonts w:hint="eastAsia"/>
                <w:bCs/>
                <w:color w:val="000000" w:themeColor="text1"/>
                <w:szCs w:val="21"/>
                <w14:textFill>
                  <w14:solidFill>
                    <w14:schemeClr w14:val="tx1"/>
                  </w14:solidFill>
                </w14:textFill>
              </w:rPr>
              <w:t>本项目卫生防护距离内无大气环境敏感目标</w:t>
            </w:r>
            <w:r>
              <w:rPr>
                <w:bCs/>
                <w:color w:val="000000" w:themeColor="text1"/>
                <w:szCs w:val="21"/>
                <w14:textFill>
                  <w14:solidFill>
                    <w14:schemeClr w14:val="tx1"/>
                  </w14:solidFill>
                </w14:textFill>
              </w:rPr>
              <w:t>。同时，在本项目设置的卫生防护距离范围内禁止建设学校、医院、居住区等环境敏感目标。</w:t>
            </w:r>
          </w:p>
          <w:p w14:paraId="289FD852">
            <w:pPr>
              <w:adjustRightInd w:val="0"/>
              <w:snapToGrid w:val="0"/>
              <w:spacing w:line="420" w:lineRule="exact"/>
              <w:ind w:firstLine="422" w:firstLineChars="20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4.1.</w:t>
            </w:r>
            <w:r>
              <w:rPr>
                <w:rFonts w:hint="eastAsia"/>
                <w:b/>
                <w:color w:val="000000" w:themeColor="text1"/>
                <w:szCs w:val="21"/>
                <w14:textFill>
                  <w14:solidFill>
                    <w14:schemeClr w14:val="tx1"/>
                  </w14:solidFill>
                </w14:textFill>
              </w:rPr>
              <w:t>7</w:t>
            </w:r>
            <w:r>
              <w:rPr>
                <w:b/>
                <w:color w:val="000000" w:themeColor="text1"/>
                <w:szCs w:val="21"/>
                <w14:textFill>
                  <w14:solidFill>
                    <w14:schemeClr w14:val="tx1"/>
                  </w14:solidFill>
                </w14:textFill>
              </w:rPr>
              <w:t>大气环境影响结论</w:t>
            </w:r>
          </w:p>
          <w:p w14:paraId="5F9EB126">
            <w:pPr>
              <w:adjustRightInd w:val="0"/>
              <w:snapToGrid w:val="0"/>
              <w:spacing w:line="42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本项目所在地202</w:t>
            </w:r>
            <w:r>
              <w:rPr>
                <w:rFonts w:hint="eastAsia"/>
                <w:bCs/>
                <w:color w:val="000000" w:themeColor="text1"/>
                <w:szCs w:val="21"/>
                <w14:textFill>
                  <w14:solidFill>
                    <w14:schemeClr w14:val="tx1"/>
                  </w14:solidFill>
                </w14:textFill>
              </w:rPr>
              <w:t>3</w:t>
            </w:r>
            <w:r>
              <w:rPr>
                <w:bCs/>
                <w:color w:val="000000" w:themeColor="text1"/>
                <w:szCs w:val="21"/>
                <w14:textFill>
                  <w14:solidFill>
                    <w14:schemeClr w14:val="tx1"/>
                  </w14:solidFill>
                </w14:textFill>
              </w:rPr>
              <w:t>年SO</w:t>
            </w:r>
            <w:r>
              <w:rPr>
                <w:bCs/>
                <w:color w:val="000000" w:themeColor="text1"/>
                <w:szCs w:val="21"/>
                <w:vertAlign w:val="subscript"/>
                <w14:textFill>
                  <w14:solidFill>
                    <w14:schemeClr w14:val="tx1"/>
                  </w14:solidFill>
                </w14:textFill>
              </w:rPr>
              <w:t>2</w:t>
            </w:r>
            <w:r>
              <w:rPr>
                <w:bCs/>
                <w:color w:val="000000" w:themeColor="text1"/>
                <w:szCs w:val="21"/>
                <w14:textFill>
                  <w14:solidFill>
                    <w14:schemeClr w14:val="tx1"/>
                  </w14:solidFill>
                </w14:textFill>
              </w:rPr>
              <w:t>、NO</w:t>
            </w:r>
            <w:r>
              <w:rPr>
                <w:bCs/>
                <w:color w:val="000000" w:themeColor="text1"/>
                <w:szCs w:val="21"/>
                <w:vertAlign w:val="subscript"/>
                <w14:textFill>
                  <w14:solidFill>
                    <w14:schemeClr w14:val="tx1"/>
                  </w14:solidFill>
                </w14:textFill>
              </w:rPr>
              <w:t>2</w:t>
            </w:r>
            <w:r>
              <w:rPr>
                <w:bCs/>
                <w:color w:val="000000" w:themeColor="text1"/>
                <w:szCs w:val="21"/>
                <w14:textFill>
                  <w14:solidFill>
                    <w14:schemeClr w14:val="tx1"/>
                  </w14:solidFill>
                </w14:textFill>
              </w:rPr>
              <w:t>、CO、PM</w:t>
            </w:r>
            <w:r>
              <w:rPr>
                <w:bCs/>
                <w:color w:val="000000" w:themeColor="text1"/>
                <w:szCs w:val="21"/>
                <w:vertAlign w:val="subscript"/>
                <w14:textFill>
                  <w14:solidFill>
                    <w14:schemeClr w14:val="tx1"/>
                  </w14:solidFill>
                </w14:textFill>
              </w:rPr>
              <w:t>10</w:t>
            </w:r>
            <w:r>
              <w:rPr>
                <w:bCs/>
                <w:color w:val="000000" w:themeColor="text1"/>
                <w:szCs w:val="21"/>
                <w14:textFill>
                  <w14:solidFill>
                    <w14:schemeClr w14:val="tx1"/>
                  </w14:solidFill>
                </w14:textFill>
              </w:rPr>
              <w:t>、PM</w:t>
            </w:r>
            <w:r>
              <w:rPr>
                <w:bCs/>
                <w:color w:val="000000" w:themeColor="text1"/>
                <w:szCs w:val="21"/>
                <w:vertAlign w:val="subscript"/>
                <w14:textFill>
                  <w14:solidFill>
                    <w14:schemeClr w14:val="tx1"/>
                  </w14:solidFill>
                </w14:textFill>
              </w:rPr>
              <w:t>2.5</w:t>
            </w:r>
            <w:r>
              <w:rPr>
                <w:bCs/>
                <w:color w:val="000000" w:themeColor="text1"/>
                <w:szCs w:val="21"/>
                <w14:textFill>
                  <w14:solidFill>
                    <w14:schemeClr w14:val="tx1"/>
                  </w14:solidFill>
                </w14:textFill>
              </w:rPr>
              <w:t>均达到《环境空气质量标准》（GB3095-2012）二级标准，O</w:t>
            </w:r>
            <w:r>
              <w:rPr>
                <w:bCs/>
                <w:color w:val="000000" w:themeColor="text1"/>
                <w:szCs w:val="21"/>
                <w:vertAlign w:val="subscript"/>
                <w14:textFill>
                  <w14:solidFill>
                    <w14:schemeClr w14:val="tx1"/>
                  </w14:solidFill>
                </w14:textFill>
              </w:rPr>
              <w:t>3</w:t>
            </w:r>
            <w:r>
              <w:rPr>
                <w:bCs/>
                <w:color w:val="000000" w:themeColor="text1"/>
                <w:szCs w:val="21"/>
                <w14:textFill>
                  <w14:solidFill>
                    <w14:schemeClr w14:val="tx1"/>
                  </w14:solidFill>
                </w14:textFill>
              </w:rPr>
              <w:t>未达到《环境空气质量标准》（GB3095-2012）二级标准，属于不达标区，</w:t>
            </w:r>
            <w:r>
              <w:rPr>
                <w:rFonts w:hint="eastAsia"/>
                <w:color w:val="000000" w:themeColor="text1"/>
                <w:kern w:val="0"/>
                <w14:textFill>
                  <w14:solidFill>
                    <w14:schemeClr w14:val="tx1"/>
                  </w14:solidFill>
                </w14:textFill>
              </w:rPr>
              <w:t>根据</w:t>
            </w:r>
            <w:r>
              <w:rPr>
                <w:rFonts w:hint="eastAsia"/>
                <w:b w:val="0"/>
                <w:bCs w:val="0"/>
                <w:color w:val="000000" w:themeColor="text1"/>
                <w:sz w:val="21"/>
                <w:szCs w:val="21"/>
                <w14:textFill>
                  <w14:solidFill>
                    <w14:schemeClr w14:val="tx1"/>
                  </w14:solidFill>
                </w14:textFill>
              </w:rPr>
              <w:t>《苏州市空气质量持续改善行动计划实施方案》(2024年8月)</w:t>
            </w:r>
            <w:r>
              <w:rPr>
                <w:rFonts w:hint="eastAsia"/>
                <w:bCs/>
                <w:color w:val="000000" w:themeColor="text1"/>
                <w:kern w:val="0"/>
                <w:szCs w:val="21"/>
                <w14:textFill>
                  <w14:solidFill>
                    <w14:schemeClr w14:val="tx1"/>
                  </w14:solidFill>
                </w14:textFill>
              </w:rPr>
              <w:t>，</w:t>
            </w:r>
            <w:r>
              <w:rPr>
                <w:rFonts w:hint="eastAsia"/>
                <w:color w:val="000000" w:themeColor="text1"/>
                <w:sz w:val="21"/>
                <w:szCs w:val="21"/>
                <w:lang w:eastAsia="zh-CN"/>
                <w14:textFill>
                  <w14:solidFill>
                    <w14:schemeClr w14:val="tx1"/>
                  </w14:solidFill>
                </w14:textFill>
              </w:rPr>
              <w:t>力争到</w:t>
            </w:r>
            <w:r>
              <w:rPr>
                <w:rFonts w:hint="eastAsia"/>
                <w:color w:val="000000" w:themeColor="text1"/>
                <w:sz w:val="21"/>
                <w:szCs w:val="21"/>
                <w14:textFill>
                  <w14:solidFill>
                    <w14:schemeClr w14:val="tx1"/>
                  </w14:solidFill>
                </w14:textFill>
              </w:rPr>
              <w:t>2025年，全市PM</w:t>
            </w:r>
            <w:r>
              <w:rPr>
                <w:rFonts w:hint="eastAsia"/>
                <w:color w:val="000000" w:themeColor="text1"/>
                <w:sz w:val="21"/>
                <w:szCs w:val="21"/>
                <w:vertAlign w:val="subscript"/>
                <w14:textFill>
                  <w14:solidFill>
                    <w14:schemeClr w14:val="tx1"/>
                  </w14:solidFill>
                </w14:textFill>
              </w:rPr>
              <w:t>2.5</w:t>
            </w:r>
            <w:r>
              <w:rPr>
                <w:rFonts w:hint="eastAsia"/>
                <w:color w:val="000000" w:themeColor="text1"/>
                <w:sz w:val="21"/>
                <w:szCs w:val="21"/>
                <w14:textFill>
                  <w14:solidFill>
                    <w14:schemeClr w14:val="tx1"/>
                  </w14:solidFill>
                </w14:textFill>
              </w:rPr>
              <w:t>浓度稳定在30微克/立方米以下，重度及以上污染天数控制在1天以内；氮氧化物和VOCs排放总量比2020年分别下降10%以上，完成省下达的减排目标</w:t>
            </w:r>
            <w:r>
              <w:rPr>
                <w:rFonts w:hint="eastAsia"/>
                <w:bCs/>
                <w:color w:val="000000" w:themeColor="text1"/>
                <w:szCs w:val="21"/>
                <w14:textFill>
                  <w14:solidFill>
                    <w14:schemeClr w14:val="tx1"/>
                  </w14:solidFill>
                </w14:textFill>
              </w:rPr>
              <w:t>。本项目</w:t>
            </w:r>
            <w:r>
              <w:rPr>
                <w:bCs/>
                <w:color w:val="000000" w:themeColor="text1"/>
                <w:szCs w:val="21"/>
                <w14:textFill>
                  <w14:solidFill>
                    <w14:schemeClr w14:val="tx1"/>
                  </w14:solidFill>
                </w14:textFill>
              </w:rPr>
              <w:t>以</w:t>
            </w:r>
            <w:r>
              <w:rPr>
                <w:rFonts w:hint="eastAsia"/>
                <w:bCs/>
                <w:color w:val="000000" w:themeColor="text1"/>
                <w:szCs w:val="21"/>
                <w14:textFill>
                  <w14:solidFill>
                    <w14:schemeClr w14:val="tx1"/>
                  </w14:solidFill>
                </w14:textFill>
              </w:rPr>
              <w:t>生产厂房为起点</w:t>
            </w:r>
            <w:r>
              <w:rPr>
                <w:bCs/>
                <w:color w:val="000000" w:themeColor="text1"/>
                <w:szCs w:val="21"/>
                <w14:textFill>
                  <w14:solidFill>
                    <w14:schemeClr w14:val="tx1"/>
                  </w14:solidFill>
                </w14:textFill>
              </w:rPr>
              <w:t>设置</w:t>
            </w:r>
            <w:r>
              <w:rPr>
                <w:rFonts w:hint="eastAsia"/>
                <w:bCs/>
                <w:color w:val="000000" w:themeColor="text1"/>
                <w:szCs w:val="21"/>
                <w14:textFill>
                  <w14:solidFill>
                    <w14:schemeClr w14:val="tx1"/>
                  </w14:solidFill>
                </w14:textFill>
              </w:rPr>
              <w:t>10</w:t>
            </w:r>
            <w:r>
              <w:rPr>
                <w:bCs/>
                <w:color w:val="000000" w:themeColor="text1"/>
                <w:szCs w:val="21"/>
                <w14:textFill>
                  <w14:solidFill>
                    <w14:schemeClr w14:val="tx1"/>
                  </w14:solidFill>
                </w14:textFill>
              </w:rPr>
              <w:t>0m卫生防护距离</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卫生防护距离内无大气环境保护敏感目标。</w:t>
            </w:r>
          </w:p>
          <w:p w14:paraId="55819802">
            <w:pPr>
              <w:adjustRightInd w:val="0"/>
              <w:snapToGrid w:val="0"/>
              <w:spacing w:line="420" w:lineRule="exact"/>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本项目吹塑、印刷、烘干、印刷机清理工序产生的有机废气经</w:t>
            </w:r>
            <w:r>
              <w:rPr>
                <w:rFonts w:hint="eastAsia"/>
                <w:bCs/>
                <w:color w:val="000000" w:themeColor="text1"/>
                <w:szCs w:val="21"/>
                <w:lang w:val="en-US" w:eastAsia="zh-CN"/>
                <w14:textFill>
                  <w14:solidFill>
                    <w14:schemeClr w14:val="tx1"/>
                  </w14:solidFill>
                </w14:textFill>
              </w:rPr>
              <w:t>包围式集气罩收集后通过1套二级活性炭吸附</w:t>
            </w:r>
            <w:r>
              <w:rPr>
                <w:rFonts w:hint="eastAsia"/>
                <w:bCs/>
                <w:color w:val="000000" w:themeColor="text1"/>
                <w:szCs w:val="21"/>
                <w14:textFill>
                  <w14:solidFill>
                    <w14:schemeClr w14:val="tx1"/>
                  </w14:solidFill>
                </w14:textFill>
              </w:rPr>
              <w:t>装置</w:t>
            </w:r>
            <w:r>
              <w:rPr>
                <w:rFonts w:hint="eastAsia"/>
                <w:bCs/>
                <w:color w:val="000000" w:themeColor="text1"/>
                <w:szCs w:val="21"/>
                <w:lang w:val="en-US" w:eastAsia="zh-CN"/>
                <w14:textFill>
                  <w14:solidFill>
                    <w14:schemeClr w14:val="tx1"/>
                  </w14:solidFill>
                </w14:textFill>
              </w:rPr>
              <w:t>T</w:t>
            </w:r>
            <w:r>
              <w:rPr>
                <w:rFonts w:hint="eastAsia"/>
                <w:bCs/>
                <w:color w:val="000000" w:themeColor="text1"/>
                <w:szCs w:val="21"/>
                <w14:textFill>
                  <w14:solidFill>
                    <w14:schemeClr w14:val="tx1"/>
                  </w14:solidFill>
                </w14:textFill>
              </w:rPr>
              <w:t>A001处理后通过</w:t>
            </w:r>
            <w:r>
              <w:rPr>
                <w:rFonts w:hint="eastAsia"/>
                <w:bCs/>
                <w:color w:val="000000" w:themeColor="text1"/>
                <w:szCs w:val="21"/>
                <w:lang w:val="en-US" w:eastAsia="zh-CN"/>
                <w14:textFill>
                  <w14:solidFill>
                    <w14:schemeClr w14:val="tx1"/>
                  </w14:solidFill>
                </w14:textFill>
              </w:rPr>
              <w:t>2</w:t>
            </w:r>
            <w:r>
              <w:rPr>
                <w:rFonts w:hint="eastAsia"/>
                <w:bCs/>
                <w:color w:val="000000" w:themeColor="text1"/>
                <w:szCs w:val="21"/>
                <w14:textFill>
                  <w14:solidFill>
                    <w14:schemeClr w14:val="tx1"/>
                  </w14:solidFill>
                </w14:textFill>
              </w:rPr>
              <w:t>5米高</w:t>
            </w:r>
            <w:r>
              <w:rPr>
                <w:rFonts w:hint="eastAsia"/>
                <w:bCs/>
                <w:color w:val="000000" w:themeColor="text1"/>
                <w:szCs w:val="21"/>
                <w:lang w:val="en-US" w:eastAsia="zh-CN"/>
                <w14:textFill>
                  <w14:solidFill>
                    <w14:schemeClr w14:val="tx1"/>
                  </w14:solidFill>
                </w14:textFill>
              </w:rPr>
              <w:t>DA00</w:t>
            </w:r>
            <w:r>
              <w:rPr>
                <w:rFonts w:hint="eastAsia"/>
                <w:bCs/>
                <w:color w:val="000000" w:themeColor="text1"/>
                <w:szCs w:val="21"/>
                <w14:textFill>
                  <w14:solidFill>
                    <w14:schemeClr w14:val="tx1"/>
                  </w14:solidFill>
                </w14:textFill>
              </w:rPr>
              <w:t>1排气筒排放；</w:t>
            </w:r>
            <w:r>
              <w:rPr>
                <w:rFonts w:hint="eastAsia"/>
                <w:bCs/>
                <w:color w:val="000000" w:themeColor="text1"/>
                <w:szCs w:val="21"/>
                <w:lang w:val="en-US" w:eastAsia="zh-CN"/>
                <w14:textFill>
                  <w14:solidFill>
                    <w14:schemeClr w14:val="tx1"/>
                  </w14:solidFill>
                </w14:textFill>
              </w:rPr>
              <w:t>破碎</w:t>
            </w:r>
            <w:r>
              <w:rPr>
                <w:rFonts w:hint="eastAsia"/>
                <w:bCs/>
                <w:color w:val="000000" w:themeColor="text1"/>
                <w:szCs w:val="21"/>
                <w14:textFill>
                  <w14:solidFill>
                    <w14:schemeClr w14:val="tx1"/>
                  </w14:solidFill>
                </w14:textFill>
              </w:rPr>
              <w:t>工序产生的颗粒物量较少，直接在生产</w:t>
            </w:r>
            <w:r>
              <w:rPr>
                <w:rFonts w:hint="eastAsia"/>
                <w:bCs/>
                <w:color w:val="000000" w:themeColor="text1"/>
                <w:szCs w:val="21"/>
                <w:lang w:val="en-US" w:eastAsia="zh-CN"/>
                <w14:textFill>
                  <w14:solidFill>
                    <w14:schemeClr w14:val="tx1"/>
                  </w14:solidFill>
                </w14:textFill>
              </w:rPr>
              <w:t>厂房</w:t>
            </w:r>
            <w:r>
              <w:rPr>
                <w:rFonts w:hint="eastAsia"/>
                <w:bCs/>
                <w:color w:val="000000" w:themeColor="text1"/>
                <w:szCs w:val="21"/>
                <w14:textFill>
                  <w14:solidFill>
                    <w14:schemeClr w14:val="tx1"/>
                  </w14:solidFill>
                </w14:textFill>
              </w:rPr>
              <w:t>内无组织排放。经分析可知，本项目各环节废气排放量较少，均可达标排放。</w:t>
            </w:r>
          </w:p>
          <w:p w14:paraId="6C6C0DE4">
            <w:pPr>
              <w:adjustRightInd w:val="0"/>
              <w:snapToGrid w:val="0"/>
              <w:spacing w:line="420" w:lineRule="exact"/>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综上所述，本项目建成投产后不会降低区域大气环境质量，对周围大气环境影响较小。</w:t>
            </w:r>
          </w:p>
          <w:p w14:paraId="673B9FC1">
            <w:pPr>
              <w:adjustRightInd w:val="0"/>
              <w:snapToGrid w:val="0"/>
              <w:spacing w:line="420" w:lineRule="exact"/>
              <w:ind w:firstLine="422" w:firstLineChars="20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4.2废水</w:t>
            </w:r>
          </w:p>
          <w:p w14:paraId="3E8F849D">
            <w:pPr>
              <w:adjustRightInd w:val="0"/>
              <w:snapToGrid w:val="0"/>
              <w:spacing w:line="420" w:lineRule="exact"/>
              <w:ind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4.2.1污染物产生及排放情况</w:t>
            </w:r>
          </w:p>
          <w:p w14:paraId="33BAB832">
            <w:pPr>
              <w:adjustRightInd w:val="0"/>
              <w:snapToGrid w:val="0"/>
              <w:spacing w:line="420" w:lineRule="exact"/>
              <w:ind w:firstLine="420" w:firstLineChars="200"/>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根据上文2.</w:t>
            </w:r>
            <w:r>
              <w:rPr>
                <w:rFonts w:hint="eastAsia"/>
                <w:color w:val="000000" w:themeColor="text1"/>
                <w:szCs w:val="21"/>
                <w:lang w:val="en-US" w:eastAsia="zh-CN"/>
                <w14:textFill>
                  <w14:solidFill>
                    <w14:schemeClr w14:val="tx1"/>
                  </w14:solidFill>
                </w14:textFill>
              </w:rPr>
              <w:t>7</w:t>
            </w:r>
            <w:r>
              <w:rPr>
                <w:rFonts w:hint="eastAsia"/>
                <w:color w:val="000000" w:themeColor="text1"/>
                <w:szCs w:val="21"/>
                <w14:textFill>
                  <w14:solidFill>
                    <w14:schemeClr w14:val="tx1"/>
                  </w14:solidFill>
                </w14:textFill>
              </w:rPr>
              <w:t>章节“水平衡分析”可知，本项目无生产废水排放，</w:t>
            </w:r>
            <w:r>
              <w:rPr>
                <w:rFonts w:hint="eastAsia"/>
                <w:bCs/>
                <w:color w:val="000000" w:themeColor="text1"/>
                <w:szCs w:val="21"/>
                <w14:textFill>
                  <w14:solidFill>
                    <w14:schemeClr w14:val="tx1"/>
                  </w14:solidFill>
                </w14:textFill>
              </w:rPr>
              <w:t>生活污水接管至</w:t>
            </w:r>
            <w:r>
              <w:rPr>
                <w:rFonts w:hint="eastAsia"/>
                <w:bCs/>
                <w:color w:val="000000" w:themeColor="text1"/>
                <w:szCs w:val="21"/>
                <w:lang w:eastAsia="zh-CN"/>
                <w14:textFill>
                  <w14:solidFill>
                    <w14:schemeClr w14:val="tx1"/>
                  </w14:solidFill>
                </w14:textFill>
              </w:rPr>
              <w:t>江苏中法水务股份有限公司（城东水质净化厂）</w:t>
            </w:r>
            <w:r>
              <w:rPr>
                <w:rFonts w:hint="eastAsia"/>
                <w:bCs/>
                <w:color w:val="000000" w:themeColor="text1"/>
                <w:szCs w:val="21"/>
                <w14:textFill>
                  <w14:solidFill>
                    <w14:schemeClr w14:val="tx1"/>
                  </w14:solidFill>
                </w14:textFill>
              </w:rPr>
              <w:t>集中处理，尾水排入大滃。</w:t>
            </w:r>
          </w:p>
          <w:p w14:paraId="2712E300">
            <w:pPr>
              <w:adjustRightInd w:val="0"/>
              <w:snapToGrid w:val="0"/>
              <w:spacing w:line="420" w:lineRule="exact"/>
              <w:ind w:firstLine="420" w:firstLineChars="200"/>
              <w:rPr>
                <w:bCs/>
                <w:color w:val="000000" w:themeColor="text1"/>
                <w:spacing w:val="-10"/>
                <w:szCs w:val="21"/>
                <w14:textFill>
                  <w14:solidFill>
                    <w14:schemeClr w14:val="tx1"/>
                  </w14:solidFill>
                </w14:textFill>
              </w:rPr>
            </w:pPr>
            <w:r>
              <w:rPr>
                <w:rFonts w:hint="eastAsia"/>
                <w:bCs/>
                <w:color w:val="000000" w:themeColor="text1"/>
                <w:szCs w:val="21"/>
                <w14:textFill>
                  <w14:solidFill>
                    <w14:schemeClr w14:val="tx1"/>
                  </w14:solidFill>
                </w14:textFill>
              </w:rPr>
              <w:t>本项目废水产生、治理及排放情况见表4.2-1。</w:t>
            </w:r>
          </w:p>
        </w:tc>
      </w:tr>
    </w:tbl>
    <w:p w14:paraId="3D0EC1DB">
      <w:pPr>
        <w:pStyle w:val="10"/>
        <w:rPr>
          <w:color w:val="000000" w:themeColor="text1"/>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2727"/>
      </w:tblGrid>
      <w:tr w14:paraId="3353DC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 w:type="pct"/>
            <w:noWrap/>
            <w:tcMar>
              <w:left w:w="28" w:type="dxa"/>
              <w:right w:w="28" w:type="dxa"/>
            </w:tcMar>
            <w:vAlign w:val="center"/>
          </w:tcPr>
          <w:p w14:paraId="52BD1300">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运营</w:t>
            </w:r>
          </w:p>
          <w:p w14:paraId="3000E19A">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期环</w:t>
            </w:r>
          </w:p>
          <w:p w14:paraId="6CBD4423">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境影</w:t>
            </w:r>
          </w:p>
          <w:p w14:paraId="1EDAC7B2">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响和</w:t>
            </w:r>
          </w:p>
          <w:p w14:paraId="242014BF">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保护</w:t>
            </w:r>
          </w:p>
          <w:p w14:paraId="105041C3">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措施</w:t>
            </w:r>
          </w:p>
        </w:tc>
        <w:tc>
          <w:tcPr>
            <w:tcW w:w="4840" w:type="pct"/>
            <w:noWrap/>
            <w:vAlign w:val="center"/>
          </w:tcPr>
          <w:p w14:paraId="6C7270FC">
            <w:pPr>
              <w:spacing w:beforeLines="30"/>
              <w:jc w:val="center"/>
              <w:rPr>
                <w:color w:val="000000" w:themeColor="text1"/>
                <w:sz w:val="24"/>
                <w14:textFill>
                  <w14:solidFill>
                    <w14:schemeClr w14:val="tx1"/>
                  </w14:solidFill>
                </w14:textFill>
              </w:rPr>
            </w:pPr>
            <w:r>
              <w:rPr>
                <w:b/>
                <w:bCs/>
                <w:color w:val="000000" w:themeColor="text1"/>
                <w:szCs w:val="21"/>
                <w14:textFill>
                  <w14:solidFill>
                    <w14:schemeClr w14:val="tx1"/>
                  </w14:solidFill>
                </w14:textFill>
              </w:rPr>
              <w:t>表4.2-1  本项目废水产生、治理及排放情况一览表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9"/>
              <w:gridCol w:w="544"/>
              <w:gridCol w:w="922"/>
              <w:gridCol w:w="584"/>
              <w:gridCol w:w="946"/>
              <w:gridCol w:w="373"/>
              <w:gridCol w:w="703"/>
              <w:gridCol w:w="388"/>
              <w:gridCol w:w="621"/>
              <w:gridCol w:w="613"/>
              <w:gridCol w:w="1068"/>
              <w:gridCol w:w="1126"/>
              <w:gridCol w:w="1381"/>
              <w:gridCol w:w="448"/>
              <w:gridCol w:w="826"/>
              <w:gridCol w:w="1339"/>
            </w:tblGrid>
            <w:tr w14:paraId="190F45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restart"/>
                  <w:noWrap/>
                  <w:vAlign w:val="center"/>
                </w:tcPr>
                <w:p w14:paraId="0EEE684C">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产排污环节</w:t>
                  </w:r>
                </w:p>
              </w:tc>
              <w:tc>
                <w:tcPr>
                  <w:tcW w:w="217" w:type="pct"/>
                  <w:vMerge w:val="restart"/>
                  <w:noWrap/>
                  <w:vAlign w:val="center"/>
                </w:tcPr>
                <w:p w14:paraId="6598D030">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类别</w:t>
                  </w:r>
                </w:p>
              </w:tc>
              <w:tc>
                <w:tcPr>
                  <w:tcW w:w="368" w:type="pct"/>
                  <w:vMerge w:val="restart"/>
                  <w:noWrap/>
                  <w:vAlign w:val="center"/>
                </w:tcPr>
                <w:p w14:paraId="5D4A611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p>
                <w:p w14:paraId="6098A7B5">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种类</w:t>
                  </w:r>
                </w:p>
              </w:tc>
              <w:tc>
                <w:tcPr>
                  <w:tcW w:w="611" w:type="pct"/>
                  <w:gridSpan w:val="2"/>
                  <w:noWrap/>
                  <w:vAlign w:val="center"/>
                </w:tcPr>
                <w:p w14:paraId="7AAA3C1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污染物产生</w:t>
                  </w:r>
                </w:p>
                <w:p w14:paraId="5DF7DFA4">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状况</w:t>
                  </w:r>
                </w:p>
              </w:tc>
              <w:tc>
                <w:tcPr>
                  <w:tcW w:w="833" w:type="pct"/>
                  <w:gridSpan w:val="4"/>
                  <w:noWrap/>
                  <w:vAlign w:val="center"/>
                </w:tcPr>
                <w:p w14:paraId="77360800">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治理设施</w:t>
                  </w:r>
                </w:p>
              </w:tc>
              <w:tc>
                <w:tcPr>
                  <w:tcW w:w="671" w:type="pct"/>
                  <w:gridSpan w:val="2"/>
                  <w:noWrap/>
                  <w:vAlign w:val="center"/>
                </w:tcPr>
                <w:p w14:paraId="7328ACC9">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污染物排放</w:t>
                  </w:r>
                </w:p>
                <w:p w14:paraId="3FACA9A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状况</w:t>
                  </w:r>
                </w:p>
              </w:tc>
              <w:tc>
                <w:tcPr>
                  <w:tcW w:w="449" w:type="pct"/>
                  <w:noWrap/>
                  <w:vAlign w:val="center"/>
                </w:tcPr>
                <w:p w14:paraId="00C08E8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w:t>
                  </w:r>
                </w:p>
                <w:p w14:paraId="3EF6AF90">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w:t>
                  </w:r>
                </w:p>
              </w:tc>
              <w:tc>
                <w:tcPr>
                  <w:tcW w:w="551" w:type="pct"/>
                  <w:vMerge w:val="restart"/>
                  <w:noWrap/>
                  <w:vAlign w:val="center"/>
                </w:tcPr>
                <w:p w14:paraId="3AAF5C4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w:t>
                  </w:r>
                </w:p>
                <w:p w14:paraId="4649A38A">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规律</w:t>
                  </w:r>
                </w:p>
              </w:tc>
              <w:tc>
                <w:tcPr>
                  <w:tcW w:w="179" w:type="pct"/>
                  <w:vMerge w:val="restart"/>
                  <w:noWrap/>
                  <w:vAlign w:val="center"/>
                </w:tcPr>
                <w:p w14:paraId="077FEF7C">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w:t>
                  </w:r>
                </w:p>
                <w:p w14:paraId="3AB6A89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方式</w:t>
                  </w:r>
                </w:p>
              </w:tc>
              <w:tc>
                <w:tcPr>
                  <w:tcW w:w="330" w:type="pct"/>
                  <w:vMerge w:val="restart"/>
                  <w:noWrap/>
                  <w:vAlign w:val="center"/>
                </w:tcPr>
                <w:p w14:paraId="66F69302">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排放口名称</w:t>
                  </w:r>
                </w:p>
              </w:tc>
              <w:tc>
                <w:tcPr>
                  <w:tcW w:w="534" w:type="pct"/>
                  <w:vMerge w:val="restart"/>
                  <w:noWrap/>
                  <w:vAlign w:val="center"/>
                </w:tcPr>
                <w:p w14:paraId="2ECDE774">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w:t>
                  </w:r>
                </w:p>
                <w:p w14:paraId="236A2FF5">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去向</w:t>
                  </w:r>
                </w:p>
              </w:tc>
            </w:tr>
            <w:tr w14:paraId="127409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noWrap/>
                  <w:vAlign w:val="center"/>
                </w:tcPr>
                <w:p w14:paraId="4C4D8F38">
                  <w:pPr>
                    <w:ind w:firstLine="360"/>
                    <w:jc w:val="center"/>
                    <w:rPr>
                      <w:b/>
                      <w:bCs/>
                      <w:color w:val="000000" w:themeColor="text1"/>
                      <w:szCs w:val="21"/>
                      <w14:textFill>
                        <w14:solidFill>
                          <w14:schemeClr w14:val="tx1"/>
                        </w14:solidFill>
                      </w14:textFill>
                    </w:rPr>
                  </w:pPr>
                </w:p>
              </w:tc>
              <w:tc>
                <w:tcPr>
                  <w:tcW w:w="217" w:type="pct"/>
                  <w:vMerge w:val="continue"/>
                  <w:noWrap/>
                  <w:vAlign w:val="center"/>
                </w:tcPr>
                <w:p w14:paraId="6DE46EC4">
                  <w:pPr>
                    <w:ind w:firstLine="360"/>
                    <w:jc w:val="center"/>
                    <w:rPr>
                      <w:b/>
                      <w:bCs/>
                      <w:color w:val="000000" w:themeColor="text1"/>
                      <w:szCs w:val="21"/>
                      <w14:textFill>
                        <w14:solidFill>
                          <w14:schemeClr w14:val="tx1"/>
                        </w14:solidFill>
                      </w14:textFill>
                    </w:rPr>
                  </w:pPr>
                </w:p>
              </w:tc>
              <w:tc>
                <w:tcPr>
                  <w:tcW w:w="368" w:type="pct"/>
                  <w:vMerge w:val="continue"/>
                  <w:noWrap/>
                  <w:vAlign w:val="center"/>
                </w:tcPr>
                <w:p w14:paraId="188B9CAB">
                  <w:pPr>
                    <w:ind w:firstLine="360"/>
                    <w:jc w:val="center"/>
                    <w:rPr>
                      <w:b/>
                      <w:bCs/>
                      <w:color w:val="000000" w:themeColor="text1"/>
                      <w:szCs w:val="21"/>
                      <w14:textFill>
                        <w14:solidFill>
                          <w14:schemeClr w14:val="tx1"/>
                        </w14:solidFill>
                      </w14:textFill>
                    </w:rPr>
                  </w:pPr>
                </w:p>
              </w:tc>
              <w:tc>
                <w:tcPr>
                  <w:tcW w:w="233" w:type="pct"/>
                  <w:noWrap/>
                  <w:vAlign w:val="center"/>
                </w:tcPr>
                <w:p w14:paraId="3163A7A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浓度</w:t>
                  </w:r>
                </w:p>
                <w:p w14:paraId="4B224D0C">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mg/</w:t>
                  </w:r>
                  <w:r>
                    <w:rPr>
                      <w:rFonts w:hint="eastAsia"/>
                      <w:b/>
                      <w:bCs/>
                      <w:color w:val="000000" w:themeColor="text1"/>
                      <w:szCs w:val="21"/>
                      <w14:textFill>
                        <w14:solidFill>
                          <w14:schemeClr w14:val="tx1"/>
                        </w14:solidFill>
                      </w14:textFill>
                    </w:rPr>
                    <w:t>L</w:t>
                  </w:r>
                </w:p>
              </w:tc>
              <w:tc>
                <w:tcPr>
                  <w:tcW w:w="377" w:type="pct"/>
                  <w:noWrap/>
                  <w:vAlign w:val="center"/>
                </w:tcPr>
                <w:p w14:paraId="40BDF3E0">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产生量t/a</w:t>
                  </w:r>
                </w:p>
              </w:tc>
              <w:tc>
                <w:tcPr>
                  <w:tcW w:w="149" w:type="pct"/>
                  <w:noWrap/>
                  <w:vAlign w:val="center"/>
                </w:tcPr>
                <w:p w14:paraId="177ECB6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治理</w:t>
                  </w:r>
                </w:p>
                <w:p w14:paraId="4DAAAFF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工艺</w:t>
                  </w:r>
                </w:p>
              </w:tc>
              <w:tc>
                <w:tcPr>
                  <w:tcW w:w="281" w:type="pct"/>
                  <w:noWrap/>
                  <w:vAlign w:val="center"/>
                </w:tcPr>
                <w:p w14:paraId="70463EA5">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处理能力</w:t>
                  </w:r>
                  <w:r>
                    <w:rPr>
                      <w:rFonts w:hint="eastAsia"/>
                      <w:b/>
                      <w:bCs/>
                      <w:color w:val="000000" w:themeColor="text1"/>
                      <w:szCs w:val="21"/>
                      <w14:textFill>
                        <w14:solidFill>
                          <w14:schemeClr w14:val="tx1"/>
                        </w14:solidFill>
                      </w14:textFill>
                    </w:rPr>
                    <w:t>m</w:t>
                  </w:r>
                  <w:r>
                    <w:rPr>
                      <w:rFonts w:hint="eastAsia"/>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d</w:t>
                  </w:r>
                </w:p>
              </w:tc>
              <w:tc>
                <w:tcPr>
                  <w:tcW w:w="155" w:type="pct"/>
                  <w:noWrap/>
                  <w:vAlign w:val="center"/>
                </w:tcPr>
                <w:p w14:paraId="36C0366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治理效率%</w:t>
                  </w:r>
                </w:p>
              </w:tc>
              <w:tc>
                <w:tcPr>
                  <w:tcW w:w="245" w:type="pct"/>
                  <w:noWrap/>
                  <w:vAlign w:val="center"/>
                </w:tcPr>
                <w:p w14:paraId="2040E4B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是否为可行性技术</w:t>
                  </w:r>
                </w:p>
              </w:tc>
              <w:tc>
                <w:tcPr>
                  <w:tcW w:w="245" w:type="pct"/>
                  <w:noWrap/>
                  <w:vAlign w:val="center"/>
                </w:tcPr>
                <w:p w14:paraId="09B8CCC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浓度</w:t>
                  </w:r>
                </w:p>
                <w:p w14:paraId="1A61C5FA">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mg/</w:t>
                  </w:r>
                  <w:r>
                    <w:rPr>
                      <w:rFonts w:hint="eastAsia"/>
                      <w:b/>
                      <w:bCs/>
                      <w:color w:val="000000" w:themeColor="text1"/>
                      <w:szCs w:val="21"/>
                      <w14:textFill>
                        <w14:solidFill>
                          <w14:schemeClr w14:val="tx1"/>
                        </w14:solidFill>
                      </w14:textFill>
                    </w:rPr>
                    <w:t>L</w:t>
                  </w:r>
                </w:p>
              </w:tc>
              <w:tc>
                <w:tcPr>
                  <w:tcW w:w="425" w:type="pct"/>
                  <w:noWrap/>
                  <w:vAlign w:val="center"/>
                </w:tcPr>
                <w:p w14:paraId="0A073125">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排放量t/a</w:t>
                  </w:r>
                </w:p>
              </w:tc>
              <w:tc>
                <w:tcPr>
                  <w:tcW w:w="449" w:type="pct"/>
                  <w:noWrap/>
                  <w:vAlign w:val="center"/>
                </w:tcPr>
                <w:p w14:paraId="0973991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浓度</w:t>
                  </w:r>
                </w:p>
                <w:p w14:paraId="35EEBB82">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mg/</w:t>
                  </w:r>
                  <w:r>
                    <w:rPr>
                      <w:rFonts w:hint="eastAsia"/>
                      <w:b/>
                      <w:bCs/>
                      <w:color w:val="000000" w:themeColor="text1"/>
                      <w:szCs w:val="21"/>
                      <w14:textFill>
                        <w14:solidFill>
                          <w14:schemeClr w14:val="tx1"/>
                        </w14:solidFill>
                      </w14:textFill>
                    </w:rPr>
                    <w:t>L</w:t>
                  </w:r>
                </w:p>
              </w:tc>
              <w:tc>
                <w:tcPr>
                  <w:tcW w:w="551" w:type="pct"/>
                  <w:vMerge w:val="continue"/>
                  <w:noWrap/>
                  <w:vAlign w:val="center"/>
                </w:tcPr>
                <w:p w14:paraId="000253BC">
                  <w:pPr>
                    <w:jc w:val="center"/>
                    <w:rPr>
                      <w:b/>
                      <w:bCs/>
                      <w:color w:val="000000" w:themeColor="text1"/>
                      <w:szCs w:val="21"/>
                      <w14:textFill>
                        <w14:solidFill>
                          <w14:schemeClr w14:val="tx1"/>
                        </w14:solidFill>
                      </w14:textFill>
                    </w:rPr>
                  </w:pPr>
                </w:p>
              </w:tc>
              <w:tc>
                <w:tcPr>
                  <w:tcW w:w="179" w:type="pct"/>
                  <w:vMerge w:val="continue"/>
                  <w:noWrap/>
                  <w:vAlign w:val="center"/>
                </w:tcPr>
                <w:p w14:paraId="42973BB0">
                  <w:pPr>
                    <w:jc w:val="center"/>
                    <w:rPr>
                      <w:b/>
                      <w:bCs/>
                      <w:color w:val="000000" w:themeColor="text1"/>
                      <w:szCs w:val="21"/>
                      <w14:textFill>
                        <w14:solidFill>
                          <w14:schemeClr w14:val="tx1"/>
                        </w14:solidFill>
                      </w14:textFill>
                    </w:rPr>
                  </w:pPr>
                </w:p>
              </w:tc>
              <w:tc>
                <w:tcPr>
                  <w:tcW w:w="330" w:type="pct"/>
                  <w:vMerge w:val="continue"/>
                  <w:noWrap/>
                  <w:vAlign w:val="center"/>
                </w:tcPr>
                <w:p w14:paraId="43E9DC10">
                  <w:pPr>
                    <w:jc w:val="center"/>
                    <w:rPr>
                      <w:b/>
                      <w:bCs/>
                      <w:color w:val="000000" w:themeColor="text1"/>
                      <w:szCs w:val="21"/>
                      <w14:textFill>
                        <w14:solidFill>
                          <w14:schemeClr w14:val="tx1"/>
                        </w14:solidFill>
                      </w14:textFill>
                    </w:rPr>
                  </w:pPr>
                </w:p>
              </w:tc>
              <w:tc>
                <w:tcPr>
                  <w:tcW w:w="534" w:type="pct"/>
                  <w:vMerge w:val="continue"/>
                  <w:noWrap/>
                  <w:vAlign w:val="center"/>
                </w:tcPr>
                <w:p w14:paraId="2FBBB116">
                  <w:pPr>
                    <w:jc w:val="center"/>
                    <w:rPr>
                      <w:b/>
                      <w:bCs/>
                      <w:color w:val="000000" w:themeColor="text1"/>
                      <w:szCs w:val="21"/>
                      <w14:textFill>
                        <w14:solidFill>
                          <w14:schemeClr w14:val="tx1"/>
                        </w14:solidFill>
                      </w14:textFill>
                    </w:rPr>
                  </w:pPr>
                </w:p>
              </w:tc>
            </w:tr>
            <w:tr w14:paraId="75879D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restart"/>
                  <w:noWrap/>
                  <w:vAlign w:val="center"/>
                </w:tcPr>
                <w:p w14:paraId="61A3285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员工生活</w:t>
                  </w:r>
                </w:p>
              </w:tc>
              <w:tc>
                <w:tcPr>
                  <w:tcW w:w="217" w:type="pct"/>
                  <w:vMerge w:val="restart"/>
                  <w:noWrap/>
                  <w:vAlign w:val="center"/>
                </w:tcPr>
                <w:p w14:paraId="7F726C8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生活污水</w:t>
                  </w:r>
                </w:p>
              </w:tc>
              <w:tc>
                <w:tcPr>
                  <w:tcW w:w="368" w:type="pct"/>
                  <w:noWrap/>
                  <w:vAlign w:val="center"/>
                </w:tcPr>
                <w:p w14:paraId="5A6D6D0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水量</w:t>
                  </w:r>
                </w:p>
              </w:tc>
              <w:tc>
                <w:tcPr>
                  <w:tcW w:w="233" w:type="pct"/>
                  <w:noWrap/>
                  <w:vAlign w:val="center"/>
                </w:tcPr>
                <w:p w14:paraId="76FABC1E">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w:t>
                  </w:r>
                </w:p>
              </w:tc>
              <w:tc>
                <w:tcPr>
                  <w:tcW w:w="377" w:type="pct"/>
                  <w:noWrap/>
                  <w:vAlign w:val="center"/>
                </w:tcPr>
                <w:p w14:paraId="12DA2B69">
                  <w:pPr>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540</w:t>
                  </w:r>
                </w:p>
              </w:tc>
              <w:tc>
                <w:tcPr>
                  <w:tcW w:w="149" w:type="pct"/>
                  <w:vMerge w:val="restart"/>
                  <w:noWrap/>
                  <w:vAlign w:val="center"/>
                </w:tcPr>
                <w:p w14:paraId="79F8B09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81" w:type="pct"/>
                  <w:vMerge w:val="restart"/>
                  <w:noWrap/>
                  <w:vAlign w:val="center"/>
                </w:tcPr>
                <w:p w14:paraId="5D488AE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55" w:type="pct"/>
                  <w:vMerge w:val="restart"/>
                  <w:noWrap/>
                  <w:vAlign w:val="center"/>
                </w:tcPr>
                <w:p w14:paraId="22B69485">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245" w:type="pct"/>
                  <w:vMerge w:val="restart"/>
                  <w:noWrap/>
                  <w:vAlign w:val="center"/>
                </w:tcPr>
                <w:p w14:paraId="546744A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45" w:type="pct"/>
                  <w:noWrap/>
                  <w:vAlign w:val="center"/>
                </w:tcPr>
                <w:p w14:paraId="1D4E1FDF">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w:t>
                  </w:r>
                </w:p>
              </w:tc>
              <w:tc>
                <w:tcPr>
                  <w:tcW w:w="1065" w:type="dxa"/>
                  <w:noWrap/>
                  <w:vAlign w:val="center"/>
                </w:tcPr>
                <w:p w14:paraId="2C1D8E05">
                  <w:pPr>
                    <w:jc w:val="center"/>
                    <w:rPr>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540</w:t>
                  </w:r>
                </w:p>
              </w:tc>
              <w:tc>
                <w:tcPr>
                  <w:tcW w:w="449" w:type="pct"/>
                  <w:noWrap/>
                  <w:vAlign w:val="center"/>
                </w:tcPr>
                <w:p w14:paraId="1B95B422">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w:t>
                  </w:r>
                </w:p>
              </w:tc>
              <w:tc>
                <w:tcPr>
                  <w:tcW w:w="551" w:type="pct"/>
                  <w:vMerge w:val="restart"/>
                  <w:noWrap/>
                  <w:vAlign w:val="center"/>
                </w:tcPr>
                <w:p w14:paraId="118CEE95">
                  <w:pPr>
                    <w:jc w:val="center"/>
                    <w:rPr>
                      <w:color w:val="000000" w:themeColor="text1"/>
                      <w:spacing w:val="-9"/>
                      <w:szCs w:val="21"/>
                      <w14:textFill>
                        <w14:solidFill>
                          <w14:schemeClr w14:val="tx1"/>
                        </w14:solidFill>
                      </w14:textFill>
                    </w:rPr>
                  </w:pPr>
                  <w:r>
                    <w:rPr>
                      <w:color w:val="000000" w:themeColor="text1"/>
                      <w:szCs w:val="21"/>
                      <w14:textFill>
                        <w14:solidFill>
                          <w14:schemeClr w14:val="tx1"/>
                        </w14:solidFill>
                      </w14:textFill>
                    </w:rPr>
                    <w:t>间断排放，排放期间流量不稳定且无规律，但不属于冲击型排放</w:t>
                  </w:r>
                </w:p>
              </w:tc>
              <w:tc>
                <w:tcPr>
                  <w:tcW w:w="179" w:type="pct"/>
                  <w:vMerge w:val="restart"/>
                  <w:noWrap/>
                  <w:vAlign w:val="center"/>
                </w:tcPr>
                <w:p w14:paraId="2B47C45F">
                  <w:pPr>
                    <w:jc w:val="center"/>
                    <w:rPr>
                      <w:color w:val="000000" w:themeColor="text1"/>
                      <w:spacing w:val="-9"/>
                      <w:szCs w:val="21"/>
                      <w14:textFill>
                        <w14:solidFill>
                          <w14:schemeClr w14:val="tx1"/>
                        </w14:solidFill>
                      </w14:textFill>
                    </w:rPr>
                  </w:pPr>
                  <w:r>
                    <w:rPr>
                      <w:color w:val="000000" w:themeColor="text1"/>
                      <w:spacing w:val="-9"/>
                      <w:szCs w:val="21"/>
                      <w14:textFill>
                        <w14:solidFill>
                          <w14:schemeClr w14:val="tx1"/>
                        </w14:solidFill>
                      </w14:textFill>
                    </w:rPr>
                    <w:t>间接排放</w:t>
                  </w:r>
                </w:p>
              </w:tc>
              <w:tc>
                <w:tcPr>
                  <w:tcW w:w="330" w:type="pct"/>
                  <w:vMerge w:val="restart"/>
                  <w:noWrap/>
                  <w:vAlign w:val="center"/>
                </w:tcPr>
                <w:p w14:paraId="619B9CC4">
                  <w:pPr>
                    <w:jc w:val="center"/>
                    <w:rPr>
                      <w:color w:val="000000" w:themeColor="text1"/>
                      <w:spacing w:val="-9"/>
                      <w:szCs w:val="21"/>
                      <w14:textFill>
                        <w14:solidFill>
                          <w14:schemeClr w14:val="tx1"/>
                        </w14:solidFill>
                      </w14:textFill>
                    </w:rPr>
                  </w:pPr>
                  <w:r>
                    <w:rPr>
                      <w:color w:val="000000" w:themeColor="text1"/>
                      <w14:textFill>
                        <w14:solidFill>
                          <w14:schemeClr w14:val="tx1"/>
                        </w14:solidFill>
                      </w14:textFill>
                    </w:rPr>
                    <w:t>污水总排口</w:t>
                  </w:r>
                </w:p>
              </w:tc>
              <w:tc>
                <w:tcPr>
                  <w:tcW w:w="534" w:type="pct"/>
                  <w:vMerge w:val="restart"/>
                  <w:noWrap/>
                  <w:vAlign w:val="center"/>
                </w:tcPr>
                <w:p w14:paraId="1387FAA4">
                  <w:pPr>
                    <w:jc w:val="center"/>
                    <w:rPr>
                      <w:rFonts w:hint="eastAsia" w:eastAsia="宋体"/>
                      <w:color w:val="000000" w:themeColor="text1"/>
                      <w:spacing w:val="-9"/>
                      <w:szCs w:val="21"/>
                      <w:lang w:eastAsia="zh-CN"/>
                      <w14:textFill>
                        <w14:solidFill>
                          <w14:schemeClr w14:val="tx1"/>
                        </w14:solidFill>
                      </w14:textFill>
                    </w:rPr>
                  </w:pPr>
                  <w:r>
                    <w:rPr>
                      <w:color w:val="000000" w:themeColor="text1"/>
                      <w:szCs w:val="21"/>
                      <w14:textFill>
                        <w14:solidFill>
                          <w14:schemeClr w14:val="tx1"/>
                        </w14:solidFill>
                      </w14:textFill>
                    </w:rPr>
                    <w:t>接管至</w:t>
                  </w:r>
                  <w:r>
                    <w:rPr>
                      <w:rFonts w:hint="eastAsia"/>
                      <w:color w:val="000000" w:themeColor="text1"/>
                      <w:szCs w:val="21"/>
                      <w:lang w:eastAsia="zh-CN"/>
                      <w14:textFill>
                        <w14:solidFill>
                          <w14:schemeClr w14:val="tx1"/>
                        </w14:solidFill>
                      </w14:textFill>
                    </w:rPr>
                    <w:t>江苏中法水务股份有限公司（城东水质净化厂）</w:t>
                  </w:r>
                </w:p>
              </w:tc>
            </w:tr>
            <w:tr w14:paraId="0BD4FC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noWrap/>
                  <w:vAlign w:val="center"/>
                </w:tcPr>
                <w:p w14:paraId="632360D1">
                  <w:pPr>
                    <w:jc w:val="center"/>
                    <w:rPr>
                      <w:color w:val="000000" w:themeColor="text1"/>
                      <w:szCs w:val="21"/>
                      <w14:textFill>
                        <w14:solidFill>
                          <w14:schemeClr w14:val="tx1"/>
                        </w14:solidFill>
                      </w14:textFill>
                    </w:rPr>
                  </w:pPr>
                </w:p>
              </w:tc>
              <w:tc>
                <w:tcPr>
                  <w:tcW w:w="217" w:type="pct"/>
                  <w:vMerge w:val="continue"/>
                  <w:noWrap/>
                  <w:vAlign w:val="center"/>
                </w:tcPr>
                <w:p w14:paraId="462AC47B">
                  <w:pPr>
                    <w:jc w:val="center"/>
                    <w:rPr>
                      <w:color w:val="000000" w:themeColor="text1"/>
                      <w:szCs w:val="21"/>
                      <w14:textFill>
                        <w14:solidFill>
                          <w14:schemeClr w14:val="tx1"/>
                        </w14:solidFill>
                      </w14:textFill>
                    </w:rPr>
                  </w:pPr>
                </w:p>
              </w:tc>
              <w:tc>
                <w:tcPr>
                  <w:tcW w:w="368" w:type="pct"/>
                  <w:noWrap/>
                  <w:vAlign w:val="center"/>
                </w:tcPr>
                <w:p w14:paraId="04FA508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584" w:type="dxa"/>
                  <w:noWrap/>
                  <w:vAlign w:val="center"/>
                </w:tcPr>
                <w:p w14:paraId="0FA5D1D9">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35</w:t>
                  </w:r>
                  <w:r>
                    <w:rPr>
                      <w:rFonts w:hint="eastAsia"/>
                      <w:color w:val="000000" w:themeColor="text1"/>
                      <w:szCs w:val="21"/>
                      <w14:textFill>
                        <w14:solidFill>
                          <w14:schemeClr w14:val="tx1"/>
                        </w14:solidFill>
                      </w14:textFill>
                    </w:rPr>
                    <w:t>0</w:t>
                  </w:r>
                </w:p>
              </w:tc>
              <w:tc>
                <w:tcPr>
                  <w:tcW w:w="377" w:type="pct"/>
                  <w:noWrap/>
                  <w:vAlign w:val="center"/>
                </w:tcPr>
                <w:p w14:paraId="1CBF6578">
                  <w:pPr>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0.189</w:t>
                  </w:r>
                </w:p>
              </w:tc>
              <w:tc>
                <w:tcPr>
                  <w:tcW w:w="149" w:type="pct"/>
                  <w:vMerge w:val="continue"/>
                  <w:noWrap/>
                  <w:vAlign w:val="center"/>
                </w:tcPr>
                <w:p w14:paraId="46C05EDC">
                  <w:pPr>
                    <w:jc w:val="center"/>
                    <w:rPr>
                      <w:color w:val="000000" w:themeColor="text1"/>
                      <w:szCs w:val="21"/>
                      <w14:textFill>
                        <w14:solidFill>
                          <w14:schemeClr w14:val="tx1"/>
                        </w14:solidFill>
                      </w14:textFill>
                    </w:rPr>
                  </w:pPr>
                </w:p>
              </w:tc>
              <w:tc>
                <w:tcPr>
                  <w:tcW w:w="281" w:type="pct"/>
                  <w:vMerge w:val="continue"/>
                  <w:noWrap/>
                  <w:vAlign w:val="center"/>
                </w:tcPr>
                <w:p w14:paraId="0376F64C">
                  <w:pPr>
                    <w:jc w:val="center"/>
                    <w:rPr>
                      <w:color w:val="000000" w:themeColor="text1"/>
                      <w:szCs w:val="21"/>
                      <w14:textFill>
                        <w14:solidFill>
                          <w14:schemeClr w14:val="tx1"/>
                        </w14:solidFill>
                      </w14:textFill>
                    </w:rPr>
                  </w:pPr>
                </w:p>
              </w:tc>
              <w:tc>
                <w:tcPr>
                  <w:tcW w:w="155" w:type="pct"/>
                  <w:vMerge w:val="continue"/>
                  <w:noWrap/>
                  <w:vAlign w:val="center"/>
                </w:tcPr>
                <w:p w14:paraId="7168EF2E">
                  <w:pPr>
                    <w:jc w:val="center"/>
                    <w:rPr>
                      <w:color w:val="000000" w:themeColor="text1"/>
                      <w:szCs w:val="21"/>
                      <w14:textFill>
                        <w14:solidFill>
                          <w14:schemeClr w14:val="tx1"/>
                        </w14:solidFill>
                      </w14:textFill>
                    </w:rPr>
                  </w:pPr>
                </w:p>
              </w:tc>
              <w:tc>
                <w:tcPr>
                  <w:tcW w:w="245" w:type="pct"/>
                  <w:vMerge w:val="continue"/>
                  <w:noWrap/>
                  <w:vAlign w:val="center"/>
                </w:tcPr>
                <w:p w14:paraId="14BCB86D">
                  <w:pPr>
                    <w:jc w:val="center"/>
                    <w:rPr>
                      <w:color w:val="000000" w:themeColor="text1"/>
                      <w:szCs w:val="21"/>
                      <w14:textFill>
                        <w14:solidFill>
                          <w14:schemeClr w14:val="tx1"/>
                        </w14:solidFill>
                      </w14:textFill>
                    </w:rPr>
                  </w:pPr>
                </w:p>
              </w:tc>
              <w:tc>
                <w:tcPr>
                  <w:tcW w:w="613" w:type="dxa"/>
                  <w:noWrap/>
                  <w:vAlign w:val="center"/>
                </w:tcPr>
                <w:p w14:paraId="771AAF03">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35</w:t>
                  </w:r>
                  <w:r>
                    <w:rPr>
                      <w:rFonts w:hint="eastAsia"/>
                      <w:color w:val="000000" w:themeColor="text1"/>
                      <w:szCs w:val="21"/>
                      <w14:textFill>
                        <w14:solidFill>
                          <w14:schemeClr w14:val="tx1"/>
                        </w14:solidFill>
                      </w14:textFill>
                    </w:rPr>
                    <w:t>0</w:t>
                  </w:r>
                </w:p>
              </w:tc>
              <w:tc>
                <w:tcPr>
                  <w:tcW w:w="1065" w:type="dxa"/>
                  <w:noWrap/>
                  <w:vAlign w:val="center"/>
                </w:tcPr>
                <w:p w14:paraId="5A1B3C1F">
                  <w:pPr>
                    <w:jc w:val="center"/>
                    <w:rPr>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0.189</w:t>
                  </w:r>
                </w:p>
              </w:tc>
              <w:tc>
                <w:tcPr>
                  <w:tcW w:w="1126" w:type="dxa"/>
                  <w:noWrap/>
                  <w:vAlign w:val="center"/>
                </w:tcPr>
                <w:p w14:paraId="5B5193D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w:t>
                  </w:r>
                </w:p>
              </w:tc>
              <w:tc>
                <w:tcPr>
                  <w:tcW w:w="551" w:type="pct"/>
                  <w:vMerge w:val="continue"/>
                  <w:noWrap/>
                  <w:vAlign w:val="center"/>
                </w:tcPr>
                <w:p w14:paraId="2CA9F2B0">
                  <w:pPr>
                    <w:jc w:val="center"/>
                    <w:rPr>
                      <w:color w:val="000000" w:themeColor="text1"/>
                      <w:spacing w:val="-9"/>
                      <w:szCs w:val="21"/>
                      <w14:textFill>
                        <w14:solidFill>
                          <w14:schemeClr w14:val="tx1"/>
                        </w14:solidFill>
                      </w14:textFill>
                    </w:rPr>
                  </w:pPr>
                </w:p>
              </w:tc>
              <w:tc>
                <w:tcPr>
                  <w:tcW w:w="179" w:type="pct"/>
                  <w:vMerge w:val="continue"/>
                  <w:noWrap/>
                  <w:vAlign w:val="center"/>
                </w:tcPr>
                <w:p w14:paraId="419A817E">
                  <w:pPr>
                    <w:jc w:val="center"/>
                    <w:rPr>
                      <w:color w:val="000000" w:themeColor="text1"/>
                      <w:spacing w:val="-9"/>
                      <w:szCs w:val="21"/>
                      <w14:textFill>
                        <w14:solidFill>
                          <w14:schemeClr w14:val="tx1"/>
                        </w14:solidFill>
                      </w14:textFill>
                    </w:rPr>
                  </w:pPr>
                </w:p>
              </w:tc>
              <w:tc>
                <w:tcPr>
                  <w:tcW w:w="330" w:type="pct"/>
                  <w:vMerge w:val="continue"/>
                  <w:noWrap/>
                  <w:vAlign w:val="center"/>
                </w:tcPr>
                <w:p w14:paraId="554358A5">
                  <w:pPr>
                    <w:jc w:val="center"/>
                    <w:rPr>
                      <w:color w:val="000000" w:themeColor="text1"/>
                      <w:spacing w:val="-9"/>
                      <w:szCs w:val="21"/>
                      <w14:textFill>
                        <w14:solidFill>
                          <w14:schemeClr w14:val="tx1"/>
                        </w14:solidFill>
                      </w14:textFill>
                    </w:rPr>
                  </w:pPr>
                </w:p>
              </w:tc>
              <w:tc>
                <w:tcPr>
                  <w:tcW w:w="534" w:type="pct"/>
                  <w:vMerge w:val="continue"/>
                  <w:noWrap/>
                  <w:vAlign w:val="center"/>
                </w:tcPr>
                <w:p w14:paraId="7D5000B7">
                  <w:pPr>
                    <w:jc w:val="center"/>
                    <w:rPr>
                      <w:color w:val="000000" w:themeColor="text1"/>
                      <w:spacing w:val="-9"/>
                      <w:szCs w:val="21"/>
                      <w14:textFill>
                        <w14:solidFill>
                          <w14:schemeClr w14:val="tx1"/>
                        </w14:solidFill>
                      </w14:textFill>
                    </w:rPr>
                  </w:pPr>
                </w:p>
              </w:tc>
            </w:tr>
            <w:tr w14:paraId="7071C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noWrap/>
                  <w:vAlign w:val="center"/>
                </w:tcPr>
                <w:p w14:paraId="45FD03EC">
                  <w:pPr>
                    <w:jc w:val="center"/>
                    <w:rPr>
                      <w:color w:val="000000" w:themeColor="text1"/>
                      <w:szCs w:val="21"/>
                      <w14:textFill>
                        <w14:solidFill>
                          <w14:schemeClr w14:val="tx1"/>
                        </w14:solidFill>
                      </w14:textFill>
                    </w:rPr>
                  </w:pPr>
                </w:p>
              </w:tc>
              <w:tc>
                <w:tcPr>
                  <w:tcW w:w="217" w:type="pct"/>
                  <w:vMerge w:val="continue"/>
                  <w:noWrap/>
                  <w:vAlign w:val="center"/>
                </w:tcPr>
                <w:p w14:paraId="30DB803E">
                  <w:pPr>
                    <w:jc w:val="center"/>
                    <w:rPr>
                      <w:color w:val="000000" w:themeColor="text1"/>
                      <w:szCs w:val="21"/>
                      <w14:textFill>
                        <w14:solidFill>
                          <w14:schemeClr w14:val="tx1"/>
                        </w14:solidFill>
                      </w14:textFill>
                    </w:rPr>
                  </w:pPr>
                </w:p>
              </w:tc>
              <w:tc>
                <w:tcPr>
                  <w:tcW w:w="368" w:type="pct"/>
                  <w:noWrap/>
                  <w:vAlign w:val="center"/>
                </w:tcPr>
                <w:p w14:paraId="0075AF2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BOD</w:t>
                  </w:r>
                  <w:r>
                    <w:rPr>
                      <w:rFonts w:hint="eastAsia"/>
                      <w:color w:val="000000" w:themeColor="text1"/>
                      <w:szCs w:val="21"/>
                      <w:vertAlign w:val="subscript"/>
                      <w14:textFill>
                        <w14:solidFill>
                          <w14:schemeClr w14:val="tx1"/>
                        </w14:solidFill>
                      </w14:textFill>
                    </w:rPr>
                    <w:t>5</w:t>
                  </w:r>
                </w:p>
              </w:tc>
              <w:tc>
                <w:tcPr>
                  <w:tcW w:w="584" w:type="dxa"/>
                  <w:noWrap/>
                  <w:vAlign w:val="center"/>
                </w:tcPr>
                <w:p w14:paraId="657AB578">
                  <w:pPr>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150</w:t>
                  </w:r>
                </w:p>
              </w:tc>
              <w:tc>
                <w:tcPr>
                  <w:tcW w:w="377" w:type="pct"/>
                  <w:noWrap/>
                  <w:vAlign w:val="center"/>
                </w:tcPr>
                <w:p w14:paraId="65B28AE9">
                  <w:pPr>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0.081</w:t>
                  </w:r>
                </w:p>
              </w:tc>
              <w:tc>
                <w:tcPr>
                  <w:tcW w:w="149" w:type="pct"/>
                  <w:vMerge w:val="continue"/>
                  <w:noWrap/>
                  <w:vAlign w:val="center"/>
                </w:tcPr>
                <w:p w14:paraId="27E842D2">
                  <w:pPr>
                    <w:jc w:val="center"/>
                    <w:rPr>
                      <w:color w:val="000000" w:themeColor="text1"/>
                      <w:szCs w:val="21"/>
                      <w14:textFill>
                        <w14:solidFill>
                          <w14:schemeClr w14:val="tx1"/>
                        </w14:solidFill>
                      </w14:textFill>
                    </w:rPr>
                  </w:pPr>
                </w:p>
              </w:tc>
              <w:tc>
                <w:tcPr>
                  <w:tcW w:w="281" w:type="pct"/>
                  <w:vMerge w:val="continue"/>
                  <w:noWrap/>
                  <w:vAlign w:val="center"/>
                </w:tcPr>
                <w:p w14:paraId="59A01EC0">
                  <w:pPr>
                    <w:jc w:val="center"/>
                    <w:rPr>
                      <w:color w:val="000000" w:themeColor="text1"/>
                      <w:szCs w:val="21"/>
                      <w14:textFill>
                        <w14:solidFill>
                          <w14:schemeClr w14:val="tx1"/>
                        </w14:solidFill>
                      </w14:textFill>
                    </w:rPr>
                  </w:pPr>
                </w:p>
              </w:tc>
              <w:tc>
                <w:tcPr>
                  <w:tcW w:w="155" w:type="pct"/>
                  <w:vMerge w:val="continue"/>
                  <w:noWrap/>
                  <w:vAlign w:val="center"/>
                </w:tcPr>
                <w:p w14:paraId="4271AC5B">
                  <w:pPr>
                    <w:jc w:val="center"/>
                    <w:rPr>
                      <w:color w:val="000000" w:themeColor="text1"/>
                      <w:szCs w:val="21"/>
                      <w14:textFill>
                        <w14:solidFill>
                          <w14:schemeClr w14:val="tx1"/>
                        </w14:solidFill>
                      </w14:textFill>
                    </w:rPr>
                  </w:pPr>
                </w:p>
              </w:tc>
              <w:tc>
                <w:tcPr>
                  <w:tcW w:w="245" w:type="pct"/>
                  <w:vMerge w:val="continue"/>
                  <w:noWrap/>
                  <w:vAlign w:val="center"/>
                </w:tcPr>
                <w:p w14:paraId="04A1DBAF">
                  <w:pPr>
                    <w:jc w:val="center"/>
                    <w:rPr>
                      <w:color w:val="000000" w:themeColor="text1"/>
                      <w:szCs w:val="21"/>
                      <w14:textFill>
                        <w14:solidFill>
                          <w14:schemeClr w14:val="tx1"/>
                        </w14:solidFill>
                      </w14:textFill>
                    </w:rPr>
                  </w:pPr>
                </w:p>
              </w:tc>
              <w:tc>
                <w:tcPr>
                  <w:tcW w:w="613" w:type="dxa"/>
                  <w:noWrap/>
                  <w:vAlign w:val="center"/>
                </w:tcPr>
                <w:p w14:paraId="1948DCD0">
                  <w:pPr>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150</w:t>
                  </w:r>
                </w:p>
              </w:tc>
              <w:tc>
                <w:tcPr>
                  <w:tcW w:w="1065" w:type="dxa"/>
                  <w:noWrap/>
                  <w:vAlign w:val="center"/>
                </w:tcPr>
                <w:p w14:paraId="4DA31546">
                  <w:pPr>
                    <w:jc w:val="center"/>
                    <w:rPr>
                      <w:rFonts w:hint="eastAsia"/>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0.081</w:t>
                  </w:r>
                </w:p>
              </w:tc>
              <w:tc>
                <w:tcPr>
                  <w:tcW w:w="1126" w:type="dxa"/>
                  <w:noWrap/>
                  <w:vAlign w:val="center"/>
                </w:tcPr>
                <w:p w14:paraId="310E2676">
                  <w:pPr>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200</w:t>
                  </w:r>
                </w:p>
              </w:tc>
              <w:tc>
                <w:tcPr>
                  <w:tcW w:w="551" w:type="pct"/>
                  <w:vMerge w:val="continue"/>
                  <w:noWrap/>
                  <w:vAlign w:val="center"/>
                </w:tcPr>
                <w:p w14:paraId="4BAE9E13">
                  <w:pPr>
                    <w:jc w:val="center"/>
                    <w:rPr>
                      <w:color w:val="000000" w:themeColor="text1"/>
                      <w:spacing w:val="-9"/>
                      <w:szCs w:val="21"/>
                      <w14:textFill>
                        <w14:solidFill>
                          <w14:schemeClr w14:val="tx1"/>
                        </w14:solidFill>
                      </w14:textFill>
                    </w:rPr>
                  </w:pPr>
                </w:p>
              </w:tc>
              <w:tc>
                <w:tcPr>
                  <w:tcW w:w="179" w:type="pct"/>
                  <w:vMerge w:val="continue"/>
                  <w:noWrap/>
                  <w:vAlign w:val="center"/>
                </w:tcPr>
                <w:p w14:paraId="3BF4D920">
                  <w:pPr>
                    <w:jc w:val="center"/>
                    <w:rPr>
                      <w:color w:val="000000" w:themeColor="text1"/>
                      <w:spacing w:val="-9"/>
                      <w:szCs w:val="21"/>
                      <w14:textFill>
                        <w14:solidFill>
                          <w14:schemeClr w14:val="tx1"/>
                        </w14:solidFill>
                      </w14:textFill>
                    </w:rPr>
                  </w:pPr>
                </w:p>
              </w:tc>
              <w:tc>
                <w:tcPr>
                  <w:tcW w:w="330" w:type="pct"/>
                  <w:vMerge w:val="continue"/>
                  <w:noWrap/>
                  <w:vAlign w:val="center"/>
                </w:tcPr>
                <w:p w14:paraId="22AA7486">
                  <w:pPr>
                    <w:jc w:val="center"/>
                    <w:rPr>
                      <w:color w:val="000000" w:themeColor="text1"/>
                      <w:spacing w:val="-9"/>
                      <w:szCs w:val="21"/>
                      <w14:textFill>
                        <w14:solidFill>
                          <w14:schemeClr w14:val="tx1"/>
                        </w14:solidFill>
                      </w14:textFill>
                    </w:rPr>
                  </w:pPr>
                </w:p>
              </w:tc>
              <w:tc>
                <w:tcPr>
                  <w:tcW w:w="534" w:type="pct"/>
                  <w:vMerge w:val="continue"/>
                  <w:noWrap/>
                  <w:vAlign w:val="center"/>
                </w:tcPr>
                <w:p w14:paraId="42C59680">
                  <w:pPr>
                    <w:jc w:val="center"/>
                    <w:rPr>
                      <w:color w:val="000000" w:themeColor="text1"/>
                      <w:spacing w:val="-9"/>
                      <w:szCs w:val="21"/>
                      <w14:textFill>
                        <w14:solidFill>
                          <w14:schemeClr w14:val="tx1"/>
                        </w14:solidFill>
                      </w14:textFill>
                    </w:rPr>
                  </w:pPr>
                </w:p>
              </w:tc>
            </w:tr>
            <w:tr w14:paraId="6CED37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noWrap/>
                  <w:vAlign w:val="center"/>
                </w:tcPr>
                <w:p w14:paraId="63522B79">
                  <w:pPr>
                    <w:jc w:val="center"/>
                    <w:rPr>
                      <w:color w:val="000000" w:themeColor="text1"/>
                      <w:szCs w:val="21"/>
                      <w14:textFill>
                        <w14:solidFill>
                          <w14:schemeClr w14:val="tx1"/>
                        </w14:solidFill>
                      </w14:textFill>
                    </w:rPr>
                  </w:pPr>
                </w:p>
              </w:tc>
              <w:tc>
                <w:tcPr>
                  <w:tcW w:w="217" w:type="pct"/>
                  <w:vMerge w:val="continue"/>
                  <w:noWrap/>
                  <w:vAlign w:val="center"/>
                </w:tcPr>
                <w:p w14:paraId="42E59064">
                  <w:pPr>
                    <w:jc w:val="center"/>
                    <w:rPr>
                      <w:color w:val="000000" w:themeColor="text1"/>
                      <w:szCs w:val="21"/>
                      <w14:textFill>
                        <w14:solidFill>
                          <w14:schemeClr w14:val="tx1"/>
                        </w14:solidFill>
                      </w14:textFill>
                    </w:rPr>
                  </w:pPr>
                </w:p>
              </w:tc>
              <w:tc>
                <w:tcPr>
                  <w:tcW w:w="368" w:type="pct"/>
                  <w:noWrap/>
                  <w:vAlign w:val="center"/>
                </w:tcPr>
                <w:p w14:paraId="429BDC9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584" w:type="dxa"/>
                  <w:noWrap/>
                  <w:vAlign w:val="center"/>
                </w:tcPr>
                <w:p w14:paraId="614E289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rFonts w:hint="eastAsia"/>
                      <w:color w:val="000000" w:themeColor="text1"/>
                      <w:szCs w:val="21"/>
                      <w:lang w:val="en-US" w:eastAsia="zh-CN"/>
                      <w14:textFill>
                        <w14:solidFill>
                          <w14:schemeClr w14:val="tx1"/>
                        </w14:solidFill>
                      </w14:textFill>
                    </w:rPr>
                    <w:t>0</w:t>
                  </w:r>
                  <w:r>
                    <w:rPr>
                      <w:rFonts w:hint="eastAsia"/>
                      <w:color w:val="000000" w:themeColor="text1"/>
                      <w:szCs w:val="21"/>
                      <w14:textFill>
                        <w14:solidFill>
                          <w14:schemeClr w14:val="tx1"/>
                        </w14:solidFill>
                      </w14:textFill>
                    </w:rPr>
                    <w:t>0</w:t>
                  </w:r>
                </w:p>
              </w:tc>
              <w:tc>
                <w:tcPr>
                  <w:tcW w:w="377" w:type="pct"/>
                  <w:noWrap/>
                  <w:vAlign w:val="center"/>
                </w:tcPr>
                <w:p w14:paraId="0BCFAE29">
                  <w:pPr>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0.108</w:t>
                  </w:r>
                </w:p>
              </w:tc>
              <w:tc>
                <w:tcPr>
                  <w:tcW w:w="149" w:type="pct"/>
                  <w:vMerge w:val="continue"/>
                  <w:noWrap/>
                  <w:vAlign w:val="center"/>
                </w:tcPr>
                <w:p w14:paraId="3872076A">
                  <w:pPr>
                    <w:jc w:val="center"/>
                    <w:rPr>
                      <w:color w:val="000000" w:themeColor="text1"/>
                      <w:szCs w:val="21"/>
                      <w14:textFill>
                        <w14:solidFill>
                          <w14:schemeClr w14:val="tx1"/>
                        </w14:solidFill>
                      </w14:textFill>
                    </w:rPr>
                  </w:pPr>
                </w:p>
              </w:tc>
              <w:tc>
                <w:tcPr>
                  <w:tcW w:w="281" w:type="pct"/>
                  <w:vMerge w:val="continue"/>
                  <w:noWrap/>
                  <w:vAlign w:val="center"/>
                </w:tcPr>
                <w:p w14:paraId="01BBDD44">
                  <w:pPr>
                    <w:jc w:val="center"/>
                    <w:rPr>
                      <w:color w:val="000000" w:themeColor="text1"/>
                      <w:szCs w:val="21"/>
                      <w14:textFill>
                        <w14:solidFill>
                          <w14:schemeClr w14:val="tx1"/>
                        </w14:solidFill>
                      </w14:textFill>
                    </w:rPr>
                  </w:pPr>
                </w:p>
              </w:tc>
              <w:tc>
                <w:tcPr>
                  <w:tcW w:w="155" w:type="pct"/>
                  <w:vMerge w:val="continue"/>
                  <w:noWrap/>
                  <w:vAlign w:val="center"/>
                </w:tcPr>
                <w:p w14:paraId="5CAFB69C">
                  <w:pPr>
                    <w:jc w:val="center"/>
                    <w:rPr>
                      <w:color w:val="000000" w:themeColor="text1"/>
                      <w:szCs w:val="21"/>
                      <w14:textFill>
                        <w14:solidFill>
                          <w14:schemeClr w14:val="tx1"/>
                        </w14:solidFill>
                      </w14:textFill>
                    </w:rPr>
                  </w:pPr>
                </w:p>
              </w:tc>
              <w:tc>
                <w:tcPr>
                  <w:tcW w:w="245" w:type="pct"/>
                  <w:vMerge w:val="continue"/>
                  <w:noWrap/>
                  <w:vAlign w:val="center"/>
                </w:tcPr>
                <w:p w14:paraId="171ED92F">
                  <w:pPr>
                    <w:jc w:val="center"/>
                    <w:rPr>
                      <w:color w:val="000000" w:themeColor="text1"/>
                      <w:szCs w:val="21"/>
                      <w14:textFill>
                        <w14:solidFill>
                          <w14:schemeClr w14:val="tx1"/>
                        </w14:solidFill>
                      </w14:textFill>
                    </w:rPr>
                  </w:pPr>
                </w:p>
              </w:tc>
              <w:tc>
                <w:tcPr>
                  <w:tcW w:w="613" w:type="dxa"/>
                  <w:noWrap/>
                  <w:vAlign w:val="center"/>
                </w:tcPr>
                <w:p w14:paraId="47D08C5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rFonts w:hint="eastAsia"/>
                      <w:color w:val="000000" w:themeColor="text1"/>
                      <w:szCs w:val="21"/>
                      <w:lang w:val="en-US" w:eastAsia="zh-CN"/>
                      <w14:textFill>
                        <w14:solidFill>
                          <w14:schemeClr w14:val="tx1"/>
                        </w14:solidFill>
                      </w14:textFill>
                    </w:rPr>
                    <w:t>0</w:t>
                  </w:r>
                  <w:r>
                    <w:rPr>
                      <w:rFonts w:hint="eastAsia"/>
                      <w:color w:val="000000" w:themeColor="text1"/>
                      <w:szCs w:val="21"/>
                      <w14:textFill>
                        <w14:solidFill>
                          <w14:schemeClr w14:val="tx1"/>
                        </w14:solidFill>
                      </w14:textFill>
                    </w:rPr>
                    <w:t>0</w:t>
                  </w:r>
                </w:p>
              </w:tc>
              <w:tc>
                <w:tcPr>
                  <w:tcW w:w="1065" w:type="dxa"/>
                  <w:noWrap/>
                  <w:vAlign w:val="center"/>
                </w:tcPr>
                <w:p w14:paraId="65E61013">
                  <w:pPr>
                    <w:jc w:val="center"/>
                    <w:rPr>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0.108</w:t>
                  </w:r>
                </w:p>
              </w:tc>
              <w:tc>
                <w:tcPr>
                  <w:tcW w:w="1126" w:type="dxa"/>
                  <w:noWrap/>
                  <w:vAlign w:val="center"/>
                </w:tcPr>
                <w:p w14:paraId="1013F6D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w:t>
                  </w:r>
                </w:p>
              </w:tc>
              <w:tc>
                <w:tcPr>
                  <w:tcW w:w="551" w:type="pct"/>
                  <w:vMerge w:val="continue"/>
                  <w:noWrap/>
                  <w:vAlign w:val="center"/>
                </w:tcPr>
                <w:p w14:paraId="0C329042">
                  <w:pPr>
                    <w:jc w:val="center"/>
                    <w:rPr>
                      <w:color w:val="000000" w:themeColor="text1"/>
                      <w:spacing w:val="-9"/>
                      <w:szCs w:val="21"/>
                      <w14:textFill>
                        <w14:solidFill>
                          <w14:schemeClr w14:val="tx1"/>
                        </w14:solidFill>
                      </w14:textFill>
                    </w:rPr>
                  </w:pPr>
                </w:p>
              </w:tc>
              <w:tc>
                <w:tcPr>
                  <w:tcW w:w="179" w:type="pct"/>
                  <w:vMerge w:val="continue"/>
                  <w:noWrap/>
                  <w:vAlign w:val="center"/>
                </w:tcPr>
                <w:p w14:paraId="35D13162">
                  <w:pPr>
                    <w:jc w:val="center"/>
                    <w:rPr>
                      <w:color w:val="000000" w:themeColor="text1"/>
                      <w:spacing w:val="-9"/>
                      <w:szCs w:val="21"/>
                      <w14:textFill>
                        <w14:solidFill>
                          <w14:schemeClr w14:val="tx1"/>
                        </w14:solidFill>
                      </w14:textFill>
                    </w:rPr>
                  </w:pPr>
                </w:p>
              </w:tc>
              <w:tc>
                <w:tcPr>
                  <w:tcW w:w="330" w:type="pct"/>
                  <w:vMerge w:val="continue"/>
                  <w:noWrap/>
                  <w:vAlign w:val="center"/>
                </w:tcPr>
                <w:p w14:paraId="4AB37B49">
                  <w:pPr>
                    <w:jc w:val="center"/>
                    <w:rPr>
                      <w:color w:val="000000" w:themeColor="text1"/>
                      <w:spacing w:val="-9"/>
                      <w:szCs w:val="21"/>
                      <w14:textFill>
                        <w14:solidFill>
                          <w14:schemeClr w14:val="tx1"/>
                        </w14:solidFill>
                      </w14:textFill>
                    </w:rPr>
                  </w:pPr>
                </w:p>
              </w:tc>
              <w:tc>
                <w:tcPr>
                  <w:tcW w:w="534" w:type="pct"/>
                  <w:vMerge w:val="continue"/>
                  <w:noWrap/>
                  <w:vAlign w:val="center"/>
                </w:tcPr>
                <w:p w14:paraId="06531531">
                  <w:pPr>
                    <w:jc w:val="center"/>
                    <w:rPr>
                      <w:color w:val="000000" w:themeColor="text1"/>
                      <w:spacing w:val="-9"/>
                      <w:szCs w:val="21"/>
                      <w14:textFill>
                        <w14:solidFill>
                          <w14:schemeClr w14:val="tx1"/>
                        </w14:solidFill>
                      </w14:textFill>
                    </w:rPr>
                  </w:pPr>
                </w:p>
              </w:tc>
            </w:tr>
            <w:tr w14:paraId="4663C2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251" w:type="pct"/>
                  <w:vMerge w:val="continue"/>
                  <w:noWrap/>
                  <w:vAlign w:val="center"/>
                </w:tcPr>
                <w:p w14:paraId="3F67CCDA">
                  <w:pPr>
                    <w:jc w:val="center"/>
                    <w:rPr>
                      <w:color w:val="000000" w:themeColor="text1"/>
                      <w:szCs w:val="21"/>
                      <w14:textFill>
                        <w14:solidFill>
                          <w14:schemeClr w14:val="tx1"/>
                        </w14:solidFill>
                      </w14:textFill>
                    </w:rPr>
                  </w:pPr>
                </w:p>
              </w:tc>
              <w:tc>
                <w:tcPr>
                  <w:tcW w:w="217" w:type="pct"/>
                  <w:vMerge w:val="continue"/>
                  <w:noWrap/>
                  <w:vAlign w:val="center"/>
                </w:tcPr>
                <w:p w14:paraId="20D69C53">
                  <w:pPr>
                    <w:jc w:val="center"/>
                    <w:rPr>
                      <w:color w:val="000000" w:themeColor="text1"/>
                      <w:szCs w:val="21"/>
                      <w14:textFill>
                        <w14:solidFill>
                          <w14:schemeClr w14:val="tx1"/>
                        </w14:solidFill>
                      </w14:textFill>
                    </w:rPr>
                  </w:pPr>
                </w:p>
              </w:tc>
              <w:tc>
                <w:tcPr>
                  <w:tcW w:w="368" w:type="pct"/>
                  <w:noWrap/>
                  <w:vAlign w:val="center"/>
                </w:tcPr>
                <w:p w14:paraId="6881CC2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584" w:type="dxa"/>
                  <w:noWrap/>
                  <w:vAlign w:val="center"/>
                </w:tcPr>
                <w:p w14:paraId="407DC3DA">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3</w:t>
                  </w:r>
                  <w:r>
                    <w:rPr>
                      <w:rFonts w:hint="eastAsia"/>
                      <w:color w:val="000000" w:themeColor="text1"/>
                      <w:szCs w:val="21"/>
                      <w:lang w:val="en-US" w:eastAsia="zh-CN"/>
                      <w14:textFill>
                        <w14:solidFill>
                          <w14:schemeClr w14:val="tx1"/>
                        </w14:solidFill>
                      </w14:textFill>
                    </w:rPr>
                    <w:t>0</w:t>
                  </w:r>
                </w:p>
              </w:tc>
              <w:tc>
                <w:tcPr>
                  <w:tcW w:w="377" w:type="pct"/>
                  <w:noWrap/>
                  <w:vAlign w:val="center"/>
                </w:tcPr>
                <w:p w14:paraId="1810BDA2">
                  <w:pPr>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0.0162</w:t>
                  </w:r>
                </w:p>
              </w:tc>
              <w:tc>
                <w:tcPr>
                  <w:tcW w:w="149" w:type="pct"/>
                  <w:vMerge w:val="continue"/>
                  <w:noWrap/>
                  <w:vAlign w:val="center"/>
                </w:tcPr>
                <w:p w14:paraId="5D77EF2A">
                  <w:pPr>
                    <w:jc w:val="center"/>
                    <w:rPr>
                      <w:color w:val="000000" w:themeColor="text1"/>
                      <w:szCs w:val="21"/>
                      <w14:textFill>
                        <w14:solidFill>
                          <w14:schemeClr w14:val="tx1"/>
                        </w14:solidFill>
                      </w14:textFill>
                    </w:rPr>
                  </w:pPr>
                </w:p>
              </w:tc>
              <w:tc>
                <w:tcPr>
                  <w:tcW w:w="281" w:type="pct"/>
                  <w:vMerge w:val="continue"/>
                  <w:noWrap/>
                  <w:vAlign w:val="center"/>
                </w:tcPr>
                <w:p w14:paraId="09C25343">
                  <w:pPr>
                    <w:jc w:val="center"/>
                    <w:rPr>
                      <w:color w:val="000000" w:themeColor="text1"/>
                      <w:szCs w:val="21"/>
                      <w14:textFill>
                        <w14:solidFill>
                          <w14:schemeClr w14:val="tx1"/>
                        </w14:solidFill>
                      </w14:textFill>
                    </w:rPr>
                  </w:pPr>
                </w:p>
              </w:tc>
              <w:tc>
                <w:tcPr>
                  <w:tcW w:w="155" w:type="pct"/>
                  <w:vMerge w:val="continue"/>
                  <w:noWrap/>
                  <w:vAlign w:val="center"/>
                </w:tcPr>
                <w:p w14:paraId="6A1495C8">
                  <w:pPr>
                    <w:jc w:val="center"/>
                    <w:rPr>
                      <w:bCs/>
                      <w:color w:val="000000" w:themeColor="text1"/>
                      <w:kern w:val="0"/>
                      <w:szCs w:val="21"/>
                      <w14:textFill>
                        <w14:solidFill>
                          <w14:schemeClr w14:val="tx1"/>
                        </w14:solidFill>
                      </w14:textFill>
                    </w:rPr>
                  </w:pPr>
                </w:p>
              </w:tc>
              <w:tc>
                <w:tcPr>
                  <w:tcW w:w="245" w:type="pct"/>
                  <w:vMerge w:val="continue"/>
                  <w:noWrap/>
                  <w:vAlign w:val="center"/>
                </w:tcPr>
                <w:p w14:paraId="46849C6B">
                  <w:pPr>
                    <w:jc w:val="center"/>
                    <w:rPr>
                      <w:color w:val="000000" w:themeColor="text1"/>
                      <w:szCs w:val="21"/>
                      <w14:textFill>
                        <w14:solidFill>
                          <w14:schemeClr w14:val="tx1"/>
                        </w14:solidFill>
                      </w14:textFill>
                    </w:rPr>
                  </w:pPr>
                </w:p>
              </w:tc>
              <w:tc>
                <w:tcPr>
                  <w:tcW w:w="613" w:type="dxa"/>
                  <w:noWrap/>
                  <w:vAlign w:val="center"/>
                </w:tcPr>
                <w:p w14:paraId="4D1FDFD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rFonts w:hint="eastAsia"/>
                      <w:color w:val="000000" w:themeColor="text1"/>
                      <w:szCs w:val="21"/>
                      <w:lang w:val="en-US" w:eastAsia="zh-CN"/>
                      <w14:textFill>
                        <w14:solidFill>
                          <w14:schemeClr w14:val="tx1"/>
                        </w14:solidFill>
                      </w14:textFill>
                    </w:rPr>
                    <w:t>0</w:t>
                  </w:r>
                </w:p>
              </w:tc>
              <w:tc>
                <w:tcPr>
                  <w:tcW w:w="1065" w:type="dxa"/>
                  <w:noWrap/>
                  <w:vAlign w:val="center"/>
                </w:tcPr>
                <w:p w14:paraId="5AB98169">
                  <w:pPr>
                    <w:jc w:val="center"/>
                    <w:rPr>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0.0162</w:t>
                  </w:r>
                </w:p>
              </w:tc>
              <w:tc>
                <w:tcPr>
                  <w:tcW w:w="1126" w:type="dxa"/>
                  <w:noWrap/>
                  <w:vAlign w:val="center"/>
                </w:tcPr>
                <w:p w14:paraId="144C678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p>
              </w:tc>
              <w:tc>
                <w:tcPr>
                  <w:tcW w:w="551" w:type="pct"/>
                  <w:vMerge w:val="continue"/>
                  <w:noWrap/>
                  <w:vAlign w:val="center"/>
                </w:tcPr>
                <w:p w14:paraId="19A2D2B5">
                  <w:pPr>
                    <w:jc w:val="center"/>
                    <w:rPr>
                      <w:color w:val="000000" w:themeColor="text1"/>
                      <w:spacing w:val="-9"/>
                      <w:szCs w:val="21"/>
                      <w14:textFill>
                        <w14:solidFill>
                          <w14:schemeClr w14:val="tx1"/>
                        </w14:solidFill>
                      </w14:textFill>
                    </w:rPr>
                  </w:pPr>
                </w:p>
              </w:tc>
              <w:tc>
                <w:tcPr>
                  <w:tcW w:w="179" w:type="pct"/>
                  <w:vMerge w:val="continue"/>
                  <w:noWrap/>
                  <w:vAlign w:val="center"/>
                </w:tcPr>
                <w:p w14:paraId="4541DF40">
                  <w:pPr>
                    <w:jc w:val="center"/>
                    <w:rPr>
                      <w:color w:val="000000" w:themeColor="text1"/>
                      <w:spacing w:val="-9"/>
                      <w:szCs w:val="21"/>
                      <w14:textFill>
                        <w14:solidFill>
                          <w14:schemeClr w14:val="tx1"/>
                        </w14:solidFill>
                      </w14:textFill>
                    </w:rPr>
                  </w:pPr>
                </w:p>
              </w:tc>
              <w:tc>
                <w:tcPr>
                  <w:tcW w:w="330" w:type="pct"/>
                  <w:vMerge w:val="continue"/>
                  <w:noWrap/>
                  <w:vAlign w:val="center"/>
                </w:tcPr>
                <w:p w14:paraId="4F985802">
                  <w:pPr>
                    <w:jc w:val="center"/>
                    <w:rPr>
                      <w:color w:val="000000" w:themeColor="text1"/>
                      <w:spacing w:val="-9"/>
                      <w:szCs w:val="21"/>
                      <w14:textFill>
                        <w14:solidFill>
                          <w14:schemeClr w14:val="tx1"/>
                        </w14:solidFill>
                      </w14:textFill>
                    </w:rPr>
                  </w:pPr>
                </w:p>
              </w:tc>
              <w:tc>
                <w:tcPr>
                  <w:tcW w:w="534" w:type="pct"/>
                  <w:vMerge w:val="continue"/>
                  <w:noWrap/>
                  <w:vAlign w:val="center"/>
                </w:tcPr>
                <w:p w14:paraId="668B8D62">
                  <w:pPr>
                    <w:jc w:val="center"/>
                    <w:rPr>
                      <w:color w:val="000000" w:themeColor="text1"/>
                      <w:spacing w:val="-9"/>
                      <w:szCs w:val="21"/>
                      <w14:textFill>
                        <w14:solidFill>
                          <w14:schemeClr w14:val="tx1"/>
                        </w14:solidFill>
                      </w14:textFill>
                    </w:rPr>
                  </w:pPr>
                </w:p>
              </w:tc>
            </w:tr>
            <w:tr w14:paraId="6CC31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noWrap/>
                  <w:vAlign w:val="center"/>
                </w:tcPr>
                <w:p w14:paraId="74AF3823">
                  <w:pPr>
                    <w:jc w:val="center"/>
                    <w:rPr>
                      <w:color w:val="000000" w:themeColor="text1"/>
                      <w:szCs w:val="21"/>
                      <w14:textFill>
                        <w14:solidFill>
                          <w14:schemeClr w14:val="tx1"/>
                        </w14:solidFill>
                      </w14:textFill>
                    </w:rPr>
                  </w:pPr>
                </w:p>
              </w:tc>
              <w:tc>
                <w:tcPr>
                  <w:tcW w:w="217" w:type="pct"/>
                  <w:vMerge w:val="continue"/>
                  <w:noWrap/>
                  <w:vAlign w:val="center"/>
                </w:tcPr>
                <w:p w14:paraId="12A3C8D6">
                  <w:pPr>
                    <w:jc w:val="center"/>
                    <w:rPr>
                      <w:color w:val="000000" w:themeColor="text1"/>
                      <w:szCs w:val="21"/>
                      <w14:textFill>
                        <w14:solidFill>
                          <w14:schemeClr w14:val="tx1"/>
                        </w14:solidFill>
                      </w14:textFill>
                    </w:rPr>
                  </w:pPr>
                </w:p>
              </w:tc>
              <w:tc>
                <w:tcPr>
                  <w:tcW w:w="368" w:type="pct"/>
                  <w:noWrap/>
                  <w:vAlign w:val="center"/>
                </w:tcPr>
                <w:p w14:paraId="076E6B8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TP</w:t>
                  </w:r>
                </w:p>
              </w:tc>
              <w:tc>
                <w:tcPr>
                  <w:tcW w:w="584" w:type="dxa"/>
                  <w:noWrap/>
                  <w:vAlign w:val="center"/>
                </w:tcPr>
                <w:p w14:paraId="66F5DCD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377" w:type="pct"/>
                  <w:noWrap/>
                  <w:vAlign w:val="center"/>
                </w:tcPr>
                <w:p w14:paraId="315DF56F">
                  <w:pPr>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0.0032</w:t>
                  </w:r>
                </w:p>
              </w:tc>
              <w:tc>
                <w:tcPr>
                  <w:tcW w:w="149" w:type="pct"/>
                  <w:vMerge w:val="continue"/>
                  <w:noWrap/>
                  <w:vAlign w:val="center"/>
                </w:tcPr>
                <w:p w14:paraId="40BFC6AA">
                  <w:pPr>
                    <w:jc w:val="center"/>
                    <w:rPr>
                      <w:color w:val="000000" w:themeColor="text1"/>
                      <w:szCs w:val="21"/>
                      <w14:textFill>
                        <w14:solidFill>
                          <w14:schemeClr w14:val="tx1"/>
                        </w14:solidFill>
                      </w14:textFill>
                    </w:rPr>
                  </w:pPr>
                </w:p>
              </w:tc>
              <w:tc>
                <w:tcPr>
                  <w:tcW w:w="281" w:type="pct"/>
                  <w:vMerge w:val="continue"/>
                  <w:noWrap/>
                  <w:vAlign w:val="center"/>
                </w:tcPr>
                <w:p w14:paraId="1A8CCEC9">
                  <w:pPr>
                    <w:jc w:val="center"/>
                    <w:rPr>
                      <w:color w:val="000000" w:themeColor="text1"/>
                      <w:szCs w:val="21"/>
                      <w14:textFill>
                        <w14:solidFill>
                          <w14:schemeClr w14:val="tx1"/>
                        </w14:solidFill>
                      </w14:textFill>
                    </w:rPr>
                  </w:pPr>
                </w:p>
              </w:tc>
              <w:tc>
                <w:tcPr>
                  <w:tcW w:w="155" w:type="pct"/>
                  <w:vMerge w:val="continue"/>
                  <w:noWrap/>
                  <w:vAlign w:val="center"/>
                </w:tcPr>
                <w:p w14:paraId="117B6C89">
                  <w:pPr>
                    <w:jc w:val="center"/>
                    <w:rPr>
                      <w:bCs/>
                      <w:color w:val="000000" w:themeColor="text1"/>
                      <w:kern w:val="0"/>
                      <w:szCs w:val="21"/>
                      <w14:textFill>
                        <w14:solidFill>
                          <w14:schemeClr w14:val="tx1"/>
                        </w14:solidFill>
                      </w14:textFill>
                    </w:rPr>
                  </w:pPr>
                </w:p>
              </w:tc>
              <w:tc>
                <w:tcPr>
                  <w:tcW w:w="245" w:type="pct"/>
                  <w:vMerge w:val="continue"/>
                  <w:noWrap/>
                  <w:vAlign w:val="center"/>
                </w:tcPr>
                <w:p w14:paraId="00CEE816">
                  <w:pPr>
                    <w:jc w:val="center"/>
                    <w:rPr>
                      <w:color w:val="000000" w:themeColor="text1"/>
                      <w:szCs w:val="21"/>
                      <w14:textFill>
                        <w14:solidFill>
                          <w14:schemeClr w14:val="tx1"/>
                        </w14:solidFill>
                      </w14:textFill>
                    </w:rPr>
                  </w:pPr>
                </w:p>
              </w:tc>
              <w:tc>
                <w:tcPr>
                  <w:tcW w:w="613" w:type="dxa"/>
                  <w:noWrap/>
                  <w:vAlign w:val="center"/>
                </w:tcPr>
                <w:p w14:paraId="0EB33DE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065" w:type="dxa"/>
                  <w:noWrap/>
                  <w:vAlign w:val="center"/>
                </w:tcPr>
                <w:p w14:paraId="67B0BDD2">
                  <w:pPr>
                    <w:jc w:val="center"/>
                    <w:rPr>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0.0032</w:t>
                  </w:r>
                </w:p>
              </w:tc>
              <w:tc>
                <w:tcPr>
                  <w:tcW w:w="1126" w:type="dxa"/>
                  <w:noWrap/>
                  <w:vAlign w:val="center"/>
                </w:tcPr>
                <w:p w14:paraId="1E9BFCE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551" w:type="pct"/>
                  <w:vMerge w:val="continue"/>
                  <w:noWrap/>
                  <w:vAlign w:val="center"/>
                </w:tcPr>
                <w:p w14:paraId="7C5BB3D3">
                  <w:pPr>
                    <w:jc w:val="center"/>
                    <w:rPr>
                      <w:color w:val="000000" w:themeColor="text1"/>
                      <w:spacing w:val="-9"/>
                      <w:szCs w:val="21"/>
                      <w14:textFill>
                        <w14:solidFill>
                          <w14:schemeClr w14:val="tx1"/>
                        </w14:solidFill>
                      </w14:textFill>
                    </w:rPr>
                  </w:pPr>
                </w:p>
              </w:tc>
              <w:tc>
                <w:tcPr>
                  <w:tcW w:w="179" w:type="pct"/>
                  <w:vMerge w:val="continue"/>
                  <w:noWrap/>
                  <w:vAlign w:val="center"/>
                </w:tcPr>
                <w:p w14:paraId="1613B082">
                  <w:pPr>
                    <w:jc w:val="center"/>
                    <w:rPr>
                      <w:color w:val="000000" w:themeColor="text1"/>
                      <w:spacing w:val="-9"/>
                      <w:szCs w:val="21"/>
                      <w14:textFill>
                        <w14:solidFill>
                          <w14:schemeClr w14:val="tx1"/>
                        </w14:solidFill>
                      </w14:textFill>
                    </w:rPr>
                  </w:pPr>
                </w:p>
              </w:tc>
              <w:tc>
                <w:tcPr>
                  <w:tcW w:w="330" w:type="pct"/>
                  <w:vMerge w:val="continue"/>
                  <w:noWrap/>
                  <w:vAlign w:val="center"/>
                </w:tcPr>
                <w:p w14:paraId="6FEF13FA">
                  <w:pPr>
                    <w:jc w:val="center"/>
                    <w:rPr>
                      <w:color w:val="000000" w:themeColor="text1"/>
                      <w:spacing w:val="-9"/>
                      <w:szCs w:val="21"/>
                      <w14:textFill>
                        <w14:solidFill>
                          <w14:schemeClr w14:val="tx1"/>
                        </w14:solidFill>
                      </w14:textFill>
                    </w:rPr>
                  </w:pPr>
                </w:p>
              </w:tc>
              <w:tc>
                <w:tcPr>
                  <w:tcW w:w="534" w:type="pct"/>
                  <w:vMerge w:val="continue"/>
                  <w:noWrap/>
                  <w:vAlign w:val="center"/>
                </w:tcPr>
                <w:p w14:paraId="0A82200C">
                  <w:pPr>
                    <w:jc w:val="center"/>
                    <w:rPr>
                      <w:color w:val="000000" w:themeColor="text1"/>
                      <w:spacing w:val="-9"/>
                      <w:szCs w:val="21"/>
                      <w14:textFill>
                        <w14:solidFill>
                          <w14:schemeClr w14:val="tx1"/>
                        </w14:solidFill>
                      </w14:textFill>
                    </w:rPr>
                  </w:pPr>
                </w:p>
              </w:tc>
            </w:tr>
            <w:tr w14:paraId="7CEE1C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noWrap/>
                  <w:vAlign w:val="center"/>
                </w:tcPr>
                <w:p w14:paraId="5ED7120C">
                  <w:pPr>
                    <w:jc w:val="center"/>
                    <w:rPr>
                      <w:color w:val="000000" w:themeColor="text1"/>
                      <w:szCs w:val="21"/>
                      <w14:textFill>
                        <w14:solidFill>
                          <w14:schemeClr w14:val="tx1"/>
                        </w14:solidFill>
                      </w14:textFill>
                    </w:rPr>
                  </w:pPr>
                </w:p>
              </w:tc>
              <w:tc>
                <w:tcPr>
                  <w:tcW w:w="217" w:type="pct"/>
                  <w:vMerge w:val="continue"/>
                  <w:noWrap/>
                  <w:vAlign w:val="center"/>
                </w:tcPr>
                <w:p w14:paraId="033020DB">
                  <w:pPr>
                    <w:jc w:val="center"/>
                    <w:rPr>
                      <w:color w:val="000000" w:themeColor="text1"/>
                      <w:szCs w:val="21"/>
                      <w14:textFill>
                        <w14:solidFill>
                          <w14:schemeClr w14:val="tx1"/>
                        </w14:solidFill>
                      </w14:textFill>
                    </w:rPr>
                  </w:pPr>
                </w:p>
              </w:tc>
              <w:tc>
                <w:tcPr>
                  <w:tcW w:w="368" w:type="pct"/>
                  <w:noWrap/>
                  <w:vAlign w:val="center"/>
                </w:tcPr>
                <w:p w14:paraId="1EEBCC9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TN</w:t>
                  </w:r>
                </w:p>
              </w:tc>
              <w:tc>
                <w:tcPr>
                  <w:tcW w:w="584" w:type="dxa"/>
                  <w:noWrap/>
                  <w:vAlign w:val="center"/>
                </w:tcPr>
                <w:p w14:paraId="4D130F7D">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4</w:t>
                  </w:r>
                  <w:r>
                    <w:rPr>
                      <w:rFonts w:hint="eastAsia"/>
                      <w:color w:val="000000" w:themeColor="text1"/>
                      <w:szCs w:val="21"/>
                      <w:lang w:val="en-US" w:eastAsia="zh-CN"/>
                      <w14:textFill>
                        <w14:solidFill>
                          <w14:schemeClr w14:val="tx1"/>
                        </w14:solidFill>
                      </w14:textFill>
                    </w:rPr>
                    <w:t>0</w:t>
                  </w:r>
                </w:p>
              </w:tc>
              <w:tc>
                <w:tcPr>
                  <w:tcW w:w="377" w:type="pct"/>
                  <w:noWrap/>
                  <w:vAlign w:val="center"/>
                </w:tcPr>
                <w:p w14:paraId="3C6B7B17">
                  <w:pPr>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0.0216</w:t>
                  </w:r>
                </w:p>
              </w:tc>
              <w:tc>
                <w:tcPr>
                  <w:tcW w:w="149" w:type="pct"/>
                  <w:vMerge w:val="continue"/>
                  <w:noWrap/>
                  <w:vAlign w:val="center"/>
                </w:tcPr>
                <w:p w14:paraId="639130C1">
                  <w:pPr>
                    <w:jc w:val="center"/>
                    <w:rPr>
                      <w:color w:val="000000" w:themeColor="text1"/>
                      <w:szCs w:val="21"/>
                      <w14:textFill>
                        <w14:solidFill>
                          <w14:schemeClr w14:val="tx1"/>
                        </w14:solidFill>
                      </w14:textFill>
                    </w:rPr>
                  </w:pPr>
                </w:p>
              </w:tc>
              <w:tc>
                <w:tcPr>
                  <w:tcW w:w="281" w:type="pct"/>
                  <w:vMerge w:val="continue"/>
                  <w:noWrap/>
                  <w:vAlign w:val="center"/>
                </w:tcPr>
                <w:p w14:paraId="519FF1CB">
                  <w:pPr>
                    <w:jc w:val="center"/>
                    <w:rPr>
                      <w:color w:val="000000" w:themeColor="text1"/>
                      <w:szCs w:val="21"/>
                      <w14:textFill>
                        <w14:solidFill>
                          <w14:schemeClr w14:val="tx1"/>
                        </w14:solidFill>
                      </w14:textFill>
                    </w:rPr>
                  </w:pPr>
                </w:p>
              </w:tc>
              <w:tc>
                <w:tcPr>
                  <w:tcW w:w="155" w:type="pct"/>
                  <w:vMerge w:val="continue"/>
                  <w:noWrap/>
                  <w:vAlign w:val="center"/>
                </w:tcPr>
                <w:p w14:paraId="779274AE">
                  <w:pPr>
                    <w:jc w:val="center"/>
                    <w:rPr>
                      <w:bCs/>
                      <w:color w:val="000000" w:themeColor="text1"/>
                      <w:kern w:val="0"/>
                      <w:szCs w:val="21"/>
                      <w14:textFill>
                        <w14:solidFill>
                          <w14:schemeClr w14:val="tx1"/>
                        </w14:solidFill>
                      </w14:textFill>
                    </w:rPr>
                  </w:pPr>
                </w:p>
              </w:tc>
              <w:tc>
                <w:tcPr>
                  <w:tcW w:w="245" w:type="pct"/>
                  <w:vMerge w:val="continue"/>
                  <w:noWrap/>
                  <w:vAlign w:val="center"/>
                </w:tcPr>
                <w:p w14:paraId="7CBA7EDF">
                  <w:pPr>
                    <w:jc w:val="center"/>
                    <w:rPr>
                      <w:color w:val="000000" w:themeColor="text1"/>
                      <w:szCs w:val="21"/>
                      <w14:textFill>
                        <w14:solidFill>
                          <w14:schemeClr w14:val="tx1"/>
                        </w14:solidFill>
                      </w14:textFill>
                    </w:rPr>
                  </w:pPr>
                </w:p>
              </w:tc>
              <w:tc>
                <w:tcPr>
                  <w:tcW w:w="613" w:type="dxa"/>
                  <w:noWrap/>
                  <w:vAlign w:val="center"/>
                </w:tcPr>
                <w:p w14:paraId="4A837A5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rFonts w:hint="eastAsia"/>
                      <w:color w:val="000000" w:themeColor="text1"/>
                      <w:szCs w:val="21"/>
                      <w:lang w:val="en-US" w:eastAsia="zh-CN"/>
                      <w14:textFill>
                        <w14:solidFill>
                          <w14:schemeClr w14:val="tx1"/>
                        </w14:solidFill>
                      </w14:textFill>
                    </w:rPr>
                    <w:t>0</w:t>
                  </w:r>
                </w:p>
              </w:tc>
              <w:tc>
                <w:tcPr>
                  <w:tcW w:w="1065" w:type="dxa"/>
                  <w:noWrap/>
                  <w:vAlign w:val="center"/>
                </w:tcPr>
                <w:p w14:paraId="3DCE467D">
                  <w:pPr>
                    <w:jc w:val="center"/>
                    <w:rPr>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0.0216</w:t>
                  </w:r>
                </w:p>
              </w:tc>
              <w:tc>
                <w:tcPr>
                  <w:tcW w:w="1126" w:type="dxa"/>
                  <w:noWrap/>
                  <w:vAlign w:val="center"/>
                </w:tcPr>
                <w:p w14:paraId="3891366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45</w:t>
                  </w:r>
                </w:p>
              </w:tc>
              <w:tc>
                <w:tcPr>
                  <w:tcW w:w="551" w:type="pct"/>
                  <w:vMerge w:val="continue"/>
                  <w:noWrap/>
                  <w:vAlign w:val="center"/>
                </w:tcPr>
                <w:p w14:paraId="161803D3">
                  <w:pPr>
                    <w:jc w:val="center"/>
                    <w:rPr>
                      <w:color w:val="000000" w:themeColor="text1"/>
                      <w:spacing w:val="-9"/>
                      <w:szCs w:val="21"/>
                      <w14:textFill>
                        <w14:solidFill>
                          <w14:schemeClr w14:val="tx1"/>
                        </w14:solidFill>
                      </w14:textFill>
                    </w:rPr>
                  </w:pPr>
                </w:p>
              </w:tc>
              <w:tc>
                <w:tcPr>
                  <w:tcW w:w="179" w:type="pct"/>
                  <w:vMerge w:val="continue"/>
                  <w:noWrap/>
                  <w:vAlign w:val="center"/>
                </w:tcPr>
                <w:p w14:paraId="4A322A78">
                  <w:pPr>
                    <w:jc w:val="center"/>
                    <w:rPr>
                      <w:color w:val="000000" w:themeColor="text1"/>
                      <w:spacing w:val="-9"/>
                      <w:szCs w:val="21"/>
                      <w14:textFill>
                        <w14:solidFill>
                          <w14:schemeClr w14:val="tx1"/>
                        </w14:solidFill>
                      </w14:textFill>
                    </w:rPr>
                  </w:pPr>
                </w:p>
              </w:tc>
              <w:tc>
                <w:tcPr>
                  <w:tcW w:w="330" w:type="pct"/>
                  <w:vMerge w:val="continue"/>
                  <w:noWrap/>
                  <w:vAlign w:val="center"/>
                </w:tcPr>
                <w:p w14:paraId="2FE5A3F5">
                  <w:pPr>
                    <w:jc w:val="center"/>
                    <w:rPr>
                      <w:color w:val="000000" w:themeColor="text1"/>
                      <w:spacing w:val="-9"/>
                      <w:szCs w:val="21"/>
                      <w14:textFill>
                        <w14:solidFill>
                          <w14:schemeClr w14:val="tx1"/>
                        </w14:solidFill>
                      </w14:textFill>
                    </w:rPr>
                  </w:pPr>
                </w:p>
              </w:tc>
              <w:tc>
                <w:tcPr>
                  <w:tcW w:w="534" w:type="pct"/>
                  <w:vMerge w:val="continue"/>
                  <w:noWrap/>
                  <w:vAlign w:val="center"/>
                </w:tcPr>
                <w:p w14:paraId="270A07E3">
                  <w:pPr>
                    <w:jc w:val="center"/>
                    <w:rPr>
                      <w:color w:val="000000" w:themeColor="text1"/>
                      <w:spacing w:val="-9"/>
                      <w:szCs w:val="21"/>
                      <w14:textFill>
                        <w14:solidFill>
                          <w14:schemeClr w14:val="tx1"/>
                        </w14:solidFill>
                      </w14:textFill>
                    </w:rPr>
                  </w:pPr>
                </w:p>
              </w:tc>
            </w:tr>
          </w:tbl>
          <w:p w14:paraId="13FE0DD7">
            <w:pPr>
              <w:spacing w:line="42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根据废水产排污分析，本项目</w:t>
            </w:r>
            <w:r>
              <w:rPr>
                <w:rFonts w:hint="eastAsia"/>
                <w:color w:val="000000" w:themeColor="text1"/>
                <w:szCs w:val="21"/>
                <w14:textFill>
                  <w14:solidFill>
                    <w14:schemeClr w14:val="tx1"/>
                  </w14:solidFill>
                </w14:textFill>
              </w:rPr>
              <w:t>生活污水</w:t>
            </w:r>
            <w:r>
              <w:rPr>
                <w:color w:val="000000" w:themeColor="text1"/>
                <w:szCs w:val="21"/>
                <w14:textFill>
                  <w14:solidFill>
                    <w14:schemeClr w14:val="tx1"/>
                  </w14:solidFill>
                </w14:textFill>
              </w:rPr>
              <w:t>接管至</w:t>
            </w:r>
            <w:r>
              <w:rPr>
                <w:rFonts w:hint="eastAsia"/>
                <w:color w:val="000000" w:themeColor="text1"/>
                <w:szCs w:val="21"/>
                <w:lang w:eastAsia="zh-CN"/>
                <w14:textFill>
                  <w14:solidFill>
                    <w14:schemeClr w14:val="tx1"/>
                  </w14:solidFill>
                </w14:textFill>
              </w:rPr>
              <w:t>江苏中法水务股份有限公司（城东水质净化厂）</w:t>
            </w:r>
            <w:r>
              <w:rPr>
                <w:color w:val="000000" w:themeColor="text1"/>
                <w:szCs w:val="21"/>
                <w14:textFill>
                  <w14:solidFill>
                    <w14:schemeClr w14:val="tx1"/>
                  </w14:solidFill>
                </w14:textFill>
              </w:rPr>
              <w:t>集中处理，</w:t>
            </w:r>
            <w:r>
              <w:rPr>
                <w:color w:val="000000" w:themeColor="text1"/>
                <w:szCs w:val="21"/>
                <w14:textFill>
                  <w14:solidFill>
                    <w14:schemeClr w14:val="tx1"/>
                  </w14:solidFill>
                </w14:textFill>
              </w:rPr>
              <w:t>尾水达到《城镇污水处理厂污染物排放标准》（</w:t>
            </w:r>
            <w:r>
              <w:rPr>
                <w:rFonts w:hint="eastAsia"/>
                <w:color w:val="000000" w:themeColor="text1"/>
                <w:szCs w:val="21"/>
                <w14:textFill>
                  <w14:solidFill>
                    <w14:schemeClr w14:val="tx1"/>
                  </w14:solidFill>
                </w14:textFill>
              </w:rPr>
              <w:t>DB32/4440</w:t>
            </w:r>
            <w:r>
              <w:rPr>
                <w:color w:val="000000" w:themeColor="text1"/>
                <w:szCs w:val="21"/>
                <w14:textFill>
                  <w14:solidFill>
                    <w14:schemeClr w14:val="tx1"/>
                  </w14:solidFill>
                </w14:textFill>
              </w:rPr>
              <w:t>-20</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2）表1标准</w:t>
            </w:r>
            <w:r>
              <w:rPr>
                <w:rFonts w:hint="eastAsia"/>
                <w:color w:val="000000" w:themeColor="text1"/>
                <w:szCs w:val="21"/>
                <w14:textFill>
                  <w14:solidFill>
                    <w14:schemeClr w14:val="tx1"/>
                  </w14:solidFill>
                </w14:textFill>
              </w:rPr>
              <w:t>后</w:t>
            </w:r>
            <w:r>
              <w:rPr>
                <w:color w:val="000000" w:themeColor="text1"/>
                <w:szCs w:val="21"/>
                <w14:textFill>
                  <w14:solidFill>
                    <w14:schemeClr w14:val="tx1"/>
                  </w14:solidFill>
                </w14:textFill>
              </w:rPr>
              <w:t>排</w:t>
            </w:r>
            <w:r>
              <w:rPr>
                <w:rFonts w:hint="eastAsia"/>
                <w:color w:val="000000" w:themeColor="text1"/>
                <w:szCs w:val="21"/>
                <w14:textFill>
                  <w14:solidFill>
                    <w14:schemeClr w14:val="tx1"/>
                  </w14:solidFill>
                </w14:textFill>
              </w:rPr>
              <w:t>入大滃。</w:t>
            </w:r>
          </w:p>
          <w:p w14:paraId="3021198D">
            <w:pPr>
              <w:spacing w:line="420" w:lineRule="exact"/>
              <w:ind w:firstLine="420" w:firstLineChars="200"/>
              <w:rPr>
                <w:color w:val="000000" w:themeColor="text1"/>
                <w:szCs w:val="21"/>
                <w14:textFill>
                  <w14:solidFill>
                    <w14:schemeClr w14:val="tx1"/>
                  </w14:solidFill>
                </w14:textFill>
              </w:rPr>
            </w:pPr>
          </w:p>
          <w:p w14:paraId="2CBAF42C">
            <w:pPr>
              <w:spacing w:line="420" w:lineRule="exact"/>
              <w:jc w:val="left"/>
              <w:rPr>
                <w:bCs/>
                <w:color w:val="000000" w:themeColor="text1"/>
                <w:spacing w:val="-10"/>
                <w:szCs w:val="21"/>
                <w14:textFill>
                  <w14:solidFill>
                    <w14:schemeClr w14:val="tx1"/>
                  </w14:solidFill>
                </w14:textFill>
              </w:rPr>
            </w:pPr>
          </w:p>
        </w:tc>
      </w:tr>
    </w:tbl>
    <w:p w14:paraId="74D05532">
      <w:pPr>
        <w:pStyle w:val="21"/>
        <w:ind w:firstLine="480"/>
        <w:rPr>
          <w:color w:val="000000" w:themeColor="text1"/>
          <w14:textFill>
            <w14:solidFill>
              <w14:schemeClr w14:val="tx1"/>
            </w14:solidFill>
          </w14:textFill>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2"/>
        <w:tblW w:w="504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601"/>
      </w:tblGrid>
      <w:tr w14:paraId="614ACC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98" w:hRule="atLeast"/>
          <w:jc w:val="center"/>
        </w:trPr>
        <w:tc>
          <w:tcPr>
            <w:tcW w:w="252" w:type="pct"/>
            <w:noWrap/>
            <w:tcMar>
              <w:left w:w="28" w:type="dxa"/>
              <w:right w:w="28" w:type="dxa"/>
            </w:tcMar>
            <w:vAlign w:val="center"/>
          </w:tcPr>
          <w:p w14:paraId="4671C2BD">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运营</w:t>
            </w:r>
          </w:p>
          <w:p w14:paraId="44BB70A9">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期环</w:t>
            </w:r>
          </w:p>
          <w:p w14:paraId="5C8A965D">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境影</w:t>
            </w:r>
          </w:p>
          <w:p w14:paraId="663129A8">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响和</w:t>
            </w:r>
          </w:p>
          <w:p w14:paraId="05AF398A">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保护</w:t>
            </w:r>
          </w:p>
          <w:p w14:paraId="200B9B4E">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措施</w:t>
            </w:r>
          </w:p>
        </w:tc>
        <w:tc>
          <w:tcPr>
            <w:tcW w:w="4747" w:type="pct"/>
            <w:noWrap/>
          </w:tcPr>
          <w:p w14:paraId="16EFDB05">
            <w:pPr>
              <w:adjustRightInd w:val="0"/>
              <w:snapToGrid w:val="0"/>
              <w:spacing w:line="420" w:lineRule="exact"/>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4.2.2</w:t>
            </w:r>
            <w:r>
              <w:rPr>
                <w:rFonts w:hint="eastAsia"/>
                <w:b/>
                <w:color w:val="000000" w:themeColor="text1"/>
                <w:szCs w:val="21"/>
                <w14:textFill>
                  <w14:solidFill>
                    <w14:schemeClr w14:val="tx1"/>
                  </w14:solidFill>
                </w14:textFill>
              </w:rPr>
              <w:t>排放口基本情况</w:t>
            </w:r>
          </w:p>
          <w:p w14:paraId="592C1072">
            <w:pPr>
              <w:jc w:val="center"/>
              <w:rPr>
                <w:color w:val="000000" w:themeColor="text1"/>
                <w:sz w:val="24"/>
                <w14:textFill>
                  <w14:solidFill>
                    <w14:schemeClr w14:val="tx1"/>
                  </w14:solidFill>
                </w14:textFill>
              </w:rPr>
            </w:pPr>
            <w:r>
              <w:rPr>
                <w:b/>
                <w:bCs/>
                <w:color w:val="000000" w:themeColor="text1"/>
                <w:szCs w:val="21"/>
                <w14:textFill>
                  <w14:solidFill>
                    <w14:schemeClr w14:val="tx1"/>
                  </w14:solidFill>
                </w14:textFill>
              </w:rPr>
              <w:t>表4.2-2  本项目废水排放口基本情况一览表</w:t>
            </w:r>
          </w:p>
          <w:tbl>
            <w:tblPr>
              <w:tblStyle w:val="22"/>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0"/>
              <w:gridCol w:w="1343"/>
              <w:gridCol w:w="1375"/>
              <w:gridCol w:w="2352"/>
              <w:gridCol w:w="2355"/>
            </w:tblGrid>
            <w:tr w14:paraId="3A326F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pct"/>
                  <w:vMerge w:val="restart"/>
                  <w:noWrap/>
                  <w:vAlign w:val="center"/>
                </w:tcPr>
                <w:p w14:paraId="420E919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排放口编号</w:t>
                  </w:r>
                </w:p>
              </w:tc>
              <w:tc>
                <w:tcPr>
                  <w:tcW w:w="802" w:type="pct"/>
                  <w:vMerge w:val="restart"/>
                  <w:noWrap/>
                  <w:vAlign w:val="center"/>
                </w:tcPr>
                <w:p w14:paraId="26972C1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排放口名称</w:t>
                  </w:r>
                </w:p>
              </w:tc>
              <w:tc>
                <w:tcPr>
                  <w:tcW w:w="821" w:type="pct"/>
                  <w:vMerge w:val="restart"/>
                  <w:noWrap/>
                  <w:vAlign w:val="center"/>
                </w:tcPr>
                <w:p w14:paraId="519A5BC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排放口类型</w:t>
                  </w:r>
                </w:p>
              </w:tc>
              <w:tc>
                <w:tcPr>
                  <w:tcW w:w="2808" w:type="pct"/>
                  <w:gridSpan w:val="2"/>
                  <w:noWrap/>
                  <w:vAlign w:val="center"/>
                </w:tcPr>
                <w:p w14:paraId="56EC0BD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排放口地理坐标</w:t>
                  </w: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w:t>
                  </w:r>
                </w:p>
              </w:tc>
            </w:tr>
            <w:tr w14:paraId="13FB6F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pct"/>
                  <w:vMerge w:val="continue"/>
                  <w:noWrap/>
                  <w:vAlign w:val="center"/>
                </w:tcPr>
                <w:p w14:paraId="3B79F59D">
                  <w:pPr>
                    <w:jc w:val="center"/>
                    <w:rPr>
                      <w:color w:val="000000" w:themeColor="text1"/>
                      <w14:textFill>
                        <w14:solidFill>
                          <w14:schemeClr w14:val="tx1"/>
                        </w14:solidFill>
                      </w14:textFill>
                    </w:rPr>
                  </w:pPr>
                </w:p>
              </w:tc>
              <w:tc>
                <w:tcPr>
                  <w:tcW w:w="802" w:type="pct"/>
                  <w:vMerge w:val="continue"/>
                  <w:noWrap/>
                  <w:vAlign w:val="center"/>
                </w:tcPr>
                <w:p w14:paraId="3FC7F3B5">
                  <w:pPr>
                    <w:jc w:val="center"/>
                    <w:rPr>
                      <w:color w:val="000000" w:themeColor="text1"/>
                      <w14:textFill>
                        <w14:solidFill>
                          <w14:schemeClr w14:val="tx1"/>
                        </w14:solidFill>
                      </w14:textFill>
                    </w:rPr>
                  </w:pPr>
                </w:p>
              </w:tc>
              <w:tc>
                <w:tcPr>
                  <w:tcW w:w="821" w:type="pct"/>
                  <w:vMerge w:val="continue"/>
                  <w:noWrap/>
                  <w:vAlign w:val="center"/>
                </w:tcPr>
                <w:p w14:paraId="01C5135D">
                  <w:pPr>
                    <w:jc w:val="center"/>
                    <w:rPr>
                      <w:color w:val="000000" w:themeColor="text1"/>
                      <w14:textFill>
                        <w14:solidFill>
                          <w14:schemeClr w14:val="tx1"/>
                        </w14:solidFill>
                      </w14:textFill>
                    </w:rPr>
                  </w:pPr>
                </w:p>
              </w:tc>
              <w:tc>
                <w:tcPr>
                  <w:tcW w:w="1403" w:type="pct"/>
                  <w:noWrap/>
                  <w:vAlign w:val="center"/>
                </w:tcPr>
                <w:p w14:paraId="1C4AE83D">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经度</w:t>
                  </w:r>
                </w:p>
              </w:tc>
              <w:tc>
                <w:tcPr>
                  <w:tcW w:w="1404" w:type="pct"/>
                  <w:noWrap/>
                  <w:vAlign w:val="center"/>
                </w:tcPr>
                <w:p w14:paraId="062ED20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纬度</w:t>
                  </w:r>
                </w:p>
              </w:tc>
            </w:tr>
            <w:tr w14:paraId="58BDFB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pct"/>
                  <w:noWrap/>
                  <w:vAlign w:val="center"/>
                </w:tcPr>
                <w:p w14:paraId="640CC499">
                  <w:pPr>
                    <w:jc w:val="center"/>
                    <w:rPr>
                      <w:color w:val="000000" w:themeColor="text1"/>
                      <w14:textFill>
                        <w14:solidFill>
                          <w14:schemeClr w14:val="tx1"/>
                        </w14:solidFill>
                      </w14:textFill>
                    </w:rPr>
                  </w:pPr>
                  <w:r>
                    <w:rPr>
                      <w:color w:val="000000" w:themeColor="text1"/>
                      <w14:textFill>
                        <w14:solidFill>
                          <w14:schemeClr w14:val="tx1"/>
                        </w14:solidFill>
                      </w14:textFill>
                    </w:rPr>
                    <w:t>DW001</w:t>
                  </w:r>
                </w:p>
              </w:tc>
              <w:tc>
                <w:tcPr>
                  <w:tcW w:w="802" w:type="pct"/>
                  <w:noWrap/>
                  <w:vAlign w:val="center"/>
                </w:tcPr>
                <w:p w14:paraId="4C613BBF">
                  <w:pPr>
                    <w:jc w:val="center"/>
                    <w:rPr>
                      <w:color w:val="000000" w:themeColor="text1"/>
                      <w14:textFill>
                        <w14:solidFill>
                          <w14:schemeClr w14:val="tx1"/>
                        </w14:solidFill>
                      </w14:textFill>
                    </w:rPr>
                  </w:pPr>
                  <w:r>
                    <w:rPr>
                      <w:color w:val="000000" w:themeColor="text1"/>
                      <w14:textFill>
                        <w14:solidFill>
                          <w14:schemeClr w14:val="tx1"/>
                        </w14:solidFill>
                      </w14:textFill>
                    </w:rPr>
                    <w:t>污水总排口</w:t>
                  </w:r>
                </w:p>
              </w:tc>
              <w:tc>
                <w:tcPr>
                  <w:tcW w:w="821" w:type="pct"/>
                  <w:noWrap/>
                  <w:vAlign w:val="center"/>
                </w:tcPr>
                <w:p w14:paraId="24F31D36">
                  <w:pPr>
                    <w:jc w:val="center"/>
                    <w:rPr>
                      <w:color w:val="000000" w:themeColor="text1"/>
                      <w14:textFill>
                        <w14:solidFill>
                          <w14:schemeClr w14:val="tx1"/>
                        </w14:solidFill>
                      </w14:textFill>
                    </w:rPr>
                  </w:pPr>
                  <w:r>
                    <w:rPr>
                      <w:color w:val="000000" w:themeColor="text1"/>
                      <w14:textFill>
                        <w14:solidFill>
                          <w14:schemeClr w14:val="tx1"/>
                        </w14:solidFill>
                      </w14:textFill>
                    </w:rPr>
                    <w:t>一般排放口</w:t>
                  </w:r>
                </w:p>
              </w:tc>
              <w:tc>
                <w:tcPr>
                  <w:tcW w:w="1403" w:type="pct"/>
                  <w:noWrap/>
                  <w:vAlign w:val="center"/>
                </w:tcPr>
                <w:p w14:paraId="0E9DF6D4">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120.</w:t>
                  </w:r>
                  <w:r>
                    <w:rPr>
                      <w:rFonts w:hint="eastAsia"/>
                      <w:color w:val="000000" w:themeColor="text1"/>
                      <w:szCs w:val="21"/>
                      <w:lang w:val="en-US" w:eastAsia="zh-CN"/>
                      <w14:textFill>
                        <w14:solidFill>
                          <w14:schemeClr w14:val="tx1"/>
                        </w14:solidFill>
                      </w14:textFill>
                    </w:rPr>
                    <w:t>78432560</w:t>
                  </w:r>
                </w:p>
              </w:tc>
              <w:tc>
                <w:tcPr>
                  <w:tcW w:w="1404" w:type="pct"/>
                  <w:noWrap/>
                  <w:vAlign w:val="center"/>
                </w:tcPr>
                <w:p w14:paraId="22DE5770">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31.6</w:t>
                  </w:r>
                  <w:r>
                    <w:rPr>
                      <w:rFonts w:hint="eastAsia"/>
                      <w:color w:val="000000" w:themeColor="text1"/>
                      <w:szCs w:val="21"/>
                      <w:lang w:val="en-US" w:eastAsia="zh-CN"/>
                      <w14:textFill>
                        <w14:solidFill>
                          <w14:schemeClr w14:val="tx1"/>
                        </w14:solidFill>
                      </w14:textFill>
                    </w:rPr>
                    <w:t>1110114</w:t>
                  </w:r>
                </w:p>
              </w:tc>
            </w:tr>
          </w:tbl>
          <w:p w14:paraId="3949F8FB">
            <w:pPr>
              <w:adjustRightInd w:val="0"/>
              <w:snapToGrid w:val="0"/>
              <w:spacing w:line="420" w:lineRule="exact"/>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4.2.3自行监测要求</w:t>
            </w:r>
          </w:p>
          <w:p w14:paraId="6E8BC7D3">
            <w:pPr>
              <w:adjustRightInd w:val="0"/>
              <w:snapToGrid w:val="0"/>
              <w:spacing w:line="420" w:lineRule="exact"/>
              <w:ind w:firstLine="420" w:firstLineChars="200"/>
              <w:rPr>
                <w:color w:val="000000" w:themeColor="text1"/>
                <w:szCs w:val="21"/>
                <w14:textFill>
                  <w14:solidFill>
                    <w14:schemeClr w14:val="tx1"/>
                  </w14:solidFill>
                </w14:textFill>
              </w:rPr>
            </w:pPr>
            <w:r>
              <w:rPr>
                <w:bCs/>
                <w:color w:val="000000" w:themeColor="text1"/>
                <w:szCs w:val="21"/>
                <w14:textFill>
                  <w14:solidFill>
                    <w14:schemeClr w14:val="tx1"/>
                  </w14:solidFill>
                </w14:textFill>
              </w:rPr>
              <w:t>根据《排污单位自行监测技术指南 总则》（HJ819-2017）</w:t>
            </w:r>
            <w:r>
              <w:rPr>
                <w:rFonts w:hint="eastAsia"/>
                <w:bCs/>
                <w:color w:val="000000" w:themeColor="text1"/>
                <w:szCs w:val="21"/>
                <w14:textFill>
                  <w14:solidFill>
                    <w14:schemeClr w14:val="tx1"/>
                  </w14:solidFill>
                </w14:textFill>
              </w:rPr>
              <w:t>、《排污单位自行监测技术指南 橡胶和塑料制品》（HJ1207-2021）、《排污单位自行监测技术指南 印刷工业》（HJ 1246—2022）的</w:t>
            </w:r>
            <w:r>
              <w:rPr>
                <w:bCs/>
                <w:color w:val="000000" w:themeColor="text1"/>
                <w:szCs w:val="21"/>
                <w14:textFill>
                  <w14:solidFill>
                    <w14:schemeClr w14:val="tx1"/>
                  </w14:solidFill>
                </w14:textFill>
              </w:rPr>
              <w:t>相关要求，</w:t>
            </w:r>
            <w:r>
              <w:rPr>
                <w:color w:val="000000" w:themeColor="text1"/>
                <w:szCs w:val="21"/>
                <w14:textFill>
                  <w14:solidFill>
                    <w14:schemeClr w14:val="tx1"/>
                  </w14:solidFill>
                </w14:textFill>
              </w:rPr>
              <w:t>本项目废水日常监测要求见表4.2-</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w:t>
            </w:r>
          </w:p>
          <w:p w14:paraId="5B3FDE86">
            <w:pPr>
              <w:pStyle w:val="7"/>
              <w:ind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表4.2-</w:t>
            </w:r>
            <w:r>
              <w:rPr>
                <w:rFonts w:hint="eastAsia"/>
                <w:b/>
                <w:bCs/>
                <w:color w:val="000000" w:themeColor="text1"/>
                <w:szCs w:val="21"/>
                <w14:textFill>
                  <w14:solidFill>
                    <w14:schemeClr w14:val="tx1"/>
                  </w14:solidFill>
                </w14:textFill>
              </w:rPr>
              <w:t>3</w:t>
            </w:r>
            <w:r>
              <w:rPr>
                <w:b/>
                <w:bCs/>
                <w:color w:val="000000" w:themeColor="text1"/>
                <w:szCs w:val="21"/>
                <w14:textFill>
                  <w14:solidFill>
                    <w14:schemeClr w14:val="tx1"/>
                  </w14:solidFill>
                </w14:textFill>
              </w:rPr>
              <w:t>本项目废水监测计划一览表</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311"/>
              <w:gridCol w:w="2364"/>
              <w:gridCol w:w="1147"/>
              <w:gridCol w:w="2862"/>
            </w:tblGrid>
            <w:tr w14:paraId="160751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noWrap/>
                  <w:vAlign w:val="center"/>
                </w:tcPr>
                <w:p w14:paraId="6CD3B296">
                  <w:pPr>
                    <w:pStyle w:val="6"/>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类型</w:t>
                  </w:r>
                </w:p>
              </w:tc>
              <w:tc>
                <w:tcPr>
                  <w:tcW w:w="782" w:type="pct"/>
                  <w:noWrap/>
                  <w:vAlign w:val="center"/>
                </w:tcPr>
                <w:p w14:paraId="659785C2">
                  <w:pPr>
                    <w:pStyle w:val="6"/>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监测点位</w:t>
                  </w:r>
                </w:p>
              </w:tc>
              <w:tc>
                <w:tcPr>
                  <w:tcW w:w="1409" w:type="pct"/>
                  <w:noWrap/>
                  <w:vAlign w:val="center"/>
                </w:tcPr>
                <w:p w14:paraId="14D02808">
                  <w:pPr>
                    <w:pStyle w:val="6"/>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监测因子</w:t>
                  </w:r>
                </w:p>
              </w:tc>
              <w:tc>
                <w:tcPr>
                  <w:tcW w:w="684" w:type="pct"/>
                  <w:noWrap/>
                  <w:vAlign w:val="center"/>
                </w:tcPr>
                <w:p w14:paraId="7B0F9F60">
                  <w:pPr>
                    <w:pStyle w:val="6"/>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监测频次</w:t>
                  </w:r>
                </w:p>
              </w:tc>
              <w:tc>
                <w:tcPr>
                  <w:tcW w:w="1706" w:type="pct"/>
                  <w:noWrap/>
                  <w:vAlign w:val="center"/>
                </w:tcPr>
                <w:p w14:paraId="3E3B418C">
                  <w:pPr>
                    <w:pStyle w:val="6"/>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排放标准</w:t>
                  </w:r>
                </w:p>
              </w:tc>
            </w:tr>
            <w:tr w14:paraId="47336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noWrap/>
                  <w:vAlign w:val="center"/>
                </w:tcPr>
                <w:p w14:paraId="6ADD3140">
                  <w:pPr>
                    <w:pStyle w:val="6"/>
                    <w:jc w:val="center"/>
                    <w:rPr>
                      <w:rFonts w:ascii="Times New Roman" w:eastAsia="宋体"/>
                      <w:b w:val="0"/>
                      <w:bCs/>
                      <w:color w:val="000000" w:themeColor="text1"/>
                      <w:sz w:val="21"/>
                      <w:szCs w:val="21"/>
                      <w14:textFill>
                        <w14:solidFill>
                          <w14:schemeClr w14:val="tx1"/>
                        </w14:solidFill>
                      </w14:textFill>
                    </w:rPr>
                  </w:pPr>
                  <w:r>
                    <w:rPr>
                      <w:rFonts w:ascii="Times New Roman" w:eastAsia="宋体"/>
                      <w:b w:val="0"/>
                      <w:bCs/>
                      <w:color w:val="000000" w:themeColor="text1"/>
                      <w:sz w:val="21"/>
                      <w:szCs w:val="21"/>
                      <w14:textFill>
                        <w14:solidFill>
                          <w14:schemeClr w14:val="tx1"/>
                        </w14:solidFill>
                      </w14:textFill>
                    </w:rPr>
                    <w:t>废水</w:t>
                  </w:r>
                </w:p>
              </w:tc>
              <w:tc>
                <w:tcPr>
                  <w:tcW w:w="782" w:type="pct"/>
                  <w:noWrap/>
                  <w:vAlign w:val="center"/>
                </w:tcPr>
                <w:p w14:paraId="19AEEDAC">
                  <w:pPr>
                    <w:pStyle w:val="71"/>
                    <w:rPr>
                      <w:color w:val="000000" w:themeColor="text1"/>
                      <w14:textFill>
                        <w14:solidFill>
                          <w14:schemeClr w14:val="tx1"/>
                        </w14:solidFill>
                      </w14:textFill>
                    </w:rPr>
                  </w:pPr>
                  <w:r>
                    <w:rPr>
                      <w:color w:val="000000" w:themeColor="text1"/>
                      <w14:textFill>
                        <w14:solidFill>
                          <w14:schemeClr w14:val="tx1"/>
                        </w14:solidFill>
                      </w14:textFill>
                    </w:rPr>
                    <w:t>污水总排口</w:t>
                  </w:r>
                </w:p>
              </w:tc>
              <w:tc>
                <w:tcPr>
                  <w:tcW w:w="1409" w:type="pct"/>
                  <w:noWrap/>
                  <w:vAlign w:val="center"/>
                </w:tcPr>
                <w:p w14:paraId="2002405D">
                  <w:pPr>
                    <w:pStyle w:val="71"/>
                    <w:rPr>
                      <w:bCs/>
                      <w:color w:val="000000" w:themeColor="text1"/>
                      <w14:textFill>
                        <w14:solidFill>
                          <w14:schemeClr w14:val="tx1"/>
                        </w14:solidFill>
                      </w14:textFill>
                    </w:rPr>
                  </w:pPr>
                  <w:r>
                    <w:rPr>
                      <w:bCs/>
                      <w:color w:val="000000" w:themeColor="text1"/>
                      <w14:textFill>
                        <w14:solidFill>
                          <w14:schemeClr w14:val="tx1"/>
                        </w14:solidFill>
                      </w14:textFill>
                    </w:rPr>
                    <w:t>pH、COD</w:t>
                  </w:r>
                  <w:r>
                    <w:rPr>
                      <w:rFonts w:hint="eastAsia"/>
                      <w:bCs/>
                      <w:color w:val="000000" w:themeColor="text1"/>
                      <w:lang w:eastAsia="zh-CN"/>
                      <w14:textFill>
                        <w14:solidFill>
                          <w14:schemeClr w14:val="tx1"/>
                        </w14:solidFill>
                      </w14:textFill>
                    </w:rPr>
                    <w:t>、</w:t>
                  </w:r>
                  <w:r>
                    <w:rPr>
                      <w:rFonts w:hint="eastAsia"/>
                      <w:color w:val="000000" w:themeColor="text1"/>
                      <w:szCs w:val="21"/>
                      <w14:textFill>
                        <w14:solidFill>
                          <w14:schemeClr w14:val="tx1"/>
                        </w14:solidFill>
                      </w14:textFill>
                    </w:rPr>
                    <w:t>BOD</w:t>
                  </w:r>
                  <w:r>
                    <w:rPr>
                      <w:rFonts w:hint="eastAsia"/>
                      <w:color w:val="000000" w:themeColor="text1"/>
                      <w:szCs w:val="21"/>
                      <w:vertAlign w:val="subscript"/>
                      <w14:textFill>
                        <w14:solidFill>
                          <w14:schemeClr w14:val="tx1"/>
                        </w14:solidFill>
                      </w14:textFill>
                    </w:rPr>
                    <w:t>5</w:t>
                  </w:r>
                  <w:r>
                    <w:rPr>
                      <w:bCs/>
                      <w:color w:val="000000" w:themeColor="text1"/>
                      <w14:textFill>
                        <w14:solidFill>
                          <w14:schemeClr w14:val="tx1"/>
                        </w14:solidFill>
                      </w14:textFill>
                    </w:rPr>
                    <w:t>、SS、</w:t>
                  </w:r>
                </w:p>
                <w:p w14:paraId="526A8632">
                  <w:pPr>
                    <w:pStyle w:val="71"/>
                    <w:rPr>
                      <w:color w:val="000000" w:themeColor="text1"/>
                      <w14:textFill>
                        <w14:solidFill>
                          <w14:schemeClr w14:val="tx1"/>
                        </w14:solidFill>
                      </w14:textFill>
                    </w:rPr>
                  </w:pPr>
                  <w:r>
                    <w:rPr>
                      <w:bCs/>
                      <w:color w:val="000000" w:themeColor="text1"/>
                      <w14:textFill>
                        <w14:solidFill>
                          <w14:schemeClr w14:val="tx1"/>
                        </w14:solidFill>
                      </w14:textFill>
                    </w:rPr>
                    <w:t>NH</w:t>
                  </w:r>
                  <w:r>
                    <w:rPr>
                      <w:bCs/>
                      <w:color w:val="000000" w:themeColor="text1"/>
                      <w:vertAlign w:val="subscript"/>
                      <w14:textFill>
                        <w14:solidFill>
                          <w14:schemeClr w14:val="tx1"/>
                        </w14:solidFill>
                      </w14:textFill>
                    </w:rPr>
                    <w:t>3</w:t>
                  </w:r>
                  <w:r>
                    <w:rPr>
                      <w:bCs/>
                      <w:color w:val="000000" w:themeColor="text1"/>
                      <w14:textFill>
                        <w14:solidFill>
                          <w14:schemeClr w14:val="tx1"/>
                        </w14:solidFill>
                      </w14:textFill>
                    </w:rPr>
                    <w:t>-N、TP、TN</w:t>
                  </w:r>
                </w:p>
              </w:tc>
              <w:tc>
                <w:tcPr>
                  <w:tcW w:w="684" w:type="pct"/>
                  <w:noWrap/>
                  <w:vAlign w:val="center"/>
                </w:tcPr>
                <w:p w14:paraId="26D095BC">
                  <w:pPr>
                    <w:pStyle w:val="71"/>
                    <w:rPr>
                      <w:color w:val="000000" w:themeColor="text1"/>
                      <w14:textFill>
                        <w14:solidFill>
                          <w14:schemeClr w14:val="tx1"/>
                        </w14:solidFill>
                      </w14:textFill>
                    </w:rPr>
                  </w:pPr>
                  <w:r>
                    <w:rPr>
                      <w:color w:val="000000" w:themeColor="text1"/>
                      <w14:textFill>
                        <w14:solidFill>
                          <w14:schemeClr w14:val="tx1"/>
                        </w14:solidFill>
                      </w14:textFill>
                    </w:rPr>
                    <w:t>1次/</w:t>
                  </w:r>
                  <w:r>
                    <w:rPr>
                      <w:rFonts w:hint="eastAsia"/>
                      <w:color w:val="000000" w:themeColor="text1"/>
                      <w14:textFill>
                        <w14:solidFill>
                          <w14:schemeClr w14:val="tx1"/>
                        </w14:solidFill>
                      </w14:textFill>
                    </w:rPr>
                    <w:t>年</w:t>
                  </w:r>
                </w:p>
              </w:tc>
              <w:tc>
                <w:tcPr>
                  <w:tcW w:w="1706" w:type="pct"/>
                  <w:noWrap/>
                  <w:vAlign w:val="center"/>
                </w:tcPr>
                <w:p w14:paraId="7DE8130C">
                  <w:pPr>
                    <w:pStyle w:val="71"/>
                    <w:rPr>
                      <w:color w:val="000000" w:themeColor="text1"/>
                      <w14:textFill>
                        <w14:solidFill>
                          <w14:schemeClr w14:val="tx1"/>
                        </w14:solidFill>
                      </w14:textFill>
                    </w:rPr>
                  </w:pPr>
                  <w:r>
                    <w:rPr>
                      <w:rFonts w:hint="eastAsia"/>
                      <w:bCs/>
                      <w:color w:val="000000" w:themeColor="text1"/>
                      <w:lang w:eastAsia="zh-CN"/>
                      <w14:textFill>
                        <w14:solidFill>
                          <w14:schemeClr w14:val="tx1"/>
                        </w14:solidFill>
                      </w14:textFill>
                    </w:rPr>
                    <w:t>江苏中法水务股份有限公司（城东水质净化厂）</w:t>
                  </w:r>
                  <w:r>
                    <w:rPr>
                      <w:bCs/>
                      <w:color w:val="000000" w:themeColor="text1"/>
                      <w14:textFill>
                        <w14:solidFill>
                          <w14:schemeClr w14:val="tx1"/>
                        </w14:solidFill>
                      </w14:textFill>
                    </w:rPr>
                    <w:t>接管</w:t>
                  </w:r>
                  <w:r>
                    <w:rPr>
                      <w:rFonts w:hint="eastAsia"/>
                      <w:bCs/>
                      <w:color w:val="000000" w:themeColor="text1"/>
                      <w14:textFill>
                        <w14:solidFill>
                          <w14:schemeClr w14:val="tx1"/>
                        </w14:solidFill>
                      </w14:textFill>
                    </w:rPr>
                    <w:t>限值</w:t>
                  </w:r>
                </w:p>
              </w:tc>
            </w:tr>
          </w:tbl>
          <w:p w14:paraId="001F4223">
            <w:pPr>
              <w:adjustRightInd w:val="0"/>
              <w:snapToGrid w:val="0"/>
              <w:spacing w:line="420" w:lineRule="exact"/>
              <w:ind w:firstLine="422" w:firstLineChars="200"/>
              <w:rPr>
                <w:b/>
                <w:bCs/>
                <w:color w:val="000000" w:themeColor="text1"/>
                <w:szCs w:val="21"/>
                <w14:textFill>
                  <w14:solidFill>
                    <w14:schemeClr w14:val="tx1"/>
                  </w14:solidFill>
                </w14:textFill>
              </w:rPr>
            </w:pPr>
            <w:r>
              <w:rPr>
                <w:b/>
                <w:color w:val="000000" w:themeColor="text1"/>
                <w:szCs w:val="21"/>
                <w14:textFill>
                  <w14:solidFill>
                    <w14:schemeClr w14:val="tx1"/>
                  </w14:solidFill>
                </w14:textFill>
              </w:rPr>
              <w:t>4.2.4</w:t>
            </w:r>
            <w:r>
              <w:rPr>
                <w:b/>
                <w:bCs/>
                <w:color w:val="000000" w:themeColor="text1"/>
                <w:szCs w:val="21"/>
                <w14:textFill>
                  <w14:solidFill>
                    <w14:schemeClr w14:val="tx1"/>
                  </w14:solidFill>
                </w14:textFill>
              </w:rPr>
              <w:t>依托集中污水处理厂的可行性分析</w:t>
            </w:r>
          </w:p>
          <w:p w14:paraId="16FF73FB">
            <w:pPr>
              <w:adjustRightInd w:val="0"/>
              <w:snapToGrid w:val="0"/>
              <w:spacing w:line="420" w:lineRule="exact"/>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江苏中法水务股份有限公司(城东水质净化厂)位于常熟高新区白茆塘以南，大滃江以东，苏嘉杭高速以西，东南大道东延伸段北侧地块，城东水质净化厂尾水经人工湿地尾水净化设施生态净化后排入大滃江。废水处理采用“粗格栅及提升泵房+细格栅及曝气沉砂池+事故排放池+初沉池及 A</w:t>
            </w:r>
            <w:r>
              <w:rPr>
                <w:rFonts w:hint="eastAsia"/>
                <w:bCs/>
                <w:color w:val="000000" w:themeColor="text1"/>
                <w:szCs w:val="21"/>
                <w:vertAlign w:val="subscript"/>
                <w14:textFill>
                  <w14:solidFill>
                    <w14:schemeClr w14:val="tx1"/>
                  </w14:solidFill>
                </w14:textFill>
              </w:rPr>
              <w:t>2</w:t>
            </w:r>
            <w:r>
              <w:rPr>
                <w:rFonts w:hint="eastAsia"/>
                <w:bCs/>
                <w:color w:val="000000" w:themeColor="text1"/>
                <w:szCs w:val="21"/>
                <w14:textFill>
                  <w14:solidFill>
                    <w14:schemeClr w14:val="tx1"/>
                  </w14:solidFill>
                </w14:textFill>
              </w:rPr>
              <w:t>/O 生化池+二沉池+混凝沉淀池+深床反硝化滤池+活性炭过滤池+次氯酸钠消毒池”工艺，净化厂总处理规模 12.0 万m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/d，主要处理区域内企业的生活污水及少量工业废水，处理后水质达到《城镇污水处理厂污染物排放标准》（DB32/4440-2022）中表1标准，排入大滃。</w:t>
            </w:r>
          </w:p>
          <w:p w14:paraId="79FCE3B8">
            <w:pPr>
              <w:adjustRightInd w:val="0"/>
              <w:snapToGrid w:val="0"/>
              <w:spacing w:line="420" w:lineRule="exact"/>
              <w:ind w:firstLine="420" w:firstLineChars="200"/>
              <w:rPr>
                <w:bCs/>
                <w:color w:val="000000" w:themeColor="text1"/>
                <w:szCs w:val="21"/>
                <w14:textFill>
                  <w14:solidFill>
                    <w14:schemeClr w14:val="tx1"/>
                  </w14:solidFill>
                </w14:textFill>
              </w:rPr>
            </w:pPr>
            <w:r>
              <w:rPr>
                <w:rFonts w:hint="eastAsia"/>
                <w:bCs/>
                <w:color w:val="000000" w:themeColor="text1"/>
                <w:szCs w:val="21"/>
                <w:lang w:eastAsia="zh-CN"/>
                <w14:textFill>
                  <w14:solidFill>
                    <w14:schemeClr w14:val="tx1"/>
                  </w14:solidFill>
                </w14:textFill>
              </w:rPr>
              <w:t>江苏中法水务股份有限公司（城东水质净化厂）</w:t>
            </w:r>
            <w:r>
              <w:rPr>
                <w:rFonts w:hint="eastAsia"/>
                <w:bCs/>
                <w:color w:val="000000" w:themeColor="text1"/>
                <w:szCs w:val="21"/>
                <w14:textFill>
                  <w14:solidFill>
                    <w14:schemeClr w14:val="tx1"/>
                  </w14:solidFill>
                </w14:textFill>
              </w:rPr>
              <w:t>设计进出水水质指标见表4.2-4，污水处理工艺见图4.2-1。</w:t>
            </w:r>
          </w:p>
          <w:p w14:paraId="52847F95">
            <w:pPr>
              <w:spacing w:line="420" w:lineRule="exact"/>
              <w:jc w:val="center"/>
              <w:rPr>
                <w:b/>
                <w:bCs/>
                <w:color w:val="000000" w:themeColor="text1"/>
                <w:sz w:val="24"/>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 xml:space="preserve">4.2-4  </w:t>
            </w:r>
            <w:r>
              <w:rPr>
                <w:rFonts w:hint="eastAsia"/>
                <w:b/>
                <w:bCs/>
                <w:color w:val="000000" w:themeColor="text1"/>
                <w:szCs w:val="21"/>
                <w:lang w:eastAsia="zh-CN"/>
                <w14:textFill>
                  <w14:solidFill>
                    <w14:schemeClr w14:val="tx1"/>
                  </w14:solidFill>
                </w14:textFill>
              </w:rPr>
              <w:t>江苏中法水务股份有限公司（城东水质净化厂）</w:t>
            </w:r>
            <w:r>
              <w:rPr>
                <w:b/>
                <w:bCs/>
                <w:color w:val="000000" w:themeColor="text1"/>
                <w:szCs w:val="21"/>
                <w14:textFill>
                  <w14:solidFill>
                    <w14:schemeClr w14:val="tx1"/>
                  </w14:solidFill>
                </w14:textFill>
              </w:rPr>
              <w:t>设计</w:t>
            </w:r>
            <w:r>
              <w:rPr>
                <w:rFonts w:hint="eastAsia"/>
                <w:b/>
                <w:bCs/>
                <w:color w:val="000000" w:themeColor="text1"/>
                <w:szCs w:val="21"/>
                <w14:textFill>
                  <w14:solidFill>
                    <w14:schemeClr w14:val="tx1"/>
                  </w14:solidFill>
                </w14:textFill>
              </w:rPr>
              <w:t>进出水</w:t>
            </w:r>
            <w:r>
              <w:rPr>
                <w:b/>
                <w:bCs/>
                <w:color w:val="000000" w:themeColor="text1"/>
                <w:szCs w:val="21"/>
                <w14:textFill>
                  <w14:solidFill>
                    <w14:schemeClr w14:val="tx1"/>
                  </w14:solidFill>
                </w14:textFill>
              </w:rPr>
              <w:t>水质（mg/L）</w:t>
            </w:r>
          </w:p>
          <w:tbl>
            <w:tblPr>
              <w:tblStyle w:val="22"/>
              <w:tblW w:w="836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9"/>
              <w:gridCol w:w="780"/>
              <w:gridCol w:w="930"/>
              <w:gridCol w:w="1110"/>
              <w:gridCol w:w="1170"/>
              <w:gridCol w:w="1080"/>
              <w:gridCol w:w="1470"/>
              <w:gridCol w:w="945"/>
            </w:tblGrid>
            <w:tr w14:paraId="7A513C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noWrap/>
                  <w:vAlign w:val="center"/>
                </w:tcPr>
                <w:p w14:paraId="71DB3E98">
                  <w:pPr>
                    <w:pStyle w:val="73"/>
                    <w:spacing w:line="240" w:lineRule="auto"/>
                    <w:rPr>
                      <w:rFonts w:hAnsi="Times New Roman" w:eastAsia="宋体"/>
                      <w:b/>
                      <w:bCs/>
                      <w:color w:val="000000" w:themeColor="text1"/>
                      <w:sz w:val="21"/>
                      <w:szCs w:val="21"/>
                      <w14:textFill>
                        <w14:solidFill>
                          <w14:schemeClr w14:val="tx1"/>
                        </w14:solidFill>
                      </w14:textFill>
                    </w:rPr>
                  </w:pPr>
                  <w:r>
                    <w:rPr>
                      <w:rFonts w:hAnsi="Times New Roman" w:eastAsia="宋体"/>
                      <w:b/>
                      <w:bCs/>
                      <w:color w:val="000000" w:themeColor="text1"/>
                      <w:sz w:val="21"/>
                      <w:szCs w:val="21"/>
                      <w14:textFill>
                        <w14:solidFill>
                          <w14:schemeClr w14:val="tx1"/>
                        </w14:solidFill>
                      </w14:textFill>
                    </w:rPr>
                    <w:t>污染物</w:t>
                  </w:r>
                </w:p>
              </w:tc>
              <w:tc>
                <w:tcPr>
                  <w:tcW w:w="466" w:type="pct"/>
                  <w:noWrap/>
                  <w:vAlign w:val="center"/>
                </w:tcPr>
                <w:p w14:paraId="287F7438">
                  <w:pPr>
                    <w:pStyle w:val="73"/>
                    <w:spacing w:line="240" w:lineRule="auto"/>
                    <w:rPr>
                      <w:rFonts w:hAnsi="Times New Roman" w:eastAsia="宋体"/>
                      <w:b/>
                      <w:bCs/>
                      <w:color w:val="000000" w:themeColor="text1"/>
                      <w:sz w:val="21"/>
                      <w:szCs w:val="21"/>
                      <w14:textFill>
                        <w14:solidFill>
                          <w14:schemeClr w14:val="tx1"/>
                        </w14:solidFill>
                      </w14:textFill>
                    </w:rPr>
                  </w:pPr>
                  <w:r>
                    <w:rPr>
                      <w:rFonts w:hint="eastAsia" w:hAnsi="Times New Roman" w:eastAsia="宋体"/>
                      <w:b/>
                      <w:bCs/>
                      <w:color w:val="000000" w:themeColor="text1"/>
                      <w:sz w:val="21"/>
                      <w:szCs w:val="21"/>
                      <w14:textFill>
                        <w14:solidFill>
                          <w14:schemeClr w14:val="tx1"/>
                        </w14:solidFill>
                      </w14:textFill>
                    </w:rPr>
                    <w:t>pH</w:t>
                  </w:r>
                </w:p>
              </w:tc>
              <w:tc>
                <w:tcPr>
                  <w:tcW w:w="555" w:type="pct"/>
                  <w:noWrap/>
                  <w:vAlign w:val="center"/>
                </w:tcPr>
                <w:p w14:paraId="2341B541">
                  <w:pPr>
                    <w:pStyle w:val="73"/>
                    <w:spacing w:line="240" w:lineRule="auto"/>
                    <w:rPr>
                      <w:rFonts w:hAnsi="Times New Roman" w:eastAsia="宋体"/>
                      <w:b/>
                      <w:bCs/>
                      <w:color w:val="000000" w:themeColor="text1"/>
                      <w:sz w:val="21"/>
                      <w:szCs w:val="21"/>
                      <w14:textFill>
                        <w14:solidFill>
                          <w14:schemeClr w14:val="tx1"/>
                        </w14:solidFill>
                      </w14:textFill>
                    </w:rPr>
                  </w:pPr>
                  <w:r>
                    <w:rPr>
                      <w:rFonts w:hAnsi="Times New Roman" w:eastAsia="宋体"/>
                      <w:b/>
                      <w:bCs/>
                      <w:color w:val="000000" w:themeColor="text1"/>
                      <w:sz w:val="21"/>
                      <w:szCs w:val="21"/>
                      <w14:textFill>
                        <w14:solidFill>
                          <w14:schemeClr w14:val="tx1"/>
                        </w14:solidFill>
                      </w14:textFill>
                    </w:rPr>
                    <w:t>COD</w:t>
                  </w:r>
                </w:p>
              </w:tc>
              <w:tc>
                <w:tcPr>
                  <w:tcW w:w="663" w:type="pct"/>
                  <w:noWrap/>
                  <w:vAlign w:val="center"/>
                </w:tcPr>
                <w:p w14:paraId="43CD4136">
                  <w:pPr>
                    <w:pStyle w:val="73"/>
                    <w:spacing w:line="240" w:lineRule="auto"/>
                    <w:rPr>
                      <w:rFonts w:hAnsi="Times New Roman" w:eastAsia="宋体"/>
                      <w:b/>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BOD</w:t>
                  </w:r>
                  <w:r>
                    <w:rPr>
                      <w:rFonts w:hint="eastAsia"/>
                      <w:color w:val="000000" w:themeColor="text1"/>
                      <w:sz w:val="21"/>
                      <w:szCs w:val="21"/>
                      <w:vertAlign w:val="subscript"/>
                      <w14:textFill>
                        <w14:solidFill>
                          <w14:schemeClr w14:val="tx1"/>
                        </w14:solidFill>
                      </w14:textFill>
                    </w:rPr>
                    <w:t>5</w:t>
                  </w:r>
                </w:p>
              </w:tc>
              <w:tc>
                <w:tcPr>
                  <w:tcW w:w="699" w:type="pct"/>
                  <w:noWrap/>
                  <w:vAlign w:val="center"/>
                </w:tcPr>
                <w:p w14:paraId="30D7A8D8">
                  <w:pPr>
                    <w:pStyle w:val="73"/>
                    <w:spacing w:line="240" w:lineRule="auto"/>
                    <w:rPr>
                      <w:rFonts w:hAnsi="Times New Roman" w:eastAsia="宋体"/>
                      <w:b/>
                      <w:bCs/>
                      <w:color w:val="000000" w:themeColor="text1"/>
                      <w:sz w:val="21"/>
                      <w:szCs w:val="21"/>
                      <w14:textFill>
                        <w14:solidFill>
                          <w14:schemeClr w14:val="tx1"/>
                        </w14:solidFill>
                      </w14:textFill>
                    </w:rPr>
                  </w:pPr>
                  <w:r>
                    <w:rPr>
                      <w:rFonts w:hAnsi="Times New Roman" w:eastAsia="宋体"/>
                      <w:b/>
                      <w:bCs/>
                      <w:color w:val="000000" w:themeColor="text1"/>
                      <w:sz w:val="21"/>
                      <w:szCs w:val="21"/>
                      <w14:textFill>
                        <w14:solidFill>
                          <w14:schemeClr w14:val="tx1"/>
                        </w14:solidFill>
                      </w14:textFill>
                    </w:rPr>
                    <w:t>SS</w:t>
                  </w:r>
                </w:p>
              </w:tc>
              <w:tc>
                <w:tcPr>
                  <w:tcW w:w="645" w:type="pct"/>
                  <w:noWrap/>
                  <w:vAlign w:val="center"/>
                </w:tcPr>
                <w:p w14:paraId="2995B71D">
                  <w:pPr>
                    <w:pStyle w:val="73"/>
                    <w:spacing w:line="240" w:lineRule="auto"/>
                    <w:rPr>
                      <w:rFonts w:hAnsi="Times New Roman" w:eastAsia="宋体"/>
                      <w:b/>
                      <w:bCs/>
                      <w:color w:val="000000" w:themeColor="text1"/>
                      <w:sz w:val="21"/>
                      <w:szCs w:val="21"/>
                      <w14:textFill>
                        <w14:solidFill>
                          <w14:schemeClr w14:val="tx1"/>
                        </w14:solidFill>
                      </w14:textFill>
                    </w:rPr>
                  </w:pPr>
                  <w:r>
                    <w:rPr>
                      <w:rFonts w:hint="eastAsia" w:hAnsi="Times New Roman" w:eastAsia="宋体"/>
                      <w:b/>
                      <w:bCs/>
                      <w:color w:val="000000" w:themeColor="text1"/>
                      <w:sz w:val="21"/>
                      <w:szCs w:val="21"/>
                      <w14:textFill>
                        <w14:solidFill>
                          <w14:schemeClr w14:val="tx1"/>
                        </w14:solidFill>
                      </w14:textFill>
                    </w:rPr>
                    <w:t>TN</w:t>
                  </w:r>
                </w:p>
              </w:tc>
              <w:tc>
                <w:tcPr>
                  <w:tcW w:w="878" w:type="pct"/>
                  <w:noWrap/>
                  <w:vAlign w:val="center"/>
                </w:tcPr>
                <w:p w14:paraId="17734817">
                  <w:pPr>
                    <w:pStyle w:val="73"/>
                    <w:spacing w:line="240" w:lineRule="auto"/>
                    <w:rPr>
                      <w:rFonts w:hAnsi="Times New Roman" w:eastAsia="宋体"/>
                      <w:b/>
                      <w:bCs/>
                      <w:color w:val="000000" w:themeColor="text1"/>
                      <w:sz w:val="21"/>
                      <w:szCs w:val="21"/>
                      <w14:textFill>
                        <w14:solidFill>
                          <w14:schemeClr w14:val="tx1"/>
                        </w14:solidFill>
                      </w14:textFill>
                    </w:rPr>
                  </w:pPr>
                  <w:r>
                    <w:rPr>
                      <w:rFonts w:hAnsi="Times New Roman" w:eastAsia="宋体"/>
                      <w:b/>
                      <w:bCs/>
                      <w:color w:val="000000" w:themeColor="text1"/>
                      <w:sz w:val="21"/>
                      <w:szCs w:val="21"/>
                      <w14:textFill>
                        <w14:solidFill>
                          <w14:schemeClr w14:val="tx1"/>
                        </w14:solidFill>
                      </w14:textFill>
                    </w:rPr>
                    <w:t>NH</w:t>
                  </w:r>
                  <w:r>
                    <w:rPr>
                      <w:rFonts w:hAnsi="Times New Roman" w:eastAsia="宋体"/>
                      <w:b/>
                      <w:bCs/>
                      <w:color w:val="000000" w:themeColor="text1"/>
                      <w:sz w:val="21"/>
                      <w:szCs w:val="21"/>
                      <w:vertAlign w:val="subscript"/>
                      <w14:textFill>
                        <w14:solidFill>
                          <w14:schemeClr w14:val="tx1"/>
                        </w14:solidFill>
                      </w14:textFill>
                    </w:rPr>
                    <w:t>3-</w:t>
                  </w:r>
                  <w:r>
                    <w:rPr>
                      <w:rFonts w:hAnsi="Times New Roman" w:eastAsia="宋体"/>
                      <w:b/>
                      <w:bCs/>
                      <w:color w:val="000000" w:themeColor="text1"/>
                      <w:sz w:val="21"/>
                      <w:szCs w:val="21"/>
                      <w14:textFill>
                        <w14:solidFill>
                          <w14:schemeClr w14:val="tx1"/>
                        </w14:solidFill>
                      </w14:textFill>
                    </w:rPr>
                    <w:t>N</w:t>
                  </w:r>
                </w:p>
              </w:tc>
              <w:tc>
                <w:tcPr>
                  <w:tcW w:w="564" w:type="pct"/>
                  <w:noWrap/>
                  <w:vAlign w:val="center"/>
                </w:tcPr>
                <w:p w14:paraId="1B255AC0">
                  <w:pPr>
                    <w:pStyle w:val="73"/>
                    <w:spacing w:line="240" w:lineRule="auto"/>
                    <w:rPr>
                      <w:rFonts w:hAnsi="Times New Roman" w:eastAsia="宋体"/>
                      <w:b/>
                      <w:bCs/>
                      <w:color w:val="000000" w:themeColor="text1"/>
                      <w:sz w:val="21"/>
                      <w:szCs w:val="21"/>
                      <w14:textFill>
                        <w14:solidFill>
                          <w14:schemeClr w14:val="tx1"/>
                        </w14:solidFill>
                      </w14:textFill>
                    </w:rPr>
                  </w:pPr>
                  <w:r>
                    <w:rPr>
                      <w:rFonts w:hAnsi="Times New Roman" w:eastAsia="宋体"/>
                      <w:b/>
                      <w:bCs/>
                      <w:color w:val="000000" w:themeColor="text1"/>
                      <w:sz w:val="21"/>
                      <w:szCs w:val="21"/>
                      <w14:textFill>
                        <w14:solidFill>
                          <w14:schemeClr w14:val="tx1"/>
                        </w14:solidFill>
                      </w14:textFill>
                    </w:rPr>
                    <w:t>TP</w:t>
                  </w:r>
                </w:p>
              </w:tc>
            </w:tr>
            <w:tr w14:paraId="0B20DC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noWrap/>
                  <w:vAlign w:val="center"/>
                </w:tcPr>
                <w:p w14:paraId="30D016F8">
                  <w:pPr>
                    <w:pStyle w:val="73"/>
                    <w:spacing w:line="240" w:lineRule="auto"/>
                    <w:rPr>
                      <w:rFonts w:hAnsi="Times New Roman" w:eastAsia="宋体"/>
                      <w:color w:val="000000" w:themeColor="text1"/>
                      <w:sz w:val="21"/>
                      <w:szCs w:val="21"/>
                      <w14:textFill>
                        <w14:solidFill>
                          <w14:schemeClr w14:val="tx1"/>
                        </w14:solidFill>
                      </w14:textFill>
                    </w:rPr>
                  </w:pPr>
                  <w:r>
                    <w:rPr>
                      <w:rFonts w:hint="eastAsia" w:hAnsi="Times New Roman" w:eastAsia="宋体"/>
                      <w:color w:val="000000" w:themeColor="text1"/>
                      <w:sz w:val="21"/>
                      <w:szCs w:val="21"/>
                      <w14:textFill>
                        <w14:solidFill>
                          <w14:schemeClr w14:val="tx1"/>
                        </w14:solidFill>
                      </w14:textFill>
                    </w:rPr>
                    <w:t>进水</w:t>
                  </w:r>
                </w:p>
              </w:tc>
              <w:tc>
                <w:tcPr>
                  <w:tcW w:w="466" w:type="pct"/>
                  <w:noWrap/>
                  <w:vAlign w:val="center"/>
                </w:tcPr>
                <w:p w14:paraId="75CE7D4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6~9</w:t>
                  </w:r>
                </w:p>
              </w:tc>
              <w:tc>
                <w:tcPr>
                  <w:tcW w:w="555" w:type="pct"/>
                  <w:noWrap/>
                  <w:vAlign w:val="center"/>
                </w:tcPr>
                <w:p w14:paraId="060ABB2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w:t>
                  </w:r>
                </w:p>
              </w:tc>
              <w:tc>
                <w:tcPr>
                  <w:tcW w:w="663" w:type="pct"/>
                  <w:noWrap/>
                  <w:vAlign w:val="center"/>
                </w:tcPr>
                <w:p w14:paraId="44216982">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200</w:t>
                  </w:r>
                </w:p>
              </w:tc>
              <w:tc>
                <w:tcPr>
                  <w:tcW w:w="699" w:type="pct"/>
                  <w:noWrap/>
                  <w:vAlign w:val="center"/>
                </w:tcPr>
                <w:p w14:paraId="210DD1A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w:t>
                  </w:r>
                </w:p>
              </w:tc>
              <w:tc>
                <w:tcPr>
                  <w:tcW w:w="645" w:type="pct"/>
                  <w:noWrap/>
                  <w:vAlign w:val="center"/>
                </w:tcPr>
                <w:p w14:paraId="1F16C01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45</w:t>
                  </w:r>
                </w:p>
              </w:tc>
              <w:tc>
                <w:tcPr>
                  <w:tcW w:w="878" w:type="pct"/>
                  <w:noWrap/>
                  <w:vAlign w:val="center"/>
                </w:tcPr>
                <w:p w14:paraId="4BC3CDF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p>
              </w:tc>
              <w:tc>
                <w:tcPr>
                  <w:tcW w:w="564" w:type="pct"/>
                  <w:noWrap/>
                  <w:vAlign w:val="center"/>
                </w:tcPr>
                <w:p w14:paraId="73A7C3F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r>
            <w:tr w14:paraId="72C683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noWrap/>
                  <w:vAlign w:val="center"/>
                </w:tcPr>
                <w:p w14:paraId="28732577">
                  <w:pPr>
                    <w:pStyle w:val="73"/>
                    <w:spacing w:line="240" w:lineRule="auto"/>
                    <w:rPr>
                      <w:rFonts w:hAnsi="Times New Roman" w:eastAsia="宋体"/>
                      <w:color w:val="000000" w:themeColor="text1"/>
                      <w:sz w:val="21"/>
                      <w:szCs w:val="21"/>
                      <w14:textFill>
                        <w14:solidFill>
                          <w14:schemeClr w14:val="tx1"/>
                        </w14:solidFill>
                      </w14:textFill>
                    </w:rPr>
                  </w:pPr>
                  <w:r>
                    <w:rPr>
                      <w:rFonts w:hAnsi="Times New Roman" w:eastAsia="宋体"/>
                      <w:color w:val="000000" w:themeColor="text1"/>
                      <w:sz w:val="21"/>
                      <w:szCs w:val="21"/>
                      <w14:textFill>
                        <w14:solidFill>
                          <w14:schemeClr w14:val="tx1"/>
                        </w14:solidFill>
                      </w14:textFill>
                    </w:rPr>
                    <w:t>出水</w:t>
                  </w:r>
                </w:p>
              </w:tc>
              <w:tc>
                <w:tcPr>
                  <w:tcW w:w="466" w:type="pct"/>
                  <w:noWrap/>
                  <w:vAlign w:val="center"/>
                </w:tcPr>
                <w:p w14:paraId="0041F71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6~9</w:t>
                  </w:r>
                </w:p>
              </w:tc>
              <w:tc>
                <w:tcPr>
                  <w:tcW w:w="555" w:type="pct"/>
                  <w:noWrap/>
                  <w:vAlign w:val="center"/>
                </w:tcPr>
                <w:p w14:paraId="65380A2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663" w:type="pct"/>
                  <w:noWrap/>
                  <w:vAlign w:val="center"/>
                </w:tcPr>
                <w:p w14:paraId="0981E5B7">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699" w:type="pct"/>
                  <w:noWrap/>
                  <w:vAlign w:val="center"/>
                </w:tcPr>
                <w:p w14:paraId="5641508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645" w:type="pct"/>
                  <w:noWrap/>
                  <w:vAlign w:val="center"/>
                </w:tcPr>
                <w:p w14:paraId="2B6C86E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12（15）</w:t>
                  </w:r>
                </w:p>
              </w:tc>
              <w:tc>
                <w:tcPr>
                  <w:tcW w:w="878" w:type="pct"/>
                  <w:noWrap/>
                  <w:vAlign w:val="center"/>
                </w:tcPr>
                <w:p w14:paraId="5A4B18C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w:t>
                  </w:r>
                </w:p>
              </w:tc>
              <w:tc>
                <w:tcPr>
                  <w:tcW w:w="564" w:type="pct"/>
                  <w:noWrap/>
                  <w:vAlign w:val="center"/>
                </w:tcPr>
                <w:p w14:paraId="2BC1C81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5</w:t>
                  </w:r>
                </w:p>
              </w:tc>
            </w:tr>
          </w:tbl>
          <w:p w14:paraId="162009E2">
            <w:pPr>
              <w:pStyle w:val="2"/>
              <w:spacing w:before="0" w:after="0" w:line="240" w:lineRule="auto"/>
              <w:ind w:right="0"/>
              <w:jc w:val="center"/>
              <w:rPr>
                <w:b/>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4981575" cy="2028825"/>
                  <wp:effectExtent l="0" t="0" r="9525" b="952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24"/>
                          <a:stretch>
                            <a:fillRect/>
                          </a:stretch>
                        </pic:blipFill>
                        <pic:spPr>
                          <a:xfrm>
                            <a:off x="0" y="0"/>
                            <a:ext cx="4981575" cy="2028825"/>
                          </a:xfrm>
                          <a:prstGeom prst="rect">
                            <a:avLst/>
                          </a:prstGeom>
                          <a:noFill/>
                          <a:ln>
                            <a:noFill/>
                          </a:ln>
                        </pic:spPr>
                      </pic:pic>
                    </a:graphicData>
                  </a:graphic>
                </wp:inline>
              </w:drawing>
            </w:r>
          </w:p>
          <w:p w14:paraId="4EFEDEC9">
            <w:pPr>
              <w:pStyle w:val="2"/>
              <w:spacing w:before="0" w:after="0" w:line="240" w:lineRule="auto"/>
              <w:ind w:right="0"/>
              <w:rPr>
                <w:b/>
                <w:bCs/>
                <w:color w:val="000000" w:themeColor="text1"/>
                <w:sz w:val="21"/>
                <w:szCs w:val="21"/>
                <w14:textFill>
                  <w14:solidFill>
                    <w14:schemeClr w14:val="tx1"/>
                  </w14:solidFill>
                </w14:textFill>
              </w:rPr>
            </w:pPr>
          </w:p>
          <w:p w14:paraId="0698FF2A">
            <w:pPr>
              <w:pStyle w:val="2"/>
              <w:spacing w:before="0" w:after="0" w:line="240" w:lineRule="auto"/>
              <w:ind w:right="0"/>
              <w:jc w:val="center"/>
              <w:rPr>
                <w:color w:val="000000" w:themeColor="text1"/>
                <w14:textFill>
                  <w14:solidFill>
                    <w14:schemeClr w14:val="tx1"/>
                  </w14:solidFill>
                </w14:textFill>
              </w:rPr>
            </w:pPr>
            <w:r>
              <w:rPr>
                <w:rFonts w:hint="eastAsia"/>
                <w:b/>
                <w:bCs/>
                <w:color w:val="000000" w:themeColor="text1"/>
                <w:sz w:val="21"/>
                <w:szCs w:val="21"/>
                <w14:textFill>
                  <w14:solidFill>
                    <w14:schemeClr w14:val="tx1"/>
                  </w14:solidFill>
                </w14:textFill>
              </w:rPr>
              <w:t xml:space="preserve">图4.2-1  </w:t>
            </w:r>
            <w:r>
              <w:rPr>
                <w:rFonts w:hint="eastAsia"/>
                <w:b/>
                <w:bCs/>
                <w:color w:val="000000" w:themeColor="text1"/>
                <w:sz w:val="21"/>
                <w:szCs w:val="21"/>
                <w:lang w:eastAsia="zh-CN"/>
                <w14:textFill>
                  <w14:solidFill>
                    <w14:schemeClr w14:val="tx1"/>
                  </w14:solidFill>
                </w14:textFill>
              </w:rPr>
              <w:t>江苏中法水务股份有限公司（城东水质净化厂）</w:t>
            </w:r>
            <w:r>
              <w:rPr>
                <w:rFonts w:hint="eastAsia"/>
                <w:b/>
                <w:bCs/>
                <w:color w:val="000000" w:themeColor="text1"/>
                <w:sz w:val="21"/>
                <w:szCs w:val="21"/>
                <w14:textFill>
                  <w14:solidFill>
                    <w14:schemeClr w14:val="tx1"/>
                  </w14:solidFill>
                </w14:textFill>
              </w:rPr>
              <w:t>污水处理工艺流程图</w:t>
            </w:r>
          </w:p>
          <w:p w14:paraId="3758599B">
            <w:pPr>
              <w:spacing w:line="42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①废水</w:t>
            </w:r>
            <w:r>
              <w:rPr>
                <w:rFonts w:hint="eastAsia"/>
                <w:color w:val="000000" w:themeColor="text1"/>
                <w:szCs w:val="21"/>
                <w14:textFill>
                  <w14:solidFill>
                    <w14:schemeClr w14:val="tx1"/>
                  </w14:solidFill>
                </w14:textFill>
              </w:rPr>
              <w:t>水</w:t>
            </w:r>
            <w:r>
              <w:rPr>
                <w:color w:val="000000" w:themeColor="text1"/>
                <w:szCs w:val="21"/>
                <w14:textFill>
                  <w14:solidFill>
                    <w14:schemeClr w14:val="tx1"/>
                  </w14:solidFill>
                </w14:textFill>
              </w:rPr>
              <w:t>量的可行性分析</w:t>
            </w:r>
          </w:p>
          <w:p w14:paraId="15B8A5D0">
            <w:pPr>
              <w:spacing w:line="42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本项目排入</w:t>
            </w:r>
            <w:r>
              <w:rPr>
                <w:rFonts w:hint="eastAsia"/>
                <w:color w:val="000000" w:themeColor="text1"/>
                <w:szCs w:val="21"/>
                <w:lang w:eastAsia="zh-CN"/>
                <w14:textFill>
                  <w14:solidFill>
                    <w14:schemeClr w14:val="tx1"/>
                  </w14:solidFill>
                </w14:textFill>
              </w:rPr>
              <w:t>江苏中法水务股份有限公司（城东水质净化厂）</w:t>
            </w:r>
            <w:r>
              <w:rPr>
                <w:color w:val="000000" w:themeColor="text1"/>
                <w:szCs w:val="21"/>
                <w14:textFill>
                  <w14:solidFill>
                    <w14:schemeClr w14:val="tx1"/>
                  </w14:solidFill>
                </w14:textFill>
              </w:rPr>
              <w:t>的废水量为</w:t>
            </w:r>
            <w:r>
              <w:rPr>
                <w:rFonts w:hint="eastAsia"/>
                <w:color w:val="000000" w:themeColor="text1"/>
                <w:szCs w:val="21"/>
                <w:lang w:val="en-US" w:eastAsia="zh-CN"/>
                <w14:textFill>
                  <w14:solidFill>
                    <w14:schemeClr w14:val="tx1"/>
                  </w14:solidFill>
                </w14:textFill>
              </w:rPr>
              <w:t>54</w:t>
            </w: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r>
              <w:rPr>
                <w:rFonts w:hint="eastAsia"/>
                <w:color w:val="000000" w:themeColor="text1"/>
                <w:szCs w:val="21"/>
                <w14:textFill>
                  <w14:solidFill>
                    <w14:schemeClr w14:val="tx1"/>
                  </w14:solidFill>
                </w14:textFill>
              </w:rPr>
              <w:t>江苏中法水务股份有限公司（城东水质净化厂）</w:t>
            </w:r>
            <w:r>
              <w:rPr>
                <w:color w:val="000000" w:themeColor="text1"/>
                <w:szCs w:val="21"/>
                <w14:textFill>
                  <w14:solidFill>
                    <w14:schemeClr w14:val="tx1"/>
                  </w14:solidFill>
                </w14:textFill>
              </w:rPr>
              <w:t>设计能力为</w:t>
            </w: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万m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/d，目前，实际接纳水量约为</w:t>
            </w:r>
            <w:r>
              <w:rPr>
                <w:rFonts w:hint="eastAsia"/>
                <w:color w:val="000000" w:themeColor="text1"/>
                <w:szCs w:val="21"/>
                <w14:textFill>
                  <w14:solidFill>
                    <w14:schemeClr w14:val="tx1"/>
                  </w14:solidFill>
                </w14:textFill>
              </w:rPr>
              <w:t>11万</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/d，尚富余负荷近</w:t>
            </w:r>
            <w:r>
              <w:rPr>
                <w:rFonts w:hint="eastAsia"/>
                <w:color w:val="000000" w:themeColor="text1"/>
                <w:szCs w:val="21"/>
                <w14:textFill>
                  <w14:solidFill>
                    <w14:schemeClr w14:val="tx1"/>
                  </w14:solidFill>
                </w14:textFill>
              </w:rPr>
              <w:t>1万</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/d。本项目建成后废水排放量为</w:t>
            </w:r>
            <w:r>
              <w:rPr>
                <w:rFonts w:hint="eastAsia"/>
                <w:color w:val="000000" w:themeColor="text1"/>
                <w:szCs w:val="21"/>
                <w:lang w:val="en-US" w:eastAsia="zh-CN"/>
                <w14:textFill>
                  <w14:solidFill>
                    <w14:schemeClr w14:val="tx1"/>
                  </w14:solidFill>
                </w14:textFill>
              </w:rPr>
              <w:t>1.8</w:t>
            </w:r>
            <w:r>
              <w:rPr>
                <w:color w:val="000000" w:themeColor="text1"/>
                <w:szCs w:val="21"/>
                <w14:textFill>
                  <w14:solidFill>
                    <w14:schemeClr w14:val="tx1"/>
                  </w14:solidFill>
                </w14:textFill>
              </w:rPr>
              <w:t>t/d，仅占富余接收量的</w:t>
            </w:r>
            <w:r>
              <w:rPr>
                <w:rFonts w:hint="eastAsia"/>
                <w:color w:val="000000" w:themeColor="text1"/>
                <w:szCs w:val="21"/>
                <w14:textFill>
                  <w14:solidFill>
                    <w14:schemeClr w14:val="tx1"/>
                  </w14:solidFill>
                </w14:textFill>
              </w:rPr>
              <w:t>0.0</w:t>
            </w:r>
            <w:r>
              <w:rPr>
                <w:rFonts w:hint="eastAsia"/>
                <w:color w:val="000000" w:themeColor="text1"/>
                <w:szCs w:val="21"/>
                <w:lang w:val="en-US" w:eastAsia="zh-CN"/>
                <w14:textFill>
                  <w14:solidFill>
                    <w14:schemeClr w14:val="tx1"/>
                  </w14:solidFill>
                </w14:textFill>
              </w:rPr>
              <w:t>18</w:t>
            </w:r>
            <w:r>
              <w:rPr>
                <w:color w:val="000000" w:themeColor="text1"/>
                <w:szCs w:val="21"/>
                <w14:textFill>
                  <w14:solidFill>
                    <w14:schemeClr w14:val="tx1"/>
                  </w14:solidFill>
                </w14:textFill>
              </w:rPr>
              <w:t>%。因此，从废水量来看，</w:t>
            </w:r>
            <w:r>
              <w:rPr>
                <w:rFonts w:hint="eastAsia"/>
                <w:color w:val="000000" w:themeColor="text1"/>
                <w:szCs w:val="21"/>
                <w:lang w:eastAsia="zh-CN"/>
                <w14:textFill>
                  <w14:solidFill>
                    <w14:schemeClr w14:val="tx1"/>
                  </w14:solidFill>
                </w14:textFill>
              </w:rPr>
              <w:t>江苏中法水务股份有限公司（城东水质净化厂）</w:t>
            </w:r>
            <w:r>
              <w:rPr>
                <w:color w:val="000000" w:themeColor="text1"/>
                <w:szCs w:val="21"/>
                <w14:textFill>
                  <w14:solidFill>
                    <w14:schemeClr w14:val="tx1"/>
                  </w14:solidFill>
                </w14:textFill>
              </w:rPr>
              <w:t>完全有能力接收本项目产生的</w:t>
            </w:r>
            <w:r>
              <w:rPr>
                <w:rFonts w:hint="eastAsia"/>
                <w:color w:val="000000" w:themeColor="text1"/>
                <w:szCs w:val="21"/>
                <w14:textFill>
                  <w14:solidFill>
                    <w14:schemeClr w14:val="tx1"/>
                  </w14:solidFill>
                </w14:textFill>
              </w:rPr>
              <w:t>废水</w:t>
            </w:r>
            <w:r>
              <w:rPr>
                <w:color w:val="000000" w:themeColor="text1"/>
                <w:szCs w:val="21"/>
                <w14:textFill>
                  <w14:solidFill>
                    <w14:schemeClr w14:val="tx1"/>
                  </w14:solidFill>
                </w14:textFill>
              </w:rPr>
              <w:t>。</w:t>
            </w:r>
          </w:p>
          <w:p w14:paraId="2FA615CB">
            <w:pPr>
              <w:spacing w:line="42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②</w:t>
            </w:r>
            <w:r>
              <w:rPr>
                <w:rFonts w:hint="eastAsia"/>
                <w:color w:val="000000" w:themeColor="text1"/>
                <w:szCs w:val="21"/>
                <w14:textFill>
                  <w14:solidFill>
                    <w14:schemeClr w14:val="tx1"/>
                  </w14:solidFill>
                </w14:textFill>
              </w:rPr>
              <w:t>废水</w:t>
            </w:r>
            <w:r>
              <w:rPr>
                <w:color w:val="000000" w:themeColor="text1"/>
                <w:szCs w:val="21"/>
                <w14:textFill>
                  <w14:solidFill>
                    <w14:schemeClr w14:val="tx1"/>
                  </w14:solidFill>
                </w14:textFill>
              </w:rPr>
              <w:t>水质的可行性分析</w:t>
            </w:r>
          </w:p>
          <w:p w14:paraId="1AD9D263">
            <w:pPr>
              <w:spacing w:line="42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14:textFill>
                  <w14:solidFill>
                    <w14:schemeClr w14:val="tx1"/>
                  </w14:solidFill>
                </w14:textFill>
              </w:rPr>
              <w:t>仅排放生活污水</w:t>
            </w:r>
            <w:r>
              <w:rPr>
                <w:color w:val="000000" w:themeColor="text1"/>
                <w:szCs w:val="21"/>
                <w14:textFill>
                  <w14:solidFill>
                    <w14:schemeClr w14:val="tx1"/>
                  </w14:solidFill>
                </w14:textFill>
              </w:rPr>
              <w:t>，对</w:t>
            </w:r>
            <w:r>
              <w:rPr>
                <w:rFonts w:hint="eastAsia"/>
                <w:color w:val="000000" w:themeColor="text1"/>
                <w:szCs w:val="21"/>
                <w:lang w:eastAsia="zh-CN"/>
                <w14:textFill>
                  <w14:solidFill>
                    <w14:schemeClr w14:val="tx1"/>
                  </w14:solidFill>
                </w14:textFill>
              </w:rPr>
              <w:t>江苏中法水务股份有限公司（城东水质净化厂）</w:t>
            </w:r>
            <w:r>
              <w:rPr>
                <w:color w:val="000000" w:themeColor="text1"/>
                <w:szCs w:val="21"/>
                <w14:textFill>
                  <w14:solidFill>
                    <w14:schemeClr w14:val="tx1"/>
                  </w14:solidFill>
                </w14:textFill>
              </w:rPr>
              <w:t>的处理工艺不会造成影响。因此，从废水水质来看，</w:t>
            </w:r>
            <w:r>
              <w:rPr>
                <w:rFonts w:hint="eastAsia"/>
                <w:color w:val="000000" w:themeColor="text1"/>
                <w:szCs w:val="21"/>
                <w:lang w:eastAsia="zh-CN"/>
                <w14:textFill>
                  <w14:solidFill>
                    <w14:schemeClr w14:val="tx1"/>
                  </w14:solidFill>
                </w14:textFill>
              </w:rPr>
              <w:t>江苏中法水务股份有限公司（城东水质净化厂）</w:t>
            </w:r>
            <w:r>
              <w:rPr>
                <w:color w:val="000000" w:themeColor="text1"/>
                <w:szCs w:val="21"/>
                <w14:textFill>
                  <w14:solidFill>
                    <w14:schemeClr w14:val="tx1"/>
                  </w14:solidFill>
                </w14:textFill>
              </w:rPr>
              <w:t>是可以接纳本项目产生的废水的。</w:t>
            </w:r>
          </w:p>
          <w:p w14:paraId="50D624F7">
            <w:pPr>
              <w:spacing w:line="42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③</w:t>
            </w:r>
            <w:r>
              <w:rPr>
                <w:rFonts w:hint="eastAsia"/>
                <w:color w:val="000000" w:themeColor="text1"/>
                <w:szCs w:val="21"/>
                <w14:textFill>
                  <w14:solidFill>
                    <w14:schemeClr w14:val="tx1"/>
                  </w14:solidFill>
                </w14:textFill>
              </w:rPr>
              <w:t>废水</w:t>
            </w:r>
            <w:r>
              <w:rPr>
                <w:color w:val="000000" w:themeColor="text1"/>
                <w:szCs w:val="21"/>
                <w14:textFill>
                  <w14:solidFill>
                    <w14:schemeClr w14:val="tx1"/>
                  </w14:solidFill>
                </w14:textFill>
              </w:rPr>
              <w:t>接管可行性分析</w:t>
            </w:r>
          </w:p>
          <w:p w14:paraId="2AD7DBE3">
            <w:pPr>
              <w:spacing w:line="42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14:textFill>
                  <w14:solidFill>
                    <w14:schemeClr w14:val="tx1"/>
                  </w14:solidFill>
                </w14:textFill>
              </w:rPr>
              <w:t>位于</w:t>
            </w:r>
            <w:r>
              <w:rPr>
                <w:rFonts w:hint="eastAsia"/>
                <w:color w:val="000000" w:themeColor="text1"/>
                <w:szCs w:val="21"/>
                <w14:textFill>
                  <w14:solidFill>
                    <w14:schemeClr w14:val="tx1"/>
                  </w14:solidFill>
                </w14:textFill>
              </w:rPr>
              <w:t>常熟市</w:t>
            </w:r>
            <w:r>
              <w:rPr>
                <w:rFonts w:hint="eastAsia"/>
                <w:color w:val="000000" w:themeColor="text1"/>
                <w:szCs w:val="21"/>
                <w:lang w:eastAsia="zh-CN"/>
                <w14:textFill>
                  <w14:solidFill>
                    <w14:schemeClr w14:val="tx1"/>
                  </w14:solidFill>
                </w14:textFill>
              </w:rPr>
              <w:t>东南街道银环路28-1号10幢102</w:t>
            </w:r>
            <w:r>
              <w:rPr>
                <w:rFonts w:hint="eastAsia"/>
                <w:color w:val="000000" w:themeColor="text1"/>
                <w:szCs w:val="21"/>
                <w14:textFill>
                  <w14:solidFill>
                    <w14:schemeClr w14:val="tx1"/>
                  </w14:solidFill>
                </w14:textFill>
              </w:rPr>
              <w:t>，属于</w:t>
            </w:r>
            <w:r>
              <w:rPr>
                <w:rFonts w:hint="eastAsia"/>
                <w:color w:val="000000" w:themeColor="text1"/>
                <w:szCs w:val="21"/>
                <w:lang w:eastAsia="zh-CN"/>
                <w14:textFill>
                  <w14:solidFill>
                    <w14:schemeClr w14:val="tx1"/>
                  </w14:solidFill>
                </w14:textFill>
              </w:rPr>
              <w:t>江苏中法水务股份有限公司（城东水质净化厂）</w:t>
            </w:r>
            <w:r>
              <w:rPr>
                <w:rFonts w:hint="eastAsia"/>
                <w:color w:val="000000" w:themeColor="text1"/>
                <w:szCs w:val="21"/>
                <w14:textFill>
                  <w14:solidFill>
                    <w14:schemeClr w14:val="tx1"/>
                  </w14:solidFill>
                </w14:textFill>
              </w:rPr>
              <w:t>的收水范围，项目所在地</w:t>
            </w:r>
            <w:r>
              <w:rPr>
                <w:color w:val="000000" w:themeColor="text1"/>
                <w:szCs w:val="21"/>
                <w14:textFill>
                  <w14:solidFill>
                    <w14:schemeClr w14:val="tx1"/>
                  </w14:solidFill>
                </w14:textFill>
              </w:rPr>
              <w:t>污水管网已铺设到位，可保证项目投产后</w:t>
            </w:r>
            <w:r>
              <w:rPr>
                <w:rFonts w:hint="eastAsia"/>
                <w:color w:val="000000" w:themeColor="text1"/>
                <w:szCs w:val="21"/>
                <w14:textFill>
                  <w14:solidFill>
                    <w14:schemeClr w14:val="tx1"/>
                  </w14:solidFill>
                </w14:textFill>
              </w:rPr>
              <w:t>生活</w:t>
            </w:r>
            <w:r>
              <w:rPr>
                <w:color w:val="000000" w:themeColor="text1"/>
                <w:szCs w:val="21"/>
                <w14:textFill>
                  <w14:solidFill>
                    <w14:schemeClr w14:val="tx1"/>
                  </w14:solidFill>
                </w14:textFill>
              </w:rPr>
              <w:t>污水能进入</w:t>
            </w:r>
            <w:r>
              <w:rPr>
                <w:rFonts w:hint="eastAsia"/>
                <w:color w:val="000000" w:themeColor="text1"/>
                <w:szCs w:val="21"/>
                <w:lang w:eastAsia="zh-CN"/>
                <w14:textFill>
                  <w14:solidFill>
                    <w14:schemeClr w14:val="tx1"/>
                  </w14:solidFill>
                </w14:textFill>
              </w:rPr>
              <w:t>江苏中法水务股份有限公司（城东水质净化厂）</w:t>
            </w:r>
            <w:r>
              <w:rPr>
                <w:color w:val="000000" w:themeColor="text1"/>
                <w:szCs w:val="21"/>
                <w14:textFill>
                  <w14:solidFill>
                    <w14:schemeClr w14:val="tx1"/>
                  </w14:solidFill>
                </w14:textFill>
              </w:rPr>
              <w:t>。</w:t>
            </w:r>
          </w:p>
          <w:p w14:paraId="2AF08EAF">
            <w:pPr>
              <w:adjustRightInd w:val="0"/>
              <w:snapToGrid w:val="0"/>
              <w:spacing w:line="42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综上所述，本项目废水接入污水管网后排放至</w:t>
            </w:r>
            <w:r>
              <w:rPr>
                <w:rFonts w:hint="eastAsia"/>
                <w:color w:val="000000" w:themeColor="text1"/>
                <w:szCs w:val="21"/>
                <w:lang w:eastAsia="zh-CN"/>
                <w14:textFill>
                  <w14:solidFill>
                    <w14:schemeClr w14:val="tx1"/>
                  </w14:solidFill>
                </w14:textFill>
              </w:rPr>
              <w:t>江苏中法水务股份有限公司（城东水质净化厂）</w:t>
            </w:r>
            <w:r>
              <w:rPr>
                <w:color w:val="000000" w:themeColor="text1"/>
                <w:szCs w:val="21"/>
                <w14:textFill>
                  <w14:solidFill>
                    <w14:schemeClr w14:val="tx1"/>
                  </w14:solidFill>
                </w14:textFill>
              </w:rPr>
              <w:t>是可行的，对当地的水环境影响较小。</w:t>
            </w:r>
          </w:p>
          <w:p w14:paraId="4CF077C9">
            <w:pPr>
              <w:adjustRightInd w:val="0"/>
              <w:snapToGrid w:val="0"/>
              <w:spacing w:line="420" w:lineRule="exact"/>
              <w:ind w:firstLine="422" w:firstLineChars="20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4.3噪声</w:t>
            </w:r>
          </w:p>
          <w:p w14:paraId="5A970D8C">
            <w:pPr>
              <w:adjustRightInd w:val="0"/>
              <w:snapToGrid w:val="0"/>
              <w:spacing w:line="420" w:lineRule="exact"/>
              <w:ind w:firstLine="422" w:firstLineChars="20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4.3.1污染物产生及排放情况</w:t>
            </w:r>
          </w:p>
          <w:p w14:paraId="4AD4D160">
            <w:pPr>
              <w:spacing w:line="360" w:lineRule="auto"/>
              <w:ind w:firstLine="420" w:firstLineChars="200"/>
              <w:jc w:val="left"/>
              <w:rPr>
                <w:bCs/>
                <w:color w:val="000000" w:themeColor="text1"/>
                <w:spacing w:val="-10"/>
                <w:szCs w:val="21"/>
                <w14:textFill>
                  <w14:solidFill>
                    <w14:schemeClr w14:val="tx1"/>
                  </w14:solidFill>
                </w14:textFill>
              </w:rPr>
            </w:pPr>
            <w:r>
              <w:rPr>
                <w:rFonts w:hint="eastAsia"/>
                <w:bCs/>
                <w:color w:val="000000" w:themeColor="text1"/>
                <w:szCs w:val="21"/>
                <w14:textFill>
                  <w14:solidFill>
                    <w14:schemeClr w14:val="tx1"/>
                  </w14:solidFill>
                </w14:textFill>
              </w:rPr>
              <w:t>本</w:t>
            </w:r>
            <w:r>
              <w:rPr>
                <w:bCs/>
                <w:color w:val="000000" w:themeColor="text1"/>
                <w:szCs w:val="21"/>
                <w14:textFill>
                  <w14:solidFill>
                    <w14:schemeClr w14:val="tx1"/>
                  </w14:solidFill>
                </w14:textFill>
              </w:rPr>
              <w:t>项目对环境有影响的声源主要为设备运行时产生的噪声，噪声值约</w:t>
            </w:r>
            <w:r>
              <w:rPr>
                <w:rFonts w:hint="eastAsia"/>
                <w:bCs/>
                <w:color w:val="000000" w:themeColor="text1"/>
                <w:szCs w:val="21"/>
                <w14:textFill>
                  <w14:solidFill>
                    <w14:schemeClr w14:val="tx1"/>
                  </w14:solidFill>
                </w14:textFill>
              </w:rPr>
              <w:t>70</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85</w:t>
            </w:r>
            <w:r>
              <w:rPr>
                <w:bCs/>
                <w:color w:val="000000" w:themeColor="text1"/>
                <w:szCs w:val="21"/>
                <w14:textFill>
                  <w14:solidFill>
                    <w14:schemeClr w14:val="tx1"/>
                  </w14:solidFill>
                </w14:textFill>
              </w:rPr>
              <w:t>dB（A）。</w:t>
            </w:r>
            <w:r>
              <w:rPr>
                <w:rFonts w:hint="eastAsia"/>
                <w:bCs/>
                <w:color w:val="000000" w:themeColor="text1"/>
                <w:szCs w:val="21"/>
                <w14:textFill>
                  <w14:solidFill>
                    <w14:schemeClr w14:val="tx1"/>
                  </w14:solidFill>
                </w14:textFill>
              </w:rPr>
              <w:t>根据《环境影响评价技术导则 声环境》（HJ2.4-2021）附录D，声源调查清单如下表所示</w:t>
            </w:r>
            <w:r>
              <w:rPr>
                <w:bCs/>
                <w:color w:val="000000" w:themeColor="text1"/>
                <w:szCs w:val="21"/>
                <w14:textFill>
                  <w14:solidFill>
                    <w14:schemeClr w14:val="tx1"/>
                  </w14:solidFill>
                </w14:textFill>
              </w:rPr>
              <w:t>。</w:t>
            </w:r>
          </w:p>
        </w:tc>
      </w:tr>
    </w:tbl>
    <w:p w14:paraId="443F54F0">
      <w:pPr>
        <w:pStyle w:val="2"/>
        <w:rPr>
          <w:color w:val="000000" w:themeColor="text1"/>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12707"/>
      </w:tblGrid>
      <w:tr w14:paraId="6F880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7" w:hRule="atLeast"/>
        </w:trPr>
        <w:tc>
          <w:tcPr>
            <w:tcW w:w="521" w:type="dxa"/>
            <w:vAlign w:val="center"/>
          </w:tcPr>
          <w:p w14:paraId="2F6578B6">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运营</w:t>
            </w:r>
          </w:p>
          <w:p w14:paraId="0E584F51">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期环</w:t>
            </w:r>
          </w:p>
          <w:p w14:paraId="73659BD4">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境影</w:t>
            </w:r>
          </w:p>
          <w:p w14:paraId="19ADD6BC">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响和</w:t>
            </w:r>
          </w:p>
          <w:p w14:paraId="57B47648">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保护</w:t>
            </w:r>
          </w:p>
          <w:p w14:paraId="5A92C87B">
            <w:pPr>
              <w:pStyle w:val="10"/>
              <w:numPr>
                <w:ilvl w:val="0"/>
                <w:numId w:val="0"/>
              </w:numPr>
              <w:ind w:left="1680"/>
              <w:jc w:val="center"/>
              <w:rPr>
                <w:color w:val="000000" w:themeColor="text1"/>
                <w14:textFill>
                  <w14:solidFill>
                    <w14:schemeClr w14:val="tx1"/>
                  </w14:solidFill>
                </w14:textFill>
              </w:rPr>
            </w:pPr>
          </w:p>
        </w:tc>
        <w:tc>
          <w:tcPr>
            <w:tcW w:w="12707" w:type="dxa"/>
          </w:tcPr>
          <w:p w14:paraId="3F25AEBB">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表4.3-1   本项目</w:t>
            </w:r>
            <w:r>
              <w:rPr>
                <w:rFonts w:hint="eastAsia"/>
                <w:b/>
                <w:color w:val="000000" w:themeColor="text1"/>
                <w:szCs w:val="21"/>
                <w14:textFill>
                  <w14:solidFill>
                    <w14:schemeClr w14:val="tx1"/>
                  </w14:solidFill>
                </w14:textFill>
              </w:rPr>
              <w:t>噪声源强调查清单（室内声源）</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5"/>
              <w:gridCol w:w="465"/>
              <w:gridCol w:w="1053"/>
              <w:gridCol w:w="933"/>
              <w:gridCol w:w="1159"/>
              <w:gridCol w:w="703"/>
              <w:gridCol w:w="583"/>
              <w:gridCol w:w="583"/>
              <w:gridCol w:w="413"/>
              <w:gridCol w:w="963"/>
              <w:gridCol w:w="1068"/>
              <w:gridCol w:w="696"/>
              <w:gridCol w:w="791"/>
              <w:gridCol w:w="1391"/>
              <w:gridCol w:w="1265"/>
            </w:tblGrid>
            <w:tr w14:paraId="3690F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 w:type="pct"/>
                  <w:vMerge w:val="restart"/>
                  <w:vAlign w:val="center"/>
                </w:tcPr>
                <w:p w14:paraId="32243271">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序号</w:t>
                  </w:r>
                </w:p>
              </w:tc>
              <w:tc>
                <w:tcPr>
                  <w:tcW w:w="186" w:type="pct"/>
                  <w:vMerge w:val="restart"/>
                  <w:vAlign w:val="center"/>
                </w:tcPr>
                <w:p w14:paraId="3116A270">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建筑物名称</w:t>
                  </w:r>
                </w:p>
              </w:tc>
              <w:tc>
                <w:tcPr>
                  <w:tcW w:w="421" w:type="pct"/>
                  <w:vMerge w:val="restart"/>
                  <w:vAlign w:val="center"/>
                </w:tcPr>
                <w:p w14:paraId="78FB13C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声源</w:t>
                  </w:r>
                  <w:r>
                    <w:rPr>
                      <w:rFonts w:hint="eastAsia"/>
                      <w:b/>
                      <w:bCs/>
                      <w:color w:val="000000" w:themeColor="text1"/>
                      <w:szCs w:val="21"/>
                      <w14:textFill>
                        <w14:solidFill>
                          <w14:schemeClr w14:val="tx1"/>
                        </w14:solidFill>
                      </w14:textFill>
                    </w:rPr>
                    <w:t>名称</w:t>
                  </w:r>
                </w:p>
              </w:tc>
              <w:tc>
                <w:tcPr>
                  <w:tcW w:w="373" w:type="pct"/>
                  <w:vMerge w:val="restart"/>
                  <w:vAlign w:val="center"/>
                </w:tcPr>
                <w:p w14:paraId="057AC944">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数量</w:t>
                  </w:r>
                </w:p>
              </w:tc>
              <w:tc>
                <w:tcPr>
                  <w:tcW w:w="463" w:type="pct"/>
                  <w:vMerge w:val="restart"/>
                  <w:vAlign w:val="center"/>
                </w:tcPr>
                <w:p w14:paraId="54A01A62">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声功率级/</w:t>
                  </w:r>
                  <w:r>
                    <w:rPr>
                      <w:b/>
                      <w:bCs/>
                      <w:color w:val="000000" w:themeColor="text1"/>
                      <w:szCs w:val="21"/>
                      <w14:textFill>
                        <w14:solidFill>
                          <w14:schemeClr w14:val="tx1"/>
                        </w14:solidFill>
                      </w14:textFill>
                    </w:rPr>
                    <w:t>dB（A）</w:t>
                  </w:r>
                </w:p>
              </w:tc>
              <w:tc>
                <w:tcPr>
                  <w:tcW w:w="281" w:type="pct"/>
                  <w:vMerge w:val="restart"/>
                  <w:vAlign w:val="center"/>
                </w:tcPr>
                <w:p w14:paraId="0ADF1246">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声源控制</w:t>
                  </w:r>
                  <w:r>
                    <w:rPr>
                      <w:b/>
                      <w:bCs/>
                      <w:color w:val="000000" w:themeColor="text1"/>
                      <w:szCs w:val="21"/>
                      <w14:textFill>
                        <w14:solidFill>
                          <w14:schemeClr w14:val="tx1"/>
                        </w14:solidFill>
                      </w14:textFill>
                    </w:rPr>
                    <w:t>措施</w:t>
                  </w:r>
                </w:p>
              </w:tc>
              <w:tc>
                <w:tcPr>
                  <w:tcW w:w="632" w:type="pct"/>
                  <w:gridSpan w:val="3"/>
                  <w:vAlign w:val="center"/>
                </w:tcPr>
                <w:p w14:paraId="5F1C97C7">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空间相对位置/m</w:t>
                  </w:r>
                </w:p>
              </w:tc>
              <w:tc>
                <w:tcPr>
                  <w:tcW w:w="385" w:type="pct"/>
                  <w:vMerge w:val="restart"/>
                  <w:vAlign w:val="center"/>
                </w:tcPr>
                <w:p w14:paraId="749677DC">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距室内边界距离/m</w:t>
                  </w:r>
                </w:p>
              </w:tc>
              <w:tc>
                <w:tcPr>
                  <w:tcW w:w="427" w:type="pct"/>
                  <w:vMerge w:val="restart"/>
                  <w:vAlign w:val="center"/>
                </w:tcPr>
                <w:p w14:paraId="4DB80A3F">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室内边界声级/</w:t>
                  </w:r>
                  <w:r>
                    <w:rPr>
                      <w:b/>
                      <w:bCs/>
                      <w:color w:val="000000" w:themeColor="text1"/>
                      <w:szCs w:val="21"/>
                      <w14:textFill>
                        <w14:solidFill>
                          <w14:schemeClr w14:val="tx1"/>
                        </w14:solidFill>
                      </w14:textFill>
                    </w:rPr>
                    <w:t>dB（A）</w:t>
                  </w:r>
                </w:p>
              </w:tc>
              <w:tc>
                <w:tcPr>
                  <w:tcW w:w="278" w:type="pct"/>
                  <w:vMerge w:val="restart"/>
                  <w:vAlign w:val="center"/>
                </w:tcPr>
                <w:p w14:paraId="43EE3C42">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运行时段</w:t>
                  </w:r>
                </w:p>
              </w:tc>
              <w:tc>
                <w:tcPr>
                  <w:tcW w:w="316" w:type="pct"/>
                  <w:vMerge w:val="restart"/>
                  <w:vAlign w:val="center"/>
                </w:tcPr>
                <w:p w14:paraId="63116012">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建筑物插入损失/</w:t>
                  </w:r>
                </w:p>
                <w:p w14:paraId="0B3F26BC">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dB（A）</w:t>
                  </w:r>
                </w:p>
              </w:tc>
              <w:tc>
                <w:tcPr>
                  <w:tcW w:w="1063" w:type="pct"/>
                  <w:gridSpan w:val="2"/>
                  <w:vAlign w:val="center"/>
                </w:tcPr>
                <w:p w14:paraId="076AEAC7">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建筑物外噪声</w:t>
                  </w:r>
                </w:p>
              </w:tc>
            </w:tr>
            <w:tr w14:paraId="0D120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 w:type="pct"/>
                  <w:vMerge w:val="continue"/>
                  <w:vAlign w:val="center"/>
                </w:tcPr>
                <w:p w14:paraId="6F6AE371">
                  <w:pPr>
                    <w:jc w:val="center"/>
                    <w:rPr>
                      <w:color w:val="000000" w:themeColor="text1"/>
                      <w14:textFill>
                        <w14:solidFill>
                          <w14:schemeClr w14:val="tx1"/>
                        </w14:solidFill>
                      </w14:textFill>
                    </w:rPr>
                  </w:pPr>
                </w:p>
              </w:tc>
              <w:tc>
                <w:tcPr>
                  <w:tcW w:w="186" w:type="pct"/>
                  <w:vMerge w:val="continue"/>
                  <w:vAlign w:val="center"/>
                </w:tcPr>
                <w:p w14:paraId="6F449EBA">
                  <w:pPr>
                    <w:jc w:val="center"/>
                    <w:rPr>
                      <w:color w:val="000000" w:themeColor="text1"/>
                      <w14:textFill>
                        <w14:solidFill>
                          <w14:schemeClr w14:val="tx1"/>
                        </w14:solidFill>
                      </w14:textFill>
                    </w:rPr>
                  </w:pPr>
                </w:p>
              </w:tc>
              <w:tc>
                <w:tcPr>
                  <w:tcW w:w="421" w:type="pct"/>
                  <w:vMerge w:val="continue"/>
                  <w:vAlign w:val="center"/>
                </w:tcPr>
                <w:p w14:paraId="18518970">
                  <w:pPr>
                    <w:jc w:val="center"/>
                    <w:rPr>
                      <w:color w:val="000000" w:themeColor="text1"/>
                      <w14:textFill>
                        <w14:solidFill>
                          <w14:schemeClr w14:val="tx1"/>
                        </w14:solidFill>
                      </w14:textFill>
                    </w:rPr>
                  </w:pPr>
                </w:p>
              </w:tc>
              <w:tc>
                <w:tcPr>
                  <w:tcW w:w="373" w:type="pct"/>
                  <w:vMerge w:val="continue"/>
                  <w:vAlign w:val="center"/>
                </w:tcPr>
                <w:p w14:paraId="714F98CF">
                  <w:pPr>
                    <w:jc w:val="center"/>
                    <w:rPr>
                      <w:color w:val="000000" w:themeColor="text1"/>
                      <w14:textFill>
                        <w14:solidFill>
                          <w14:schemeClr w14:val="tx1"/>
                        </w14:solidFill>
                      </w14:textFill>
                    </w:rPr>
                  </w:pPr>
                </w:p>
              </w:tc>
              <w:tc>
                <w:tcPr>
                  <w:tcW w:w="463" w:type="pct"/>
                  <w:vMerge w:val="continue"/>
                  <w:vAlign w:val="center"/>
                </w:tcPr>
                <w:p w14:paraId="2D05E75F">
                  <w:pPr>
                    <w:jc w:val="center"/>
                    <w:rPr>
                      <w:color w:val="000000" w:themeColor="text1"/>
                      <w14:textFill>
                        <w14:solidFill>
                          <w14:schemeClr w14:val="tx1"/>
                        </w14:solidFill>
                      </w14:textFill>
                    </w:rPr>
                  </w:pPr>
                </w:p>
              </w:tc>
              <w:tc>
                <w:tcPr>
                  <w:tcW w:w="281" w:type="pct"/>
                  <w:vMerge w:val="continue"/>
                  <w:vAlign w:val="center"/>
                </w:tcPr>
                <w:p w14:paraId="7BFECAE2">
                  <w:pPr>
                    <w:jc w:val="center"/>
                    <w:rPr>
                      <w:color w:val="000000" w:themeColor="text1"/>
                      <w14:textFill>
                        <w14:solidFill>
                          <w14:schemeClr w14:val="tx1"/>
                        </w14:solidFill>
                      </w14:textFill>
                    </w:rPr>
                  </w:pPr>
                </w:p>
              </w:tc>
              <w:tc>
                <w:tcPr>
                  <w:tcW w:w="233" w:type="pct"/>
                  <w:vAlign w:val="center"/>
                </w:tcPr>
                <w:p w14:paraId="5FBE974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X</w:t>
                  </w:r>
                </w:p>
              </w:tc>
              <w:tc>
                <w:tcPr>
                  <w:tcW w:w="233" w:type="pct"/>
                  <w:vAlign w:val="center"/>
                </w:tcPr>
                <w:p w14:paraId="0AF0C23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Y</w:t>
                  </w:r>
                </w:p>
              </w:tc>
              <w:tc>
                <w:tcPr>
                  <w:tcW w:w="165" w:type="pct"/>
                  <w:vAlign w:val="center"/>
                </w:tcPr>
                <w:p w14:paraId="5A58D1D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Z</w:t>
                  </w:r>
                </w:p>
              </w:tc>
              <w:tc>
                <w:tcPr>
                  <w:tcW w:w="385" w:type="pct"/>
                  <w:vMerge w:val="continue"/>
                  <w:vAlign w:val="center"/>
                </w:tcPr>
                <w:p w14:paraId="17E3A3CD">
                  <w:pPr>
                    <w:jc w:val="center"/>
                    <w:rPr>
                      <w:color w:val="000000" w:themeColor="text1"/>
                      <w14:textFill>
                        <w14:solidFill>
                          <w14:schemeClr w14:val="tx1"/>
                        </w14:solidFill>
                      </w14:textFill>
                    </w:rPr>
                  </w:pPr>
                </w:p>
              </w:tc>
              <w:tc>
                <w:tcPr>
                  <w:tcW w:w="427" w:type="pct"/>
                  <w:vMerge w:val="continue"/>
                  <w:vAlign w:val="center"/>
                </w:tcPr>
                <w:p w14:paraId="607C771D">
                  <w:pPr>
                    <w:jc w:val="center"/>
                    <w:rPr>
                      <w:color w:val="000000" w:themeColor="text1"/>
                      <w14:textFill>
                        <w14:solidFill>
                          <w14:schemeClr w14:val="tx1"/>
                        </w14:solidFill>
                      </w14:textFill>
                    </w:rPr>
                  </w:pPr>
                </w:p>
              </w:tc>
              <w:tc>
                <w:tcPr>
                  <w:tcW w:w="278" w:type="pct"/>
                  <w:vMerge w:val="continue"/>
                  <w:vAlign w:val="center"/>
                </w:tcPr>
                <w:p w14:paraId="0429897E">
                  <w:pPr>
                    <w:jc w:val="center"/>
                    <w:rPr>
                      <w:color w:val="000000" w:themeColor="text1"/>
                      <w14:textFill>
                        <w14:solidFill>
                          <w14:schemeClr w14:val="tx1"/>
                        </w14:solidFill>
                      </w14:textFill>
                    </w:rPr>
                  </w:pPr>
                </w:p>
              </w:tc>
              <w:tc>
                <w:tcPr>
                  <w:tcW w:w="316" w:type="pct"/>
                  <w:vMerge w:val="continue"/>
                  <w:vAlign w:val="center"/>
                </w:tcPr>
                <w:p w14:paraId="3823EB33">
                  <w:pPr>
                    <w:jc w:val="center"/>
                    <w:rPr>
                      <w:color w:val="000000" w:themeColor="text1"/>
                      <w14:textFill>
                        <w14:solidFill>
                          <w14:schemeClr w14:val="tx1"/>
                        </w14:solidFill>
                      </w14:textFill>
                    </w:rPr>
                  </w:pPr>
                </w:p>
              </w:tc>
              <w:tc>
                <w:tcPr>
                  <w:tcW w:w="556" w:type="pct"/>
                  <w:vAlign w:val="center"/>
                </w:tcPr>
                <w:p w14:paraId="2857B9A6">
                  <w:pPr>
                    <w:jc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声压级</w:t>
                  </w: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dB（A）</w:t>
                  </w:r>
                </w:p>
              </w:tc>
              <w:tc>
                <w:tcPr>
                  <w:tcW w:w="506" w:type="pct"/>
                  <w:vAlign w:val="center"/>
                </w:tcPr>
                <w:p w14:paraId="05DFB027">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建筑物外距离/m</w:t>
                  </w:r>
                </w:p>
              </w:tc>
            </w:tr>
            <w:tr w14:paraId="7BE812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 w:type="pct"/>
                  <w:vAlign w:val="center"/>
                </w:tcPr>
                <w:p w14:paraId="784F64B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86" w:type="pct"/>
                  <w:vMerge w:val="restart"/>
                  <w:vAlign w:val="center"/>
                </w:tcPr>
                <w:p w14:paraId="656FB7EE">
                  <w:pPr>
                    <w:jc w:val="center"/>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生产</w:t>
                  </w:r>
                  <w:r>
                    <w:rPr>
                      <w:rFonts w:hint="eastAsia"/>
                      <w:color w:val="000000" w:themeColor="text1"/>
                      <w:lang w:val="en-US" w:eastAsia="zh-CN"/>
                      <w14:textFill>
                        <w14:solidFill>
                          <w14:schemeClr w14:val="tx1"/>
                        </w14:solidFill>
                      </w14:textFill>
                    </w:rPr>
                    <w:t>厂房</w:t>
                  </w:r>
                </w:p>
              </w:tc>
              <w:tc>
                <w:tcPr>
                  <w:tcW w:w="421" w:type="pct"/>
                  <w:vAlign w:val="center"/>
                </w:tcPr>
                <w:p w14:paraId="19C4C158">
                  <w:pPr>
                    <w:spacing w:line="440" w:lineRule="exact"/>
                    <w:jc w:val="center"/>
                    <w:rPr>
                      <w:color w:val="000000" w:themeColor="text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搅拌机</w:t>
                  </w:r>
                </w:p>
              </w:tc>
              <w:tc>
                <w:tcPr>
                  <w:tcW w:w="373" w:type="pct"/>
                  <w:vAlign w:val="center"/>
                </w:tcPr>
                <w:p w14:paraId="7FF51D4D">
                  <w:pPr>
                    <w:spacing w:line="440" w:lineRule="exact"/>
                    <w:jc w:val="center"/>
                    <w:rPr>
                      <w:rFonts w:hint="eastAsia" w:eastAsia="宋体"/>
                      <w:color w:val="000000" w:themeColor="text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c>
                <w:tcPr>
                  <w:tcW w:w="463" w:type="pct"/>
                  <w:vAlign w:val="center"/>
                </w:tcPr>
                <w:p w14:paraId="1CECA090">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77.78</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单台70</w:t>
                  </w:r>
                  <w:r>
                    <w:rPr>
                      <w:rFonts w:hint="eastAsia"/>
                      <w:color w:val="000000" w:themeColor="text1"/>
                      <w:szCs w:val="21"/>
                      <w:lang w:eastAsia="zh-CN"/>
                      <w14:textFill>
                        <w14:solidFill>
                          <w14:schemeClr w14:val="tx1"/>
                        </w14:solidFill>
                      </w14:textFill>
                    </w:rPr>
                    <w:t>）</w:t>
                  </w:r>
                </w:p>
              </w:tc>
              <w:tc>
                <w:tcPr>
                  <w:tcW w:w="281" w:type="pct"/>
                  <w:vMerge w:val="restart"/>
                  <w:vAlign w:val="center"/>
                </w:tcPr>
                <w:p w14:paraId="1407F124">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合理</w:t>
                  </w:r>
                </w:p>
                <w:p w14:paraId="25C688D6">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布局、隔声、减振、绿化降噪</w:t>
                  </w:r>
                </w:p>
              </w:tc>
              <w:tc>
                <w:tcPr>
                  <w:tcW w:w="233" w:type="pct"/>
                  <w:vAlign w:val="center"/>
                </w:tcPr>
                <w:p w14:paraId="28DA4E49">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32.5</w:t>
                  </w:r>
                </w:p>
              </w:tc>
              <w:tc>
                <w:tcPr>
                  <w:tcW w:w="233" w:type="pct"/>
                  <w:vAlign w:val="center"/>
                </w:tcPr>
                <w:p w14:paraId="42C9BF76">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16</w:t>
                  </w:r>
                </w:p>
              </w:tc>
              <w:tc>
                <w:tcPr>
                  <w:tcW w:w="165" w:type="pct"/>
                  <w:vAlign w:val="center"/>
                </w:tcPr>
                <w:p w14:paraId="0AA86E6E">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385" w:type="pct"/>
                  <w:vAlign w:val="center"/>
                </w:tcPr>
                <w:p w14:paraId="4E812014">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东：</w:t>
                  </w:r>
                  <w:r>
                    <w:rPr>
                      <w:rFonts w:hint="eastAsia"/>
                      <w:color w:val="000000" w:themeColor="text1"/>
                      <w:szCs w:val="21"/>
                      <w:highlight w:val="none"/>
                      <w:lang w:val="en-US" w:eastAsia="zh-CN"/>
                      <w14:textFill>
                        <w14:solidFill>
                          <w14:schemeClr w14:val="tx1"/>
                        </w14:solidFill>
                      </w14:textFill>
                    </w:rPr>
                    <w:t>59.7</w:t>
                  </w:r>
                </w:p>
                <w:p w14:paraId="13FF1F79">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南：</w:t>
                  </w:r>
                  <w:r>
                    <w:rPr>
                      <w:rFonts w:hint="eastAsia"/>
                      <w:color w:val="000000" w:themeColor="text1"/>
                      <w:szCs w:val="21"/>
                      <w:highlight w:val="none"/>
                      <w:lang w:val="en-US" w:eastAsia="zh-CN"/>
                      <w14:textFill>
                        <w14:solidFill>
                          <w14:schemeClr w14:val="tx1"/>
                        </w14:solidFill>
                      </w14:textFill>
                    </w:rPr>
                    <w:t>16</w:t>
                  </w:r>
                </w:p>
                <w:p w14:paraId="791FE4E8">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西：</w:t>
                  </w:r>
                  <w:r>
                    <w:rPr>
                      <w:rFonts w:hint="eastAsia"/>
                      <w:color w:val="000000" w:themeColor="text1"/>
                      <w:szCs w:val="21"/>
                      <w:highlight w:val="none"/>
                      <w:lang w:val="en-US" w:eastAsia="zh-CN"/>
                      <w14:textFill>
                        <w14:solidFill>
                          <w14:schemeClr w14:val="tx1"/>
                        </w14:solidFill>
                      </w14:textFill>
                    </w:rPr>
                    <w:t>32.5</w:t>
                  </w:r>
                </w:p>
                <w:p w14:paraId="621D3487">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北：</w:t>
                  </w:r>
                  <w:r>
                    <w:rPr>
                      <w:rFonts w:hint="eastAsia"/>
                      <w:color w:val="000000" w:themeColor="text1"/>
                      <w:szCs w:val="21"/>
                      <w:highlight w:val="none"/>
                      <w:lang w:val="en-US" w:eastAsia="zh-CN"/>
                      <w14:textFill>
                        <w14:solidFill>
                          <w14:schemeClr w14:val="tx1"/>
                        </w14:solidFill>
                      </w14:textFill>
                    </w:rPr>
                    <w:t>4.2</w:t>
                  </w:r>
                </w:p>
              </w:tc>
              <w:tc>
                <w:tcPr>
                  <w:tcW w:w="427" w:type="pct"/>
                  <w:vAlign w:val="center"/>
                </w:tcPr>
                <w:p w14:paraId="6A1BC9A7">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东：54.95</w:t>
                  </w:r>
                </w:p>
                <w:p w14:paraId="35AF1D37">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南：55.25</w:t>
                  </w:r>
                </w:p>
                <w:p w14:paraId="2DA43F27">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西：55.51</w:t>
                  </w:r>
                </w:p>
                <w:p w14:paraId="6D42AA02">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北：55.02</w:t>
                  </w:r>
                </w:p>
              </w:tc>
              <w:tc>
                <w:tcPr>
                  <w:tcW w:w="278" w:type="pct"/>
                  <w:vMerge w:val="restart"/>
                  <w:vAlign w:val="center"/>
                </w:tcPr>
                <w:p w14:paraId="3439679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昼</w:t>
                  </w:r>
                  <w:r>
                    <w:rPr>
                      <w:rFonts w:hint="eastAsia"/>
                      <w:color w:val="000000" w:themeColor="text1"/>
                      <w:szCs w:val="21"/>
                      <w:lang w:val="en-US" w:eastAsia="zh-CN"/>
                      <w14:textFill>
                        <w14:solidFill>
                          <w14:schemeClr w14:val="tx1"/>
                        </w14:solidFill>
                      </w14:textFill>
                    </w:rPr>
                    <w:t>夜</w:t>
                  </w:r>
                  <w:r>
                    <w:rPr>
                      <w:rFonts w:hint="eastAsia"/>
                      <w:color w:val="000000" w:themeColor="text1"/>
                      <w:szCs w:val="21"/>
                      <w14:textFill>
                        <w14:solidFill>
                          <w14:schemeClr w14:val="tx1"/>
                        </w14:solidFill>
                      </w14:textFill>
                    </w:rPr>
                    <w:t>生产</w:t>
                  </w:r>
                  <w:r>
                    <w:rPr>
                      <w:rFonts w:hint="eastAsia"/>
                      <w:color w:val="000000" w:themeColor="text1"/>
                      <w:szCs w:val="21"/>
                      <w:lang w:val="en-US" w:eastAsia="zh-CN"/>
                      <w14:textFill>
                        <w14:solidFill>
                          <w14:schemeClr w14:val="tx1"/>
                        </w14:solidFill>
                      </w14:textFill>
                    </w:rPr>
                    <w:t>24</w:t>
                  </w:r>
                  <w:r>
                    <w:rPr>
                      <w:rFonts w:hint="eastAsia"/>
                      <w:color w:val="000000" w:themeColor="text1"/>
                      <w:szCs w:val="21"/>
                      <w14:textFill>
                        <w14:solidFill>
                          <w14:schemeClr w14:val="tx1"/>
                        </w14:solidFill>
                      </w14:textFill>
                    </w:rPr>
                    <w:t>h/d</w:t>
                  </w:r>
                </w:p>
              </w:tc>
              <w:tc>
                <w:tcPr>
                  <w:tcW w:w="316" w:type="pct"/>
                  <w:vMerge w:val="restart"/>
                  <w:vAlign w:val="center"/>
                </w:tcPr>
                <w:p w14:paraId="5768A0A3">
                  <w:pPr>
                    <w:jc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25</w:t>
                  </w:r>
                </w:p>
              </w:tc>
              <w:tc>
                <w:tcPr>
                  <w:tcW w:w="556" w:type="pct"/>
                  <w:vMerge w:val="restart"/>
                  <w:vAlign w:val="center"/>
                </w:tcPr>
                <w:p w14:paraId="7427E2CF">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东</w:t>
                  </w:r>
                  <w:r>
                    <w:rPr>
                      <w:rFonts w:hint="eastAsia"/>
                      <w:color w:val="000000" w:themeColor="text1"/>
                      <w:highlight w:val="none"/>
                      <w:lang w:val="en-US" w:eastAsia="zh-CN"/>
                      <w14:textFill>
                        <w14:solidFill>
                          <w14:schemeClr w14:val="tx1"/>
                        </w14:solidFill>
                      </w14:textFill>
                    </w:rPr>
                    <w:t>南</w:t>
                  </w:r>
                  <w:r>
                    <w:rPr>
                      <w:rFonts w:hint="eastAsia"/>
                      <w:color w:val="000000" w:themeColor="text1"/>
                      <w:highlight w:val="none"/>
                      <w14:textFill>
                        <w14:solidFill>
                          <w14:schemeClr w14:val="tx1"/>
                        </w14:solidFill>
                      </w14:textFill>
                    </w:rPr>
                    <w:t>边界</w:t>
                  </w:r>
                  <w:r>
                    <w:rPr>
                      <w:rFonts w:hint="eastAsia"/>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50.41</w:t>
                  </w:r>
                </w:p>
                <w:p w14:paraId="55C1E6FF">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西</w:t>
                  </w:r>
                  <w:r>
                    <w:rPr>
                      <w:rFonts w:hint="eastAsia"/>
                      <w:color w:val="000000" w:themeColor="text1"/>
                      <w:szCs w:val="21"/>
                      <w:highlight w:val="none"/>
                      <w14:textFill>
                        <w14:solidFill>
                          <w14:schemeClr w14:val="tx1"/>
                        </w14:solidFill>
                      </w14:textFill>
                    </w:rPr>
                    <w:t>南边界：</w:t>
                  </w:r>
                  <w:r>
                    <w:rPr>
                      <w:rFonts w:hint="eastAsia"/>
                      <w:color w:val="000000" w:themeColor="text1"/>
                      <w:szCs w:val="21"/>
                      <w:highlight w:val="none"/>
                      <w:lang w:val="en-US" w:eastAsia="zh-CN"/>
                      <w14:textFill>
                        <w14:solidFill>
                          <w14:schemeClr w14:val="tx1"/>
                        </w14:solidFill>
                      </w14:textFill>
                    </w:rPr>
                    <w:t>52.19</w:t>
                  </w:r>
                </w:p>
                <w:p w14:paraId="5395F04F">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西</w:t>
                  </w:r>
                  <w:r>
                    <w:rPr>
                      <w:rFonts w:hint="eastAsia"/>
                      <w:color w:val="000000" w:themeColor="text1"/>
                      <w:szCs w:val="21"/>
                      <w:highlight w:val="none"/>
                      <w:lang w:val="en-US" w:eastAsia="zh-CN"/>
                      <w14:textFill>
                        <w14:solidFill>
                          <w14:schemeClr w14:val="tx1"/>
                        </w14:solidFill>
                      </w14:textFill>
                    </w:rPr>
                    <w:t>北</w:t>
                  </w:r>
                  <w:r>
                    <w:rPr>
                      <w:rFonts w:hint="eastAsia"/>
                      <w:color w:val="000000" w:themeColor="text1"/>
                      <w:szCs w:val="21"/>
                      <w:highlight w:val="none"/>
                      <w14:textFill>
                        <w14:solidFill>
                          <w14:schemeClr w14:val="tx1"/>
                        </w14:solidFill>
                      </w14:textFill>
                    </w:rPr>
                    <w:t>边界：</w:t>
                  </w:r>
                  <w:r>
                    <w:rPr>
                      <w:rFonts w:hint="eastAsia"/>
                      <w:color w:val="000000" w:themeColor="text1"/>
                      <w:szCs w:val="21"/>
                      <w:highlight w:val="none"/>
                      <w:lang w:val="en-US" w:eastAsia="zh-CN"/>
                      <w14:textFill>
                        <w14:solidFill>
                          <w14:schemeClr w14:val="tx1"/>
                        </w14:solidFill>
                      </w14:textFill>
                    </w:rPr>
                    <w:t>52.38</w:t>
                  </w:r>
                </w:p>
                <w:p w14:paraId="226BC353">
                  <w:pPr>
                    <w:jc w:val="center"/>
                    <w:rPr>
                      <w:rFonts w:hint="default" w:eastAsia="宋体"/>
                      <w:color w:val="000000" w:themeColor="text1"/>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东</w:t>
                  </w:r>
                  <w:r>
                    <w:rPr>
                      <w:rFonts w:hint="eastAsia"/>
                      <w:color w:val="000000" w:themeColor="text1"/>
                      <w:szCs w:val="21"/>
                      <w:highlight w:val="none"/>
                      <w14:textFill>
                        <w14:solidFill>
                          <w14:schemeClr w14:val="tx1"/>
                        </w14:solidFill>
                      </w14:textFill>
                    </w:rPr>
                    <w:t>北边界：</w:t>
                  </w:r>
                  <w:r>
                    <w:rPr>
                      <w:rFonts w:hint="eastAsia"/>
                      <w:color w:val="000000" w:themeColor="text1"/>
                      <w:szCs w:val="21"/>
                      <w:highlight w:val="none"/>
                      <w:lang w:val="en-US" w:eastAsia="zh-CN"/>
                      <w14:textFill>
                        <w14:solidFill>
                          <w14:schemeClr w14:val="tx1"/>
                        </w14:solidFill>
                      </w14:textFill>
                    </w:rPr>
                    <w:t>52.81</w:t>
                  </w:r>
                </w:p>
              </w:tc>
              <w:tc>
                <w:tcPr>
                  <w:tcW w:w="506" w:type="pct"/>
                  <w:vMerge w:val="restart"/>
                  <w:vAlign w:val="center"/>
                </w:tcPr>
                <w:p w14:paraId="636ADFAF">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东</w:t>
                  </w:r>
                  <w:r>
                    <w:rPr>
                      <w:rFonts w:hint="eastAsia"/>
                      <w:color w:val="000000" w:themeColor="text1"/>
                      <w:highlight w:val="none"/>
                      <w:lang w:val="en-US" w:eastAsia="zh-CN"/>
                      <w14:textFill>
                        <w14:solidFill>
                          <w14:schemeClr w14:val="tx1"/>
                        </w14:solidFill>
                      </w14:textFill>
                    </w:rPr>
                    <w:t>南</w:t>
                  </w:r>
                  <w:r>
                    <w:rPr>
                      <w:rFonts w:hint="eastAsia"/>
                      <w:color w:val="000000" w:themeColor="text1"/>
                      <w:szCs w:val="21"/>
                      <w:highlight w:val="none"/>
                      <w14:textFill>
                        <w14:solidFill>
                          <w14:schemeClr w14:val="tx1"/>
                        </w14:solidFill>
                      </w14:textFill>
                    </w:rPr>
                    <w:t>边界：</w:t>
                  </w:r>
                  <w:r>
                    <w:rPr>
                      <w:rFonts w:hint="eastAsia"/>
                      <w:color w:val="000000" w:themeColor="text1"/>
                      <w:szCs w:val="21"/>
                      <w:highlight w:val="none"/>
                      <w:lang w:val="en-US" w:eastAsia="zh-CN"/>
                      <w14:textFill>
                        <w14:solidFill>
                          <w14:schemeClr w14:val="tx1"/>
                        </w14:solidFill>
                      </w14:textFill>
                    </w:rPr>
                    <w:t>45</w:t>
                  </w:r>
                </w:p>
                <w:p w14:paraId="1FBA2305">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西</w:t>
                  </w:r>
                  <w:r>
                    <w:rPr>
                      <w:rFonts w:hint="eastAsia"/>
                      <w:color w:val="000000" w:themeColor="text1"/>
                      <w:szCs w:val="21"/>
                      <w:highlight w:val="none"/>
                      <w14:textFill>
                        <w14:solidFill>
                          <w14:schemeClr w14:val="tx1"/>
                        </w14:solidFill>
                      </w14:textFill>
                    </w:rPr>
                    <w:t>南边界：</w:t>
                  </w:r>
                  <w:r>
                    <w:rPr>
                      <w:rFonts w:hint="eastAsia"/>
                      <w:color w:val="000000" w:themeColor="text1"/>
                      <w:szCs w:val="21"/>
                      <w:highlight w:val="none"/>
                      <w:lang w:val="en-US" w:eastAsia="zh-CN"/>
                      <w14:textFill>
                        <w14:solidFill>
                          <w14:schemeClr w14:val="tx1"/>
                        </w14:solidFill>
                      </w14:textFill>
                    </w:rPr>
                    <w:t>1</w:t>
                  </w:r>
                </w:p>
                <w:p w14:paraId="1B73A82A">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14:textFill>
                        <w14:solidFill>
                          <w14:schemeClr w14:val="tx1"/>
                        </w14:solidFill>
                      </w14:textFill>
                    </w:rPr>
                    <w:t>西</w:t>
                  </w:r>
                  <w:r>
                    <w:rPr>
                      <w:rFonts w:hint="eastAsia"/>
                      <w:color w:val="000000" w:themeColor="text1"/>
                      <w:szCs w:val="21"/>
                      <w:highlight w:val="none"/>
                      <w:lang w:val="en-US" w:eastAsia="zh-CN"/>
                      <w14:textFill>
                        <w14:solidFill>
                          <w14:schemeClr w14:val="tx1"/>
                        </w14:solidFill>
                      </w14:textFill>
                    </w:rPr>
                    <w:t>北</w:t>
                  </w:r>
                  <w:r>
                    <w:rPr>
                      <w:rFonts w:hint="eastAsia"/>
                      <w:color w:val="000000" w:themeColor="text1"/>
                      <w:szCs w:val="21"/>
                      <w:highlight w:val="none"/>
                      <w14:textFill>
                        <w14:solidFill>
                          <w14:schemeClr w14:val="tx1"/>
                        </w14:solidFill>
                      </w14:textFill>
                    </w:rPr>
                    <w:t>边界：</w:t>
                  </w:r>
                  <w:r>
                    <w:rPr>
                      <w:rFonts w:hint="eastAsia"/>
                      <w:color w:val="000000" w:themeColor="text1"/>
                      <w:szCs w:val="21"/>
                      <w:highlight w:val="none"/>
                      <w:lang w:val="en-US" w:eastAsia="zh-CN"/>
                      <w14:textFill>
                        <w14:solidFill>
                          <w14:schemeClr w14:val="tx1"/>
                        </w14:solidFill>
                      </w14:textFill>
                    </w:rPr>
                    <w:t>1</w:t>
                  </w:r>
                </w:p>
                <w:p w14:paraId="0B72BAD9">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东</w:t>
                  </w:r>
                  <w:r>
                    <w:rPr>
                      <w:rFonts w:hint="eastAsia"/>
                      <w:color w:val="000000" w:themeColor="text1"/>
                      <w:szCs w:val="21"/>
                      <w:highlight w:val="none"/>
                      <w14:textFill>
                        <w14:solidFill>
                          <w14:schemeClr w14:val="tx1"/>
                        </w14:solidFill>
                      </w14:textFill>
                    </w:rPr>
                    <w:t>北边界：</w:t>
                  </w:r>
                  <w:r>
                    <w:rPr>
                      <w:rFonts w:hint="eastAsia"/>
                      <w:color w:val="000000" w:themeColor="text1"/>
                      <w:szCs w:val="21"/>
                      <w:highlight w:val="none"/>
                      <w:lang w:val="en-US" w:eastAsia="zh-CN"/>
                      <w14:textFill>
                        <w14:solidFill>
                          <w14:schemeClr w14:val="tx1"/>
                        </w14:solidFill>
                      </w14:textFill>
                    </w:rPr>
                    <w:t>1</w:t>
                  </w:r>
                </w:p>
              </w:tc>
            </w:tr>
            <w:tr w14:paraId="0299D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 w:type="pct"/>
                  <w:vAlign w:val="center"/>
                </w:tcPr>
                <w:p w14:paraId="114FAA97">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186" w:type="pct"/>
                  <w:vMerge w:val="continue"/>
                  <w:vAlign w:val="center"/>
                </w:tcPr>
                <w:p w14:paraId="3D28BF1A">
                  <w:pPr>
                    <w:jc w:val="center"/>
                    <w:rPr>
                      <w:rFonts w:hint="eastAsia"/>
                      <w:color w:val="000000" w:themeColor="text1"/>
                      <w14:textFill>
                        <w14:solidFill>
                          <w14:schemeClr w14:val="tx1"/>
                        </w14:solidFill>
                      </w14:textFill>
                    </w:rPr>
                  </w:pPr>
                </w:p>
              </w:tc>
              <w:tc>
                <w:tcPr>
                  <w:tcW w:w="421" w:type="pct"/>
                  <w:vAlign w:val="center"/>
                </w:tcPr>
                <w:p w14:paraId="1074A745">
                  <w:pPr>
                    <w:spacing w:line="440" w:lineRule="exact"/>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搅拌机</w:t>
                  </w:r>
                </w:p>
              </w:tc>
              <w:tc>
                <w:tcPr>
                  <w:tcW w:w="373" w:type="pct"/>
                  <w:vAlign w:val="center"/>
                </w:tcPr>
                <w:p w14:paraId="0DE082DD">
                  <w:pPr>
                    <w:spacing w:line="440" w:lineRule="exact"/>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463" w:type="pct"/>
                  <w:vAlign w:val="center"/>
                </w:tcPr>
                <w:p w14:paraId="6E47613A">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73.01</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单台70</w:t>
                  </w:r>
                  <w:r>
                    <w:rPr>
                      <w:rFonts w:hint="eastAsia"/>
                      <w:color w:val="000000" w:themeColor="text1"/>
                      <w:szCs w:val="21"/>
                      <w:lang w:eastAsia="zh-CN"/>
                      <w14:textFill>
                        <w14:solidFill>
                          <w14:schemeClr w14:val="tx1"/>
                        </w14:solidFill>
                      </w14:textFill>
                    </w:rPr>
                    <w:t>）</w:t>
                  </w:r>
                </w:p>
              </w:tc>
              <w:tc>
                <w:tcPr>
                  <w:tcW w:w="281" w:type="pct"/>
                  <w:vMerge w:val="continue"/>
                  <w:vAlign w:val="center"/>
                </w:tcPr>
                <w:p w14:paraId="61A681EB">
                  <w:pPr>
                    <w:jc w:val="center"/>
                    <w:rPr>
                      <w:color w:val="000000" w:themeColor="text1"/>
                      <w:kern w:val="0"/>
                      <w:szCs w:val="21"/>
                      <w:highlight w:val="none"/>
                      <w14:textFill>
                        <w14:solidFill>
                          <w14:schemeClr w14:val="tx1"/>
                        </w14:solidFill>
                      </w14:textFill>
                    </w:rPr>
                  </w:pPr>
                </w:p>
              </w:tc>
              <w:tc>
                <w:tcPr>
                  <w:tcW w:w="233" w:type="pct"/>
                  <w:vAlign w:val="center"/>
                </w:tcPr>
                <w:p w14:paraId="1EC99582">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11.2</w:t>
                  </w:r>
                </w:p>
              </w:tc>
              <w:tc>
                <w:tcPr>
                  <w:tcW w:w="233" w:type="pct"/>
                  <w:vAlign w:val="center"/>
                </w:tcPr>
                <w:p w14:paraId="0E4F2023">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2.2</w:t>
                  </w:r>
                </w:p>
              </w:tc>
              <w:tc>
                <w:tcPr>
                  <w:tcW w:w="165" w:type="pct"/>
                  <w:vAlign w:val="center"/>
                </w:tcPr>
                <w:p w14:paraId="7DC7E738">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385" w:type="pct"/>
                  <w:vAlign w:val="center"/>
                </w:tcPr>
                <w:p w14:paraId="5438BC0B">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东：</w:t>
                  </w:r>
                  <w:r>
                    <w:rPr>
                      <w:rFonts w:hint="eastAsia"/>
                      <w:color w:val="000000" w:themeColor="text1"/>
                      <w:szCs w:val="21"/>
                      <w:highlight w:val="none"/>
                      <w:lang w:val="en-US" w:eastAsia="zh-CN"/>
                      <w14:textFill>
                        <w14:solidFill>
                          <w14:schemeClr w14:val="tx1"/>
                        </w14:solidFill>
                      </w14:textFill>
                    </w:rPr>
                    <w:t>81</w:t>
                  </w:r>
                </w:p>
                <w:p w14:paraId="7C68F9BE">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南：</w:t>
                  </w:r>
                  <w:r>
                    <w:rPr>
                      <w:rFonts w:hint="eastAsia"/>
                      <w:color w:val="000000" w:themeColor="text1"/>
                      <w:szCs w:val="21"/>
                      <w:highlight w:val="none"/>
                      <w:lang w:val="en-US" w:eastAsia="zh-CN"/>
                      <w14:textFill>
                        <w14:solidFill>
                          <w14:schemeClr w14:val="tx1"/>
                        </w14:solidFill>
                      </w14:textFill>
                    </w:rPr>
                    <w:t>2.2</w:t>
                  </w:r>
                </w:p>
                <w:p w14:paraId="077327C9">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西：1</w:t>
                  </w:r>
                  <w:r>
                    <w:rPr>
                      <w:rFonts w:hint="eastAsia"/>
                      <w:color w:val="000000" w:themeColor="text1"/>
                      <w:szCs w:val="21"/>
                      <w:highlight w:val="none"/>
                      <w:lang w:val="en-US" w:eastAsia="zh-CN"/>
                      <w14:textFill>
                        <w14:solidFill>
                          <w14:schemeClr w14:val="tx1"/>
                        </w14:solidFill>
                      </w14:textFill>
                    </w:rPr>
                    <w:t>1.2</w:t>
                  </w:r>
                </w:p>
                <w:p w14:paraId="6275259F">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北：</w:t>
                  </w:r>
                  <w:r>
                    <w:rPr>
                      <w:rFonts w:hint="eastAsia"/>
                      <w:color w:val="000000" w:themeColor="text1"/>
                      <w:szCs w:val="21"/>
                      <w:highlight w:val="none"/>
                      <w:lang w:val="en-US" w:eastAsia="zh-CN"/>
                      <w14:textFill>
                        <w14:solidFill>
                          <w14:schemeClr w14:val="tx1"/>
                        </w14:solidFill>
                      </w14:textFill>
                    </w:rPr>
                    <w:t>18</w:t>
                  </w:r>
                </w:p>
              </w:tc>
              <w:tc>
                <w:tcPr>
                  <w:tcW w:w="427" w:type="pct"/>
                  <w:vAlign w:val="center"/>
                </w:tcPr>
                <w:p w14:paraId="5E69F47E">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东：</w:t>
                  </w:r>
                  <w:r>
                    <w:rPr>
                      <w:rFonts w:hint="eastAsia"/>
                      <w:color w:val="000000" w:themeColor="text1"/>
                      <w:szCs w:val="21"/>
                      <w:highlight w:val="none"/>
                      <w:lang w:val="en-US" w:eastAsia="zh-CN"/>
                      <w14:textFill>
                        <w14:solidFill>
                          <w14:schemeClr w14:val="tx1"/>
                        </w14:solidFill>
                      </w14:textFill>
                    </w:rPr>
                    <w:t>49.57</w:t>
                  </w:r>
                </w:p>
                <w:p w14:paraId="66D9B753">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南：5</w:t>
                  </w:r>
                  <w:r>
                    <w:rPr>
                      <w:rFonts w:hint="eastAsia"/>
                      <w:color w:val="000000" w:themeColor="text1"/>
                      <w:szCs w:val="21"/>
                      <w:highlight w:val="none"/>
                      <w:lang w:val="en-US" w:eastAsia="zh-CN"/>
                      <w14:textFill>
                        <w14:solidFill>
                          <w14:schemeClr w14:val="tx1"/>
                        </w14:solidFill>
                      </w14:textFill>
                    </w:rPr>
                    <w:t>2.39</w:t>
                  </w:r>
                </w:p>
                <w:p w14:paraId="5A5D3D1B">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西：5</w:t>
                  </w:r>
                  <w:r>
                    <w:rPr>
                      <w:rFonts w:hint="eastAsia"/>
                      <w:color w:val="000000" w:themeColor="text1"/>
                      <w:szCs w:val="21"/>
                      <w:highlight w:val="none"/>
                      <w:lang w:val="en-US" w:eastAsia="zh-CN"/>
                      <w14:textFill>
                        <w14:solidFill>
                          <w14:schemeClr w14:val="tx1"/>
                        </w14:solidFill>
                      </w14:textFill>
                    </w:rPr>
                    <w:t>0.17</w:t>
                  </w:r>
                </w:p>
                <w:p w14:paraId="35D66E2F">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北：5</w:t>
                  </w:r>
                  <w:r>
                    <w:rPr>
                      <w:rFonts w:hint="eastAsia"/>
                      <w:color w:val="000000" w:themeColor="text1"/>
                      <w:szCs w:val="21"/>
                      <w:highlight w:val="none"/>
                      <w:lang w:val="en-US" w:eastAsia="zh-CN"/>
                      <w14:textFill>
                        <w14:solidFill>
                          <w14:schemeClr w14:val="tx1"/>
                        </w14:solidFill>
                      </w14:textFill>
                    </w:rPr>
                    <w:t>1.49</w:t>
                  </w:r>
                </w:p>
              </w:tc>
              <w:tc>
                <w:tcPr>
                  <w:tcW w:w="278" w:type="pct"/>
                  <w:vMerge w:val="continue"/>
                  <w:vAlign w:val="center"/>
                </w:tcPr>
                <w:p w14:paraId="0992F3DB">
                  <w:pPr>
                    <w:jc w:val="center"/>
                    <w:rPr>
                      <w:rFonts w:hint="eastAsia"/>
                      <w:color w:val="000000" w:themeColor="text1"/>
                      <w:szCs w:val="21"/>
                      <w14:textFill>
                        <w14:solidFill>
                          <w14:schemeClr w14:val="tx1"/>
                        </w14:solidFill>
                      </w14:textFill>
                    </w:rPr>
                  </w:pPr>
                </w:p>
              </w:tc>
              <w:tc>
                <w:tcPr>
                  <w:tcW w:w="316" w:type="pct"/>
                  <w:vMerge w:val="continue"/>
                  <w:vAlign w:val="center"/>
                </w:tcPr>
                <w:p w14:paraId="234C097F">
                  <w:pPr>
                    <w:jc w:val="center"/>
                    <w:rPr>
                      <w:rFonts w:hint="eastAsia"/>
                      <w:color w:val="000000" w:themeColor="text1"/>
                      <w:szCs w:val="21"/>
                      <w14:textFill>
                        <w14:solidFill>
                          <w14:schemeClr w14:val="tx1"/>
                        </w14:solidFill>
                      </w14:textFill>
                    </w:rPr>
                  </w:pPr>
                </w:p>
              </w:tc>
              <w:tc>
                <w:tcPr>
                  <w:tcW w:w="556" w:type="pct"/>
                  <w:vMerge w:val="continue"/>
                  <w:vAlign w:val="center"/>
                </w:tcPr>
                <w:p w14:paraId="0DA77B6C">
                  <w:pPr>
                    <w:jc w:val="center"/>
                    <w:rPr>
                      <w:rFonts w:hint="eastAsia"/>
                      <w:color w:val="000000" w:themeColor="text1"/>
                      <w:szCs w:val="21"/>
                      <w:highlight w:val="yellow"/>
                      <w14:textFill>
                        <w14:solidFill>
                          <w14:schemeClr w14:val="tx1"/>
                        </w14:solidFill>
                      </w14:textFill>
                    </w:rPr>
                  </w:pPr>
                </w:p>
              </w:tc>
              <w:tc>
                <w:tcPr>
                  <w:tcW w:w="506" w:type="pct"/>
                  <w:vMerge w:val="continue"/>
                  <w:vAlign w:val="center"/>
                </w:tcPr>
                <w:p w14:paraId="7A810C39">
                  <w:pPr>
                    <w:jc w:val="center"/>
                    <w:rPr>
                      <w:rFonts w:hint="eastAsia"/>
                      <w:color w:val="000000" w:themeColor="text1"/>
                      <w:szCs w:val="21"/>
                      <w:highlight w:val="none"/>
                      <w14:textFill>
                        <w14:solidFill>
                          <w14:schemeClr w14:val="tx1"/>
                        </w14:solidFill>
                      </w14:textFill>
                    </w:rPr>
                  </w:pPr>
                </w:p>
              </w:tc>
            </w:tr>
            <w:tr w14:paraId="1ADEE8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 w:type="pct"/>
                  <w:vAlign w:val="center"/>
                </w:tcPr>
                <w:p w14:paraId="37492E88">
                  <w:pPr>
                    <w:jc w:val="cente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186" w:type="pct"/>
                  <w:vMerge w:val="continue"/>
                  <w:vAlign w:val="center"/>
                </w:tcPr>
                <w:p w14:paraId="38BFE358">
                  <w:pPr>
                    <w:jc w:val="center"/>
                    <w:rPr>
                      <w:color w:val="000000" w:themeColor="text1"/>
                      <w14:textFill>
                        <w14:solidFill>
                          <w14:schemeClr w14:val="tx1"/>
                        </w14:solidFill>
                      </w14:textFill>
                    </w:rPr>
                  </w:pPr>
                </w:p>
              </w:tc>
              <w:tc>
                <w:tcPr>
                  <w:tcW w:w="421" w:type="pct"/>
                  <w:vAlign w:val="center"/>
                </w:tcPr>
                <w:p w14:paraId="7954D1E6">
                  <w:pPr>
                    <w:jc w:val="center"/>
                    <w:rPr>
                      <w:color w:val="000000" w:themeColor="text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吹塑机</w:t>
                  </w:r>
                </w:p>
              </w:tc>
              <w:tc>
                <w:tcPr>
                  <w:tcW w:w="373" w:type="pct"/>
                  <w:vAlign w:val="center"/>
                </w:tcPr>
                <w:p w14:paraId="206CEC7A">
                  <w:pPr>
                    <w:jc w:val="center"/>
                    <w:rPr>
                      <w:rFonts w:hint="eastAsia" w:eastAsia="宋体"/>
                      <w:color w:val="000000" w:themeColor="text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w:t>
                  </w:r>
                </w:p>
              </w:tc>
              <w:tc>
                <w:tcPr>
                  <w:tcW w:w="463" w:type="pct"/>
                  <w:vAlign w:val="center"/>
                </w:tcPr>
                <w:p w14:paraId="40E1273A">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88.45</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单台80</w:t>
                  </w:r>
                  <w:r>
                    <w:rPr>
                      <w:rFonts w:hint="eastAsia"/>
                      <w:color w:val="000000" w:themeColor="text1"/>
                      <w:szCs w:val="21"/>
                      <w:lang w:eastAsia="zh-CN"/>
                      <w14:textFill>
                        <w14:solidFill>
                          <w14:schemeClr w14:val="tx1"/>
                        </w14:solidFill>
                      </w14:textFill>
                    </w:rPr>
                    <w:t>）</w:t>
                  </w:r>
                </w:p>
              </w:tc>
              <w:tc>
                <w:tcPr>
                  <w:tcW w:w="281" w:type="pct"/>
                  <w:vMerge w:val="continue"/>
                  <w:vAlign w:val="center"/>
                </w:tcPr>
                <w:p w14:paraId="20E4A2E4">
                  <w:pPr>
                    <w:jc w:val="center"/>
                    <w:rPr>
                      <w:color w:val="000000" w:themeColor="text1"/>
                      <w:kern w:val="0"/>
                      <w:szCs w:val="21"/>
                      <w:highlight w:val="none"/>
                      <w14:textFill>
                        <w14:solidFill>
                          <w14:schemeClr w14:val="tx1"/>
                        </w14:solidFill>
                      </w14:textFill>
                    </w:rPr>
                  </w:pPr>
                </w:p>
              </w:tc>
              <w:tc>
                <w:tcPr>
                  <w:tcW w:w="233" w:type="pct"/>
                  <w:vAlign w:val="center"/>
                </w:tcPr>
                <w:p w14:paraId="6C9DA13B">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12.2</w:t>
                  </w:r>
                </w:p>
              </w:tc>
              <w:tc>
                <w:tcPr>
                  <w:tcW w:w="233" w:type="pct"/>
                  <w:vAlign w:val="center"/>
                </w:tcPr>
                <w:p w14:paraId="3E230C38">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0.3</w:t>
                  </w:r>
                </w:p>
              </w:tc>
              <w:tc>
                <w:tcPr>
                  <w:tcW w:w="165" w:type="pct"/>
                  <w:vAlign w:val="center"/>
                </w:tcPr>
                <w:p w14:paraId="492C1911">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385" w:type="pct"/>
                  <w:vAlign w:val="center"/>
                </w:tcPr>
                <w:p w14:paraId="306D7F14">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东：</w:t>
                  </w:r>
                  <w:r>
                    <w:rPr>
                      <w:rFonts w:hint="eastAsia"/>
                      <w:color w:val="000000" w:themeColor="text1"/>
                      <w:szCs w:val="21"/>
                      <w:highlight w:val="none"/>
                      <w:lang w:val="en-US" w:eastAsia="zh-CN"/>
                      <w14:textFill>
                        <w14:solidFill>
                          <w14:schemeClr w14:val="tx1"/>
                        </w14:solidFill>
                      </w14:textFill>
                    </w:rPr>
                    <w:t>77</w:t>
                  </w:r>
                </w:p>
                <w:p w14:paraId="36D19277">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南：</w:t>
                  </w:r>
                  <w:r>
                    <w:rPr>
                      <w:rFonts w:hint="eastAsia"/>
                      <w:color w:val="000000" w:themeColor="text1"/>
                      <w:szCs w:val="21"/>
                      <w:highlight w:val="none"/>
                      <w:lang w:val="en-US" w:eastAsia="zh-CN"/>
                      <w14:textFill>
                        <w14:solidFill>
                          <w14:schemeClr w14:val="tx1"/>
                        </w14:solidFill>
                      </w14:textFill>
                    </w:rPr>
                    <w:t>0.3</w:t>
                  </w:r>
                </w:p>
                <w:p w14:paraId="47B10A54">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西：</w:t>
                  </w:r>
                  <w:r>
                    <w:rPr>
                      <w:rFonts w:hint="eastAsia"/>
                      <w:color w:val="000000" w:themeColor="text1"/>
                      <w:szCs w:val="21"/>
                      <w:highlight w:val="none"/>
                      <w:lang w:val="en-US" w:eastAsia="zh-CN"/>
                      <w14:textFill>
                        <w14:solidFill>
                          <w14:schemeClr w14:val="tx1"/>
                        </w14:solidFill>
                      </w14:textFill>
                    </w:rPr>
                    <w:t>12.2</w:t>
                  </w:r>
                </w:p>
                <w:p w14:paraId="1758945B">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北：</w:t>
                  </w:r>
                  <w:r>
                    <w:rPr>
                      <w:rFonts w:hint="eastAsia"/>
                      <w:color w:val="000000" w:themeColor="text1"/>
                      <w:szCs w:val="21"/>
                      <w:highlight w:val="none"/>
                      <w:lang w:val="en-US" w:eastAsia="zh-CN"/>
                      <w14:textFill>
                        <w14:solidFill>
                          <w14:schemeClr w14:val="tx1"/>
                        </w14:solidFill>
                      </w14:textFill>
                    </w:rPr>
                    <w:t>19.9</w:t>
                  </w:r>
                </w:p>
              </w:tc>
              <w:tc>
                <w:tcPr>
                  <w:tcW w:w="427" w:type="pct"/>
                  <w:vAlign w:val="center"/>
                </w:tcPr>
                <w:p w14:paraId="6141B314">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东：54.37</w:t>
                  </w:r>
                </w:p>
                <w:p w14:paraId="174E8AC9">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南：56.03</w:t>
                  </w:r>
                </w:p>
                <w:p w14:paraId="28418C1A">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西：55.14</w:t>
                  </w:r>
                </w:p>
                <w:p w14:paraId="2626DBCA">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北：54.07</w:t>
                  </w:r>
                </w:p>
              </w:tc>
              <w:tc>
                <w:tcPr>
                  <w:tcW w:w="278" w:type="pct"/>
                  <w:vMerge w:val="continue"/>
                  <w:vAlign w:val="center"/>
                </w:tcPr>
                <w:p w14:paraId="62690AA2">
                  <w:pPr>
                    <w:jc w:val="center"/>
                    <w:rPr>
                      <w:color w:val="000000" w:themeColor="text1"/>
                      <w:szCs w:val="21"/>
                      <w14:textFill>
                        <w14:solidFill>
                          <w14:schemeClr w14:val="tx1"/>
                        </w14:solidFill>
                      </w14:textFill>
                    </w:rPr>
                  </w:pPr>
                </w:p>
              </w:tc>
              <w:tc>
                <w:tcPr>
                  <w:tcW w:w="316" w:type="pct"/>
                  <w:vMerge w:val="continue"/>
                  <w:vAlign w:val="center"/>
                </w:tcPr>
                <w:p w14:paraId="0ED59255">
                  <w:pPr>
                    <w:jc w:val="center"/>
                    <w:rPr>
                      <w:color w:val="000000" w:themeColor="text1"/>
                      <w:szCs w:val="21"/>
                      <w14:textFill>
                        <w14:solidFill>
                          <w14:schemeClr w14:val="tx1"/>
                        </w14:solidFill>
                      </w14:textFill>
                    </w:rPr>
                  </w:pPr>
                </w:p>
              </w:tc>
              <w:tc>
                <w:tcPr>
                  <w:tcW w:w="556" w:type="pct"/>
                  <w:vMerge w:val="continue"/>
                  <w:vAlign w:val="center"/>
                </w:tcPr>
                <w:p w14:paraId="514EFC2E">
                  <w:pPr>
                    <w:jc w:val="center"/>
                    <w:rPr>
                      <w:color w:val="000000" w:themeColor="text1"/>
                      <w:szCs w:val="21"/>
                      <w14:textFill>
                        <w14:solidFill>
                          <w14:schemeClr w14:val="tx1"/>
                        </w14:solidFill>
                      </w14:textFill>
                    </w:rPr>
                  </w:pPr>
                </w:p>
              </w:tc>
              <w:tc>
                <w:tcPr>
                  <w:tcW w:w="506" w:type="pct"/>
                  <w:vMerge w:val="continue"/>
                  <w:vAlign w:val="center"/>
                </w:tcPr>
                <w:p w14:paraId="13A8FDA9">
                  <w:pPr>
                    <w:jc w:val="center"/>
                    <w:rPr>
                      <w:color w:val="000000" w:themeColor="text1"/>
                      <w:szCs w:val="21"/>
                      <w14:textFill>
                        <w14:solidFill>
                          <w14:schemeClr w14:val="tx1"/>
                        </w14:solidFill>
                      </w14:textFill>
                    </w:rPr>
                  </w:pPr>
                </w:p>
              </w:tc>
            </w:tr>
            <w:tr w14:paraId="4B3727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 w:type="pct"/>
                  <w:vAlign w:val="center"/>
                </w:tcPr>
                <w:p w14:paraId="4172E961">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186" w:type="pct"/>
                  <w:vMerge w:val="continue"/>
                  <w:vAlign w:val="center"/>
                </w:tcPr>
                <w:p w14:paraId="0E8DA3CF">
                  <w:pPr>
                    <w:jc w:val="center"/>
                    <w:rPr>
                      <w:color w:val="000000" w:themeColor="text1"/>
                      <w14:textFill>
                        <w14:solidFill>
                          <w14:schemeClr w14:val="tx1"/>
                        </w14:solidFill>
                      </w14:textFill>
                    </w:rPr>
                  </w:pPr>
                </w:p>
              </w:tc>
              <w:tc>
                <w:tcPr>
                  <w:tcW w:w="421" w:type="pct"/>
                  <w:vAlign w:val="center"/>
                </w:tcPr>
                <w:p w14:paraId="5F082B8B">
                  <w:pPr>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吹塑机</w:t>
                  </w:r>
                </w:p>
              </w:tc>
              <w:tc>
                <w:tcPr>
                  <w:tcW w:w="373" w:type="pct"/>
                  <w:vAlign w:val="center"/>
                </w:tcPr>
                <w:p w14:paraId="1852CC5E">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c>
                <w:tcPr>
                  <w:tcW w:w="463" w:type="pct"/>
                  <w:vAlign w:val="center"/>
                </w:tcPr>
                <w:p w14:paraId="53219C4C">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87.78</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单台80</w:t>
                  </w:r>
                  <w:r>
                    <w:rPr>
                      <w:rFonts w:hint="eastAsia"/>
                      <w:color w:val="000000" w:themeColor="text1"/>
                      <w:szCs w:val="21"/>
                      <w:lang w:eastAsia="zh-CN"/>
                      <w14:textFill>
                        <w14:solidFill>
                          <w14:schemeClr w14:val="tx1"/>
                        </w14:solidFill>
                      </w14:textFill>
                    </w:rPr>
                    <w:t>）</w:t>
                  </w:r>
                </w:p>
              </w:tc>
              <w:tc>
                <w:tcPr>
                  <w:tcW w:w="281" w:type="pct"/>
                  <w:vMerge w:val="continue"/>
                  <w:vAlign w:val="center"/>
                </w:tcPr>
                <w:p w14:paraId="0C36066A">
                  <w:pPr>
                    <w:jc w:val="center"/>
                    <w:rPr>
                      <w:color w:val="000000" w:themeColor="text1"/>
                      <w:kern w:val="0"/>
                      <w:szCs w:val="21"/>
                      <w:highlight w:val="none"/>
                      <w14:textFill>
                        <w14:solidFill>
                          <w14:schemeClr w14:val="tx1"/>
                        </w14:solidFill>
                      </w14:textFill>
                    </w:rPr>
                  </w:pPr>
                </w:p>
              </w:tc>
              <w:tc>
                <w:tcPr>
                  <w:tcW w:w="233" w:type="pct"/>
                  <w:vAlign w:val="center"/>
                </w:tcPr>
                <w:p w14:paraId="1FEFC417">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16.5</w:t>
                  </w:r>
                </w:p>
              </w:tc>
              <w:tc>
                <w:tcPr>
                  <w:tcW w:w="233" w:type="pct"/>
                  <w:vAlign w:val="center"/>
                </w:tcPr>
                <w:p w14:paraId="31E35958">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15</w:t>
                  </w:r>
                </w:p>
              </w:tc>
              <w:tc>
                <w:tcPr>
                  <w:tcW w:w="165" w:type="pct"/>
                  <w:vAlign w:val="center"/>
                </w:tcPr>
                <w:p w14:paraId="71A76ADA">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385" w:type="pct"/>
                  <w:vAlign w:val="center"/>
                </w:tcPr>
                <w:p w14:paraId="36868B41">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东：</w:t>
                  </w:r>
                  <w:r>
                    <w:rPr>
                      <w:rFonts w:hint="eastAsia"/>
                      <w:color w:val="000000" w:themeColor="text1"/>
                      <w:szCs w:val="21"/>
                      <w:highlight w:val="none"/>
                      <w:lang w:val="en-US" w:eastAsia="zh-CN"/>
                      <w14:textFill>
                        <w14:solidFill>
                          <w14:schemeClr w14:val="tx1"/>
                        </w14:solidFill>
                      </w14:textFill>
                    </w:rPr>
                    <w:t>75.7</w:t>
                  </w:r>
                </w:p>
                <w:p w14:paraId="64BFD5E6">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南：</w:t>
                  </w:r>
                  <w:r>
                    <w:rPr>
                      <w:rFonts w:hint="eastAsia"/>
                      <w:color w:val="000000" w:themeColor="text1"/>
                      <w:szCs w:val="21"/>
                      <w:highlight w:val="none"/>
                      <w:lang w:val="en-US" w:eastAsia="zh-CN"/>
                      <w14:textFill>
                        <w14:solidFill>
                          <w14:schemeClr w14:val="tx1"/>
                        </w14:solidFill>
                      </w14:textFill>
                    </w:rPr>
                    <w:t>15</w:t>
                  </w:r>
                </w:p>
                <w:p w14:paraId="4CB130E1">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西：1</w:t>
                  </w:r>
                  <w:r>
                    <w:rPr>
                      <w:rFonts w:hint="eastAsia"/>
                      <w:color w:val="000000" w:themeColor="text1"/>
                      <w:szCs w:val="21"/>
                      <w:highlight w:val="none"/>
                      <w:lang w:val="en-US" w:eastAsia="zh-CN"/>
                      <w14:textFill>
                        <w14:solidFill>
                          <w14:schemeClr w14:val="tx1"/>
                        </w14:solidFill>
                      </w14:textFill>
                    </w:rPr>
                    <w:t>6.5</w:t>
                  </w:r>
                </w:p>
                <w:p w14:paraId="705003D3">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北：</w:t>
                  </w:r>
                  <w:r>
                    <w:rPr>
                      <w:rFonts w:hint="eastAsia"/>
                      <w:color w:val="000000" w:themeColor="text1"/>
                      <w:szCs w:val="21"/>
                      <w:highlight w:val="none"/>
                      <w:lang w:val="en-US" w:eastAsia="zh-CN"/>
                      <w14:textFill>
                        <w14:solidFill>
                          <w14:schemeClr w14:val="tx1"/>
                        </w14:solidFill>
                      </w14:textFill>
                    </w:rPr>
                    <w:t>5.2</w:t>
                  </w:r>
                </w:p>
              </w:tc>
              <w:tc>
                <w:tcPr>
                  <w:tcW w:w="427" w:type="pct"/>
                  <w:vAlign w:val="center"/>
                </w:tcPr>
                <w:p w14:paraId="7639EDB6">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东：54.</w:t>
                  </w:r>
                  <w:r>
                    <w:rPr>
                      <w:rFonts w:hint="eastAsia"/>
                      <w:color w:val="000000" w:themeColor="text1"/>
                      <w:szCs w:val="21"/>
                      <w:highlight w:val="none"/>
                      <w:lang w:val="en-US" w:eastAsia="zh-CN"/>
                      <w14:textFill>
                        <w14:solidFill>
                          <w14:schemeClr w14:val="tx1"/>
                        </w14:solidFill>
                      </w14:textFill>
                    </w:rPr>
                    <w:t>17</w:t>
                  </w:r>
                </w:p>
                <w:p w14:paraId="33B40942">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南：5</w:t>
                  </w:r>
                  <w:r>
                    <w:rPr>
                      <w:rFonts w:hint="eastAsia"/>
                      <w:color w:val="000000" w:themeColor="text1"/>
                      <w:szCs w:val="21"/>
                      <w:highlight w:val="none"/>
                      <w:lang w:val="en-US" w:eastAsia="zh-CN"/>
                      <w14:textFill>
                        <w14:solidFill>
                          <w14:schemeClr w14:val="tx1"/>
                        </w14:solidFill>
                      </w14:textFill>
                    </w:rPr>
                    <w:t>4.98</w:t>
                  </w:r>
                </w:p>
                <w:p w14:paraId="3F093546">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西：5</w:t>
                  </w:r>
                  <w:r>
                    <w:rPr>
                      <w:rFonts w:hint="eastAsia"/>
                      <w:color w:val="000000" w:themeColor="text1"/>
                      <w:szCs w:val="21"/>
                      <w:highlight w:val="none"/>
                      <w:lang w:val="en-US" w:eastAsia="zh-CN"/>
                      <w14:textFill>
                        <w14:solidFill>
                          <w14:schemeClr w14:val="tx1"/>
                        </w14:solidFill>
                      </w14:textFill>
                    </w:rPr>
                    <w:t>5.67</w:t>
                  </w:r>
                </w:p>
                <w:p w14:paraId="5979D004">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北：5</w:t>
                  </w:r>
                  <w:r>
                    <w:rPr>
                      <w:rFonts w:hint="eastAsia"/>
                      <w:color w:val="000000" w:themeColor="text1"/>
                      <w:szCs w:val="21"/>
                      <w:highlight w:val="none"/>
                      <w:lang w:val="en-US" w:eastAsia="zh-CN"/>
                      <w14:textFill>
                        <w14:solidFill>
                          <w14:schemeClr w14:val="tx1"/>
                        </w14:solidFill>
                      </w14:textFill>
                    </w:rPr>
                    <w:t>4.84</w:t>
                  </w:r>
                </w:p>
              </w:tc>
              <w:tc>
                <w:tcPr>
                  <w:tcW w:w="278" w:type="pct"/>
                  <w:vMerge w:val="continue"/>
                  <w:vAlign w:val="center"/>
                </w:tcPr>
                <w:p w14:paraId="4389925B">
                  <w:pPr>
                    <w:jc w:val="center"/>
                    <w:rPr>
                      <w:color w:val="000000" w:themeColor="text1"/>
                      <w:szCs w:val="21"/>
                      <w14:textFill>
                        <w14:solidFill>
                          <w14:schemeClr w14:val="tx1"/>
                        </w14:solidFill>
                      </w14:textFill>
                    </w:rPr>
                  </w:pPr>
                </w:p>
              </w:tc>
              <w:tc>
                <w:tcPr>
                  <w:tcW w:w="316" w:type="pct"/>
                  <w:vMerge w:val="continue"/>
                  <w:vAlign w:val="center"/>
                </w:tcPr>
                <w:p w14:paraId="23E25AEF">
                  <w:pPr>
                    <w:jc w:val="center"/>
                    <w:rPr>
                      <w:color w:val="000000" w:themeColor="text1"/>
                      <w:szCs w:val="21"/>
                      <w14:textFill>
                        <w14:solidFill>
                          <w14:schemeClr w14:val="tx1"/>
                        </w14:solidFill>
                      </w14:textFill>
                    </w:rPr>
                  </w:pPr>
                </w:p>
              </w:tc>
              <w:tc>
                <w:tcPr>
                  <w:tcW w:w="556" w:type="pct"/>
                  <w:vMerge w:val="continue"/>
                  <w:vAlign w:val="center"/>
                </w:tcPr>
                <w:p w14:paraId="35982C6E">
                  <w:pPr>
                    <w:jc w:val="center"/>
                    <w:rPr>
                      <w:color w:val="000000" w:themeColor="text1"/>
                      <w:szCs w:val="21"/>
                      <w14:textFill>
                        <w14:solidFill>
                          <w14:schemeClr w14:val="tx1"/>
                        </w14:solidFill>
                      </w14:textFill>
                    </w:rPr>
                  </w:pPr>
                </w:p>
              </w:tc>
              <w:tc>
                <w:tcPr>
                  <w:tcW w:w="506" w:type="pct"/>
                  <w:vMerge w:val="continue"/>
                  <w:vAlign w:val="center"/>
                </w:tcPr>
                <w:p w14:paraId="6FACEFCA">
                  <w:pPr>
                    <w:jc w:val="center"/>
                    <w:rPr>
                      <w:color w:val="000000" w:themeColor="text1"/>
                      <w:szCs w:val="21"/>
                      <w14:textFill>
                        <w14:solidFill>
                          <w14:schemeClr w14:val="tx1"/>
                        </w14:solidFill>
                      </w14:textFill>
                    </w:rPr>
                  </w:pPr>
                </w:p>
              </w:tc>
            </w:tr>
            <w:tr w14:paraId="526DE4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170" w:type="pct"/>
                  <w:vAlign w:val="center"/>
                </w:tcPr>
                <w:p w14:paraId="34670E81">
                  <w:pPr>
                    <w:jc w:val="cente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186" w:type="pct"/>
                  <w:vMerge w:val="continue"/>
                  <w:vAlign w:val="center"/>
                </w:tcPr>
                <w:p w14:paraId="50C75899">
                  <w:pPr>
                    <w:jc w:val="center"/>
                    <w:rPr>
                      <w:color w:val="000000" w:themeColor="text1"/>
                      <w14:textFill>
                        <w14:solidFill>
                          <w14:schemeClr w14:val="tx1"/>
                        </w14:solidFill>
                      </w14:textFill>
                    </w:rPr>
                  </w:pPr>
                </w:p>
              </w:tc>
              <w:tc>
                <w:tcPr>
                  <w:tcW w:w="421" w:type="pct"/>
                  <w:vAlign w:val="center"/>
                </w:tcPr>
                <w:p w14:paraId="42F03242">
                  <w:pPr>
                    <w:jc w:val="center"/>
                    <w:rPr>
                      <w:rFonts w:hAnsi="宋体"/>
                      <w:color w:val="000000" w:themeColor="text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丝网印刷机</w:t>
                  </w:r>
                </w:p>
              </w:tc>
              <w:tc>
                <w:tcPr>
                  <w:tcW w:w="373" w:type="pct"/>
                  <w:vAlign w:val="center"/>
                </w:tcPr>
                <w:p w14:paraId="6BEDC56A">
                  <w:pPr>
                    <w:jc w:val="center"/>
                    <w:rPr>
                      <w:color w:val="000000" w:themeColor="text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463" w:type="pct"/>
                  <w:vAlign w:val="center"/>
                </w:tcPr>
                <w:p w14:paraId="1B2DC76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c>
                <w:tcPr>
                  <w:tcW w:w="281" w:type="pct"/>
                  <w:vMerge w:val="continue"/>
                  <w:vAlign w:val="center"/>
                </w:tcPr>
                <w:p w14:paraId="1AF42E96">
                  <w:pPr>
                    <w:jc w:val="center"/>
                    <w:rPr>
                      <w:color w:val="000000" w:themeColor="text1"/>
                      <w:kern w:val="0"/>
                      <w:szCs w:val="21"/>
                      <w:highlight w:val="none"/>
                      <w14:textFill>
                        <w14:solidFill>
                          <w14:schemeClr w14:val="tx1"/>
                        </w14:solidFill>
                      </w14:textFill>
                    </w:rPr>
                  </w:pPr>
                </w:p>
              </w:tc>
              <w:tc>
                <w:tcPr>
                  <w:tcW w:w="233" w:type="pct"/>
                  <w:vAlign w:val="center"/>
                </w:tcPr>
                <w:p w14:paraId="6EF09838">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36.2</w:t>
                  </w:r>
                </w:p>
              </w:tc>
              <w:tc>
                <w:tcPr>
                  <w:tcW w:w="233" w:type="pct"/>
                  <w:vAlign w:val="center"/>
                </w:tcPr>
                <w:p w14:paraId="6FC02010">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13.6</w:t>
                  </w:r>
                </w:p>
              </w:tc>
              <w:tc>
                <w:tcPr>
                  <w:tcW w:w="165" w:type="pct"/>
                  <w:vAlign w:val="center"/>
                </w:tcPr>
                <w:p w14:paraId="73C75202">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w:t>
                  </w:r>
                </w:p>
              </w:tc>
              <w:tc>
                <w:tcPr>
                  <w:tcW w:w="385" w:type="pct"/>
                  <w:vAlign w:val="center"/>
                </w:tcPr>
                <w:p w14:paraId="43809766">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东：</w:t>
                  </w:r>
                  <w:r>
                    <w:rPr>
                      <w:rFonts w:hint="eastAsia"/>
                      <w:color w:val="000000" w:themeColor="text1"/>
                      <w:szCs w:val="21"/>
                      <w:highlight w:val="none"/>
                      <w:lang w:val="en-US" w:eastAsia="zh-CN"/>
                      <w14:textFill>
                        <w14:solidFill>
                          <w14:schemeClr w14:val="tx1"/>
                        </w14:solidFill>
                      </w14:textFill>
                    </w:rPr>
                    <w:t>56</w:t>
                  </w:r>
                </w:p>
                <w:p w14:paraId="27EE0968">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南：</w:t>
                  </w:r>
                  <w:r>
                    <w:rPr>
                      <w:rFonts w:hint="eastAsia"/>
                      <w:color w:val="000000" w:themeColor="text1"/>
                      <w:szCs w:val="21"/>
                      <w:highlight w:val="none"/>
                      <w:lang w:val="en-US" w:eastAsia="zh-CN"/>
                      <w14:textFill>
                        <w14:solidFill>
                          <w14:schemeClr w14:val="tx1"/>
                        </w14:solidFill>
                      </w14:textFill>
                    </w:rPr>
                    <w:t>13.6</w:t>
                  </w:r>
                </w:p>
                <w:p w14:paraId="2AC6A3F8">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西：</w:t>
                  </w:r>
                  <w:r>
                    <w:rPr>
                      <w:rFonts w:hint="eastAsia"/>
                      <w:color w:val="000000" w:themeColor="text1"/>
                      <w:szCs w:val="21"/>
                      <w:highlight w:val="none"/>
                      <w:lang w:val="en-US" w:eastAsia="zh-CN"/>
                      <w14:textFill>
                        <w14:solidFill>
                          <w14:schemeClr w14:val="tx1"/>
                        </w14:solidFill>
                      </w14:textFill>
                    </w:rPr>
                    <w:t>36.2</w:t>
                  </w:r>
                </w:p>
                <w:p w14:paraId="08C8A7D2">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北：</w:t>
                  </w:r>
                  <w:r>
                    <w:rPr>
                      <w:rFonts w:hint="eastAsia"/>
                      <w:color w:val="000000" w:themeColor="text1"/>
                      <w:szCs w:val="21"/>
                      <w:highlight w:val="none"/>
                      <w:lang w:val="en-US" w:eastAsia="zh-CN"/>
                      <w14:textFill>
                        <w14:solidFill>
                          <w14:schemeClr w14:val="tx1"/>
                        </w14:solidFill>
                      </w14:textFill>
                    </w:rPr>
                    <w:t>6.6</w:t>
                  </w:r>
                </w:p>
              </w:tc>
              <w:tc>
                <w:tcPr>
                  <w:tcW w:w="427" w:type="pct"/>
                  <w:vAlign w:val="center"/>
                </w:tcPr>
                <w:p w14:paraId="55D61C73">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东：55.76</w:t>
                  </w:r>
                </w:p>
                <w:p w14:paraId="590F9D3A">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南：55.95</w:t>
                  </w:r>
                </w:p>
                <w:p w14:paraId="31940789">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西：54.14</w:t>
                  </w:r>
                </w:p>
                <w:p w14:paraId="031202F5">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北：54.05</w:t>
                  </w:r>
                </w:p>
              </w:tc>
              <w:tc>
                <w:tcPr>
                  <w:tcW w:w="278" w:type="pct"/>
                  <w:vMerge w:val="continue"/>
                  <w:vAlign w:val="center"/>
                </w:tcPr>
                <w:p w14:paraId="75F3F3AF">
                  <w:pPr>
                    <w:jc w:val="center"/>
                    <w:rPr>
                      <w:color w:val="000000" w:themeColor="text1"/>
                      <w:szCs w:val="21"/>
                      <w14:textFill>
                        <w14:solidFill>
                          <w14:schemeClr w14:val="tx1"/>
                        </w14:solidFill>
                      </w14:textFill>
                    </w:rPr>
                  </w:pPr>
                </w:p>
              </w:tc>
              <w:tc>
                <w:tcPr>
                  <w:tcW w:w="316" w:type="pct"/>
                  <w:vMerge w:val="continue"/>
                  <w:vAlign w:val="center"/>
                </w:tcPr>
                <w:p w14:paraId="6CAB8CDA">
                  <w:pPr>
                    <w:jc w:val="center"/>
                    <w:rPr>
                      <w:color w:val="000000" w:themeColor="text1"/>
                      <w:szCs w:val="21"/>
                      <w14:textFill>
                        <w14:solidFill>
                          <w14:schemeClr w14:val="tx1"/>
                        </w14:solidFill>
                      </w14:textFill>
                    </w:rPr>
                  </w:pPr>
                </w:p>
              </w:tc>
              <w:tc>
                <w:tcPr>
                  <w:tcW w:w="556" w:type="pct"/>
                  <w:vMerge w:val="continue"/>
                  <w:vAlign w:val="center"/>
                </w:tcPr>
                <w:p w14:paraId="74F842D3">
                  <w:pPr>
                    <w:jc w:val="center"/>
                    <w:rPr>
                      <w:color w:val="000000" w:themeColor="text1"/>
                      <w:szCs w:val="21"/>
                      <w14:textFill>
                        <w14:solidFill>
                          <w14:schemeClr w14:val="tx1"/>
                        </w14:solidFill>
                      </w14:textFill>
                    </w:rPr>
                  </w:pPr>
                </w:p>
              </w:tc>
              <w:tc>
                <w:tcPr>
                  <w:tcW w:w="506" w:type="pct"/>
                  <w:vMerge w:val="continue"/>
                  <w:vAlign w:val="center"/>
                </w:tcPr>
                <w:p w14:paraId="2454ED56">
                  <w:pPr>
                    <w:jc w:val="center"/>
                    <w:rPr>
                      <w:color w:val="000000" w:themeColor="text1"/>
                      <w:szCs w:val="21"/>
                      <w14:textFill>
                        <w14:solidFill>
                          <w14:schemeClr w14:val="tx1"/>
                        </w14:solidFill>
                      </w14:textFill>
                    </w:rPr>
                  </w:pPr>
                </w:p>
              </w:tc>
            </w:tr>
            <w:tr w14:paraId="05DB58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 w:type="pct"/>
                  <w:vAlign w:val="center"/>
                </w:tcPr>
                <w:p w14:paraId="0198960F">
                  <w:pPr>
                    <w:jc w:val="cente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186" w:type="pct"/>
                  <w:vMerge w:val="continue"/>
                  <w:vAlign w:val="center"/>
                </w:tcPr>
                <w:p w14:paraId="7EBBA01D">
                  <w:pPr>
                    <w:jc w:val="center"/>
                    <w:rPr>
                      <w:color w:val="000000" w:themeColor="text1"/>
                      <w14:textFill>
                        <w14:solidFill>
                          <w14:schemeClr w14:val="tx1"/>
                        </w14:solidFill>
                      </w14:textFill>
                    </w:rPr>
                  </w:pPr>
                </w:p>
              </w:tc>
              <w:tc>
                <w:tcPr>
                  <w:tcW w:w="421" w:type="pct"/>
                  <w:vAlign w:val="center"/>
                </w:tcPr>
                <w:p w14:paraId="334E19B8">
                  <w:pPr>
                    <w:jc w:val="center"/>
                    <w:rPr>
                      <w:rFonts w:hAnsi="宋体"/>
                      <w:color w:val="000000" w:themeColor="text1"/>
                      <w:szCs w:val="21"/>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烘道线</w:t>
                  </w:r>
                </w:p>
              </w:tc>
              <w:tc>
                <w:tcPr>
                  <w:tcW w:w="373" w:type="pct"/>
                  <w:vAlign w:val="center"/>
                </w:tcPr>
                <w:p w14:paraId="54CBB77F">
                  <w:pPr>
                    <w:jc w:val="center"/>
                    <w:rPr>
                      <w:color w:val="000000" w:themeColor="text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463" w:type="pct"/>
                  <w:vAlign w:val="center"/>
                </w:tcPr>
                <w:p w14:paraId="2CF2779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70</w:t>
                  </w:r>
                </w:p>
              </w:tc>
              <w:tc>
                <w:tcPr>
                  <w:tcW w:w="281" w:type="pct"/>
                  <w:vMerge w:val="continue"/>
                  <w:vAlign w:val="center"/>
                </w:tcPr>
                <w:p w14:paraId="6DD5DDEE">
                  <w:pPr>
                    <w:jc w:val="center"/>
                    <w:rPr>
                      <w:color w:val="000000" w:themeColor="text1"/>
                      <w:kern w:val="0"/>
                      <w:szCs w:val="21"/>
                      <w:highlight w:val="none"/>
                      <w14:textFill>
                        <w14:solidFill>
                          <w14:schemeClr w14:val="tx1"/>
                        </w14:solidFill>
                      </w14:textFill>
                    </w:rPr>
                  </w:pPr>
                </w:p>
              </w:tc>
              <w:tc>
                <w:tcPr>
                  <w:tcW w:w="233" w:type="pct"/>
                  <w:vAlign w:val="center"/>
                </w:tcPr>
                <w:p w14:paraId="61CCAB65">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6.1</w:t>
                  </w:r>
                </w:p>
              </w:tc>
              <w:tc>
                <w:tcPr>
                  <w:tcW w:w="233" w:type="pct"/>
                  <w:vAlign w:val="center"/>
                </w:tcPr>
                <w:p w14:paraId="0518CD09">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4.3</w:t>
                  </w:r>
                </w:p>
              </w:tc>
              <w:tc>
                <w:tcPr>
                  <w:tcW w:w="165" w:type="pct"/>
                  <w:vAlign w:val="center"/>
                </w:tcPr>
                <w:p w14:paraId="5B6E5320">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9.5</w:t>
                  </w:r>
                </w:p>
              </w:tc>
              <w:tc>
                <w:tcPr>
                  <w:tcW w:w="385" w:type="pct"/>
                  <w:vAlign w:val="center"/>
                </w:tcPr>
                <w:p w14:paraId="56D4859E">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东：</w:t>
                  </w:r>
                  <w:r>
                    <w:rPr>
                      <w:rFonts w:hint="eastAsia"/>
                      <w:color w:val="000000" w:themeColor="text1"/>
                      <w:szCs w:val="21"/>
                      <w:highlight w:val="none"/>
                      <w:lang w:val="en-US" w:eastAsia="zh-CN"/>
                      <w14:textFill>
                        <w14:solidFill>
                          <w14:schemeClr w14:val="tx1"/>
                        </w14:solidFill>
                      </w14:textFill>
                    </w:rPr>
                    <w:t>86.1</w:t>
                  </w:r>
                </w:p>
                <w:p w14:paraId="456D86EF">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南：</w:t>
                  </w:r>
                  <w:r>
                    <w:rPr>
                      <w:rFonts w:hint="eastAsia"/>
                      <w:color w:val="000000" w:themeColor="text1"/>
                      <w:szCs w:val="21"/>
                      <w:highlight w:val="none"/>
                      <w:lang w:val="en-US" w:eastAsia="zh-CN"/>
                      <w14:textFill>
                        <w14:solidFill>
                          <w14:schemeClr w14:val="tx1"/>
                        </w14:solidFill>
                      </w14:textFill>
                    </w:rPr>
                    <w:t>4.3</w:t>
                  </w:r>
                </w:p>
                <w:p w14:paraId="52082FF5">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西：</w:t>
                  </w:r>
                  <w:r>
                    <w:rPr>
                      <w:rFonts w:hint="eastAsia"/>
                      <w:color w:val="000000" w:themeColor="text1"/>
                      <w:szCs w:val="21"/>
                      <w:highlight w:val="none"/>
                      <w:lang w:val="en-US" w:eastAsia="zh-CN"/>
                      <w14:textFill>
                        <w14:solidFill>
                          <w14:schemeClr w14:val="tx1"/>
                        </w14:solidFill>
                      </w14:textFill>
                    </w:rPr>
                    <w:t>6.1</w:t>
                  </w:r>
                </w:p>
                <w:p w14:paraId="5BBF7660">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北：</w:t>
                  </w:r>
                  <w:r>
                    <w:rPr>
                      <w:rFonts w:hint="eastAsia"/>
                      <w:color w:val="000000" w:themeColor="text1"/>
                      <w:szCs w:val="21"/>
                      <w:highlight w:val="none"/>
                      <w:lang w:val="en-US" w:eastAsia="zh-CN"/>
                      <w14:textFill>
                        <w14:solidFill>
                          <w14:schemeClr w14:val="tx1"/>
                        </w14:solidFill>
                      </w14:textFill>
                    </w:rPr>
                    <w:t>15.9</w:t>
                  </w:r>
                </w:p>
              </w:tc>
              <w:tc>
                <w:tcPr>
                  <w:tcW w:w="427" w:type="pct"/>
                  <w:vAlign w:val="center"/>
                </w:tcPr>
                <w:p w14:paraId="21C0FCE3">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东：55.02</w:t>
                  </w:r>
                </w:p>
                <w:p w14:paraId="646511A0">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南：54.95</w:t>
                  </w:r>
                </w:p>
                <w:p w14:paraId="38D0D9FA">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西：54.08</w:t>
                  </w:r>
                </w:p>
                <w:p w14:paraId="4FB8887E">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北：54.12</w:t>
                  </w:r>
                </w:p>
              </w:tc>
              <w:tc>
                <w:tcPr>
                  <w:tcW w:w="278" w:type="pct"/>
                  <w:vMerge w:val="continue"/>
                  <w:vAlign w:val="center"/>
                </w:tcPr>
                <w:p w14:paraId="4C676C02">
                  <w:pPr>
                    <w:jc w:val="center"/>
                    <w:rPr>
                      <w:color w:val="000000" w:themeColor="text1"/>
                      <w:szCs w:val="21"/>
                      <w14:textFill>
                        <w14:solidFill>
                          <w14:schemeClr w14:val="tx1"/>
                        </w14:solidFill>
                      </w14:textFill>
                    </w:rPr>
                  </w:pPr>
                </w:p>
              </w:tc>
              <w:tc>
                <w:tcPr>
                  <w:tcW w:w="316" w:type="pct"/>
                  <w:vMerge w:val="continue"/>
                  <w:vAlign w:val="center"/>
                </w:tcPr>
                <w:p w14:paraId="6DA8B860">
                  <w:pPr>
                    <w:jc w:val="center"/>
                    <w:rPr>
                      <w:color w:val="000000" w:themeColor="text1"/>
                      <w:szCs w:val="21"/>
                      <w14:textFill>
                        <w14:solidFill>
                          <w14:schemeClr w14:val="tx1"/>
                        </w14:solidFill>
                      </w14:textFill>
                    </w:rPr>
                  </w:pPr>
                </w:p>
              </w:tc>
              <w:tc>
                <w:tcPr>
                  <w:tcW w:w="556" w:type="pct"/>
                  <w:vMerge w:val="continue"/>
                  <w:vAlign w:val="center"/>
                </w:tcPr>
                <w:p w14:paraId="2C9EC342">
                  <w:pPr>
                    <w:jc w:val="center"/>
                    <w:rPr>
                      <w:color w:val="000000" w:themeColor="text1"/>
                      <w:szCs w:val="21"/>
                      <w14:textFill>
                        <w14:solidFill>
                          <w14:schemeClr w14:val="tx1"/>
                        </w14:solidFill>
                      </w14:textFill>
                    </w:rPr>
                  </w:pPr>
                </w:p>
              </w:tc>
              <w:tc>
                <w:tcPr>
                  <w:tcW w:w="506" w:type="pct"/>
                  <w:vMerge w:val="continue"/>
                  <w:vAlign w:val="center"/>
                </w:tcPr>
                <w:p w14:paraId="52667AE4">
                  <w:pPr>
                    <w:jc w:val="center"/>
                    <w:rPr>
                      <w:color w:val="000000" w:themeColor="text1"/>
                      <w:szCs w:val="21"/>
                      <w14:textFill>
                        <w14:solidFill>
                          <w14:schemeClr w14:val="tx1"/>
                        </w14:solidFill>
                      </w14:textFill>
                    </w:rPr>
                  </w:pPr>
                </w:p>
              </w:tc>
            </w:tr>
            <w:tr w14:paraId="5B6D57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 w:type="pct"/>
                  <w:vAlign w:val="center"/>
                </w:tcPr>
                <w:p w14:paraId="41C86A2D">
                  <w:pPr>
                    <w:jc w:val="cente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186" w:type="pct"/>
                  <w:vMerge w:val="continue"/>
                  <w:vAlign w:val="center"/>
                </w:tcPr>
                <w:p w14:paraId="414404EB">
                  <w:pPr>
                    <w:jc w:val="center"/>
                    <w:rPr>
                      <w:color w:val="000000" w:themeColor="text1"/>
                      <w14:textFill>
                        <w14:solidFill>
                          <w14:schemeClr w14:val="tx1"/>
                        </w14:solidFill>
                      </w14:textFill>
                    </w:rPr>
                  </w:pPr>
                </w:p>
              </w:tc>
              <w:tc>
                <w:tcPr>
                  <w:tcW w:w="421" w:type="pct"/>
                  <w:vAlign w:val="center"/>
                </w:tcPr>
                <w:p w14:paraId="56FBE6CA">
                  <w:pPr>
                    <w:jc w:val="center"/>
                    <w:rPr>
                      <w:rFonts w:hAnsi="宋体"/>
                      <w:color w:val="000000" w:themeColor="text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破碎机</w:t>
                  </w:r>
                </w:p>
              </w:tc>
              <w:tc>
                <w:tcPr>
                  <w:tcW w:w="373" w:type="pct"/>
                  <w:vAlign w:val="center"/>
                </w:tcPr>
                <w:p w14:paraId="5355BE1F">
                  <w:pPr>
                    <w:jc w:val="center"/>
                    <w:rPr>
                      <w:rFonts w:hint="eastAsia" w:eastAsia="宋体"/>
                      <w:color w:val="000000" w:themeColor="text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c>
                <w:tcPr>
                  <w:tcW w:w="463" w:type="pct"/>
                  <w:vAlign w:val="center"/>
                </w:tcPr>
                <w:p w14:paraId="37ABEEE0">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92.78</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单台85</w:t>
                  </w:r>
                  <w:r>
                    <w:rPr>
                      <w:rFonts w:hint="eastAsia"/>
                      <w:color w:val="000000" w:themeColor="text1"/>
                      <w:szCs w:val="21"/>
                      <w:lang w:eastAsia="zh-CN"/>
                      <w14:textFill>
                        <w14:solidFill>
                          <w14:schemeClr w14:val="tx1"/>
                        </w14:solidFill>
                      </w14:textFill>
                    </w:rPr>
                    <w:t>）</w:t>
                  </w:r>
                </w:p>
              </w:tc>
              <w:tc>
                <w:tcPr>
                  <w:tcW w:w="281" w:type="pct"/>
                  <w:vMerge w:val="continue"/>
                  <w:vAlign w:val="center"/>
                </w:tcPr>
                <w:p w14:paraId="0C54E06C">
                  <w:pPr>
                    <w:jc w:val="center"/>
                    <w:rPr>
                      <w:color w:val="000000" w:themeColor="text1"/>
                      <w:kern w:val="0"/>
                      <w:szCs w:val="21"/>
                      <w:highlight w:val="none"/>
                      <w14:textFill>
                        <w14:solidFill>
                          <w14:schemeClr w14:val="tx1"/>
                        </w14:solidFill>
                      </w14:textFill>
                    </w:rPr>
                  </w:pPr>
                </w:p>
              </w:tc>
              <w:tc>
                <w:tcPr>
                  <w:tcW w:w="233" w:type="pct"/>
                  <w:vAlign w:val="center"/>
                </w:tcPr>
                <w:p w14:paraId="50F275AF">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11.1</w:t>
                  </w:r>
                </w:p>
              </w:tc>
              <w:tc>
                <w:tcPr>
                  <w:tcW w:w="233" w:type="pct"/>
                  <w:vAlign w:val="center"/>
                </w:tcPr>
                <w:p w14:paraId="7E7BBC2D">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2.4</w:t>
                  </w:r>
                </w:p>
              </w:tc>
              <w:tc>
                <w:tcPr>
                  <w:tcW w:w="165" w:type="pct"/>
                  <w:vAlign w:val="center"/>
                </w:tcPr>
                <w:p w14:paraId="009C1460">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385" w:type="pct"/>
                  <w:vAlign w:val="center"/>
                </w:tcPr>
                <w:p w14:paraId="37326CC6">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东：</w:t>
                  </w:r>
                  <w:r>
                    <w:rPr>
                      <w:rFonts w:hint="eastAsia"/>
                      <w:color w:val="000000" w:themeColor="text1"/>
                      <w:szCs w:val="21"/>
                      <w:highlight w:val="none"/>
                      <w:lang w:val="en-US" w:eastAsia="zh-CN"/>
                      <w14:textFill>
                        <w14:solidFill>
                          <w14:schemeClr w14:val="tx1"/>
                        </w14:solidFill>
                      </w14:textFill>
                    </w:rPr>
                    <w:t>81.1</w:t>
                  </w:r>
                </w:p>
                <w:p w14:paraId="62B51816">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南：</w:t>
                  </w:r>
                  <w:r>
                    <w:rPr>
                      <w:rFonts w:hint="eastAsia"/>
                      <w:color w:val="000000" w:themeColor="text1"/>
                      <w:szCs w:val="21"/>
                      <w:highlight w:val="none"/>
                      <w:lang w:val="en-US" w:eastAsia="zh-CN"/>
                      <w14:textFill>
                        <w14:solidFill>
                          <w14:schemeClr w14:val="tx1"/>
                        </w14:solidFill>
                      </w14:textFill>
                    </w:rPr>
                    <w:t>2.4</w:t>
                  </w:r>
                </w:p>
                <w:p w14:paraId="4B293AF0">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西：</w:t>
                  </w:r>
                  <w:r>
                    <w:rPr>
                      <w:rFonts w:hint="eastAsia"/>
                      <w:color w:val="000000" w:themeColor="text1"/>
                      <w:szCs w:val="21"/>
                      <w:highlight w:val="none"/>
                      <w:lang w:val="en-US" w:eastAsia="zh-CN"/>
                      <w14:textFill>
                        <w14:solidFill>
                          <w14:schemeClr w14:val="tx1"/>
                        </w14:solidFill>
                      </w14:textFill>
                    </w:rPr>
                    <w:t>11.1</w:t>
                  </w:r>
                </w:p>
                <w:p w14:paraId="086093C7">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北：</w:t>
                  </w:r>
                  <w:r>
                    <w:rPr>
                      <w:rFonts w:hint="eastAsia"/>
                      <w:color w:val="000000" w:themeColor="text1"/>
                      <w:szCs w:val="21"/>
                      <w:highlight w:val="none"/>
                      <w:lang w:val="en-US" w:eastAsia="zh-CN"/>
                      <w14:textFill>
                        <w14:solidFill>
                          <w14:schemeClr w14:val="tx1"/>
                        </w14:solidFill>
                      </w14:textFill>
                    </w:rPr>
                    <w:t>17.8</w:t>
                  </w:r>
                </w:p>
              </w:tc>
              <w:tc>
                <w:tcPr>
                  <w:tcW w:w="427" w:type="pct"/>
                  <w:vAlign w:val="center"/>
                </w:tcPr>
                <w:p w14:paraId="2F390570">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东：55.01</w:t>
                  </w:r>
                </w:p>
                <w:p w14:paraId="38BA6AEB">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南：54.83</w:t>
                  </w:r>
                </w:p>
                <w:p w14:paraId="338988BA">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西：54.07</w:t>
                  </w:r>
                </w:p>
                <w:p w14:paraId="1AB65234">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北：54.05</w:t>
                  </w:r>
                </w:p>
              </w:tc>
              <w:tc>
                <w:tcPr>
                  <w:tcW w:w="278" w:type="pct"/>
                  <w:vMerge w:val="continue"/>
                  <w:vAlign w:val="center"/>
                </w:tcPr>
                <w:p w14:paraId="4EC8A211">
                  <w:pPr>
                    <w:jc w:val="center"/>
                    <w:rPr>
                      <w:color w:val="000000" w:themeColor="text1"/>
                      <w:szCs w:val="21"/>
                      <w14:textFill>
                        <w14:solidFill>
                          <w14:schemeClr w14:val="tx1"/>
                        </w14:solidFill>
                      </w14:textFill>
                    </w:rPr>
                  </w:pPr>
                </w:p>
              </w:tc>
              <w:tc>
                <w:tcPr>
                  <w:tcW w:w="316" w:type="pct"/>
                  <w:vMerge w:val="continue"/>
                  <w:vAlign w:val="center"/>
                </w:tcPr>
                <w:p w14:paraId="659398BB">
                  <w:pPr>
                    <w:jc w:val="center"/>
                    <w:rPr>
                      <w:color w:val="000000" w:themeColor="text1"/>
                      <w:szCs w:val="21"/>
                      <w14:textFill>
                        <w14:solidFill>
                          <w14:schemeClr w14:val="tx1"/>
                        </w14:solidFill>
                      </w14:textFill>
                    </w:rPr>
                  </w:pPr>
                </w:p>
              </w:tc>
              <w:tc>
                <w:tcPr>
                  <w:tcW w:w="556" w:type="pct"/>
                  <w:vMerge w:val="continue"/>
                  <w:vAlign w:val="center"/>
                </w:tcPr>
                <w:p w14:paraId="24A02143">
                  <w:pPr>
                    <w:jc w:val="center"/>
                    <w:rPr>
                      <w:color w:val="000000" w:themeColor="text1"/>
                      <w:szCs w:val="21"/>
                      <w14:textFill>
                        <w14:solidFill>
                          <w14:schemeClr w14:val="tx1"/>
                        </w14:solidFill>
                      </w14:textFill>
                    </w:rPr>
                  </w:pPr>
                </w:p>
              </w:tc>
              <w:tc>
                <w:tcPr>
                  <w:tcW w:w="506" w:type="pct"/>
                  <w:vMerge w:val="continue"/>
                  <w:vAlign w:val="center"/>
                </w:tcPr>
                <w:p w14:paraId="2BBE4DB0">
                  <w:pPr>
                    <w:jc w:val="center"/>
                    <w:rPr>
                      <w:color w:val="000000" w:themeColor="text1"/>
                      <w:szCs w:val="21"/>
                      <w14:textFill>
                        <w14:solidFill>
                          <w14:schemeClr w14:val="tx1"/>
                        </w14:solidFill>
                      </w14:textFill>
                    </w:rPr>
                  </w:pPr>
                </w:p>
              </w:tc>
            </w:tr>
            <w:tr w14:paraId="415913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 w:type="pct"/>
                  <w:vAlign w:val="center"/>
                </w:tcPr>
                <w:p w14:paraId="08AA65A8">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186" w:type="pct"/>
                  <w:vMerge w:val="continue"/>
                  <w:vAlign w:val="center"/>
                </w:tcPr>
                <w:p w14:paraId="38091B42">
                  <w:pPr>
                    <w:jc w:val="center"/>
                    <w:rPr>
                      <w:color w:val="000000" w:themeColor="text1"/>
                      <w14:textFill>
                        <w14:solidFill>
                          <w14:schemeClr w14:val="tx1"/>
                        </w14:solidFill>
                      </w14:textFill>
                    </w:rPr>
                  </w:pPr>
                </w:p>
              </w:tc>
              <w:tc>
                <w:tcPr>
                  <w:tcW w:w="421" w:type="pct"/>
                  <w:vAlign w:val="center"/>
                </w:tcPr>
                <w:p w14:paraId="61DEF5F1">
                  <w:pPr>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破碎机</w:t>
                  </w:r>
                </w:p>
              </w:tc>
              <w:tc>
                <w:tcPr>
                  <w:tcW w:w="373" w:type="pct"/>
                  <w:vAlign w:val="center"/>
                </w:tcPr>
                <w:p w14:paraId="17F059AE">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463" w:type="pct"/>
                  <w:vAlign w:val="center"/>
                </w:tcPr>
                <w:p w14:paraId="65AA0584">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88.01</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单台85</w:t>
                  </w:r>
                  <w:r>
                    <w:rPr>
                      <w:rFonts w:hint="eastAsia"/>
                      <w:color w:val="000000" w:themeColor="text1"/>
                      <w:szCs w:val="21"/>
                      <w:lang w:eastAsia="zh-CN"/>
                      <w14:textFill>
                        <w14:solidFill>
                          <w14:schemeClr w14:val="tx1"/>
                        </w14:solidFill>
                      </w14:textFill>
                    </w:rPr>
                    <w:t>）</w:t>
                  </w:r>
                </w:p>
              </w:tc>
              <w:tc>
                <w:tcPr>
                  <w:tcW w:w="281" w:type="pct"/>
                  <w:vMerge w:val="continue"/>
                  <w:vAlign w:val="center"/>
                </w:tcPr>
                <w:p w14:paraId="2AE08215">
                  <w:pPr>
                    <w:jc w:val="center"/>
                    <w:rPr>
                      <w:color w:val="000000" w:themeColor="text1"/>
                      <w:kern w:val="0"/>
                      <w:szCs w:val="21"/>
                      <w:highlight w:val="none"/>
                      <w14:textFill>
                        <w14:solidFill>
                          <w14:schemeClr w14:val="tx1"/>
                        </w14:solidFill>
                      </w14:textFill>
                    </w:rPr>
                  </w:pPr>
                </w:p>
              </w:tc>
              <w:tc>
                <w:tcPr>
                  <w:tcW w:w="233" w:type="pct"/>
                  <w:vAlign w:val="center"/>
                </w:tcPr>
                <w:p w14:paraId="02D6A756">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32.6</w:t>
                  </w:r>
                </w:p>
              </w:tc>
              <w:tc>
                <w:tcPr>
                  <w:tcW w:w="233" w:type="pct"/>
                  <w:vAlign w:val="center"/>
                </w:tcPr>
                <w:p w14:paraId="189CCC58">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14.3</w:t>
                  </w:r>
                </w:p>
              </w:tc>
              <w:tc>
                <w:tcPr>
                  <w:tcW w:w="165" w:type="pct"/>
                  <w:vAlign w:val="center"/>
                </w:tcPr>
                <w:p w14:paraId="26B94FDA">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385" w:type="pct"/>
                  <w:vAlign w:val="center"/>
                </w:tcPr>
                <w:p w14:paraId="3C86C98B">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东：</w:t>
                  </w:r>
                  <w:r>
                    <w:rPr>
                      <w:rFonts w:hint="eastAsia"/>
                      <w:color w:val="000000" w:themeColor="text1"/>
                      <w:szCs w:val="21"/>
                      <w:highlight w:val="none"/>
                      <w:lang w:val="en-US" w:eastAsia="zh-CN"/>
                      <w14:textFill>
                        <w14:solidFill>
                          <w14:schemeClr w14:val="tx1"/>
                        </w14:solidFill>
                      </w14:textFill>
                    </w:rPr>
                    <w:t>59.6</w:t>
                  </w:r>
                </w:p>
                <w:p w14:paraId="7589E30E">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南：</w:t>
                  </w:r>
                  <w:r>
                    <w:rPr>
                      <w:rFonts w:hint="eastAsia"/>
                      <w:color w:val="000000" w:themeColor="text1"/>
                      <w:szCs w:val="21"/>
                      <w:highlight w:val="none"/>
                      <w:lang w:val="en-US" w:eastAsia="zh-CN"/>
                      <w14:textFill>
                        <w14:solidFill>
                          <w14:schemeClr w14:val="tx1"/>
                        </w14:solidFill>
                      </w14:textFill>
                    </w:rPr>
                    <w:t>14.3</w:t>
                  </w:r>
                </w:p>
                <w:p w14:paraId="041D012E">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西：</w:t>
                  </w:r>
                  <w:r>
                    <w:rPr>
                      <w:rFonts w:hint="eastAsia"/>
                      <w:color w:val="000000" w:themeColor="text1"/>
                      <w:szCs w:val="21"/>
                      <w:highlight w:val="none"/>
                      <w:lang w:val="en-US" w:eastAsia="zh-CN"/>
                      <w14:textFill>
                        <w14:solidFill>
                          <w14:schemeClr w14:val="tx1"/>
                        </w14:solidFill>
                      </w14:textFill>
                    </w:rPr>
                    <w:t>32.6</w:t>
                  </w:r>
                </w:p>
                <w:p w14:paraId="6433112A">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北：</w:t>
                  </w:r>
                  <w:r>
                    <w:rPr>
                      <w:rFonts w:hint="eastAsia"/>
                      <w:color w:val="000000" w:themeColor="text1"/>
                      <w:szCs w:val="21"/>
                      <w:highlight w:val="none"/>
                      <w:lang w:val="en-US" w:eastAsia="zh-CN"/>
                      <w14:textFill>
                        <w14:solidFill>
                          <w14:schemeClr w14:val="tx1"/>
                        </w14:solidFill>
                      </w14:textFill>
                    </w:rPr>
                    <w:t>5.9</w:t>
                  </w:r>
                </w:p>
              </w:tc>
              <w:tc>
                <w:tcPr>
                  <w:tcW w:w="427" w:type="pct"/>
                  <w:vAlign w:val="center"/>
                </w:tcPr>
                <w:p w14:paraId="6C6FE0E9">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东：5</w:t>
                  </w:r>
                  <w:r>
                    <w:rPr>
                      <w:rFonts w:hint="eastAsia"/>
                      <w:color w:val="000000" w:themeColor="text1"/>
                      <w:szCs w:val="21"/>
                      <w:highlight w:val="none"/>
                      <w:lang w:val="en-US" w:eastAsia="zh-CN"/>
                      <w14:textFill>
                        <w14:solidFill>
                          <w14:schemeClr w14:val="tx1"/>
                        </w14:solidFill>
                      </w14:textFill>
                    </w:rPr>
                    <w:t>1</w:t>
                  </w:r>
                  <w:r>
                    <w:rPr>
                      <w:rFonts w:hint="eastAsia"/>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8</w:t>
                  </w:r>
                  <w:r>
                    <w:rPr>
                      <w:rFonts w:hint="eastAsia"/>
                      <w:color w:val="000000" w:themeColor="text1"/>
                      <w:szCs w:val="21"/>
                      <w:highlight w:val="none"/>
                      <w14:textFill>
                        <w14:solidFill>
                          <w14:schemeClr w14:val="tx1"/>
                        </w14:solidFill>
                      </w14:textFill>
                    </w:rPr>
                    <w:t>5</w:t>
                  </w:r>
                </w:p>
                <w:p w14:paraId="07295A9B">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南：5</w:t>
                  </w:r>
                  <w:r>
                    <w:rPr>
                      <w:rFonts w:hint="eastAsia"/>
                      <w:color w:val="000000" w:themeColor="text1"/>
                      <w:szCs w:val="21"/>
                      <w:highlight w:val="none"/>
                      <w:lang w:val="en-US" w:eastAsia="zh-CN"/>
                      <w14:textFill>
                        <w14:solidFill>
                          <w14:schemeClr w14:val="tx1"/>
                        </w14:solidFill>
                      </w14:textFill>
                    </w:rPr>
                    <w:t>4.96</w:t>
                  </w:r>
                </w:p>
                <w:p w14:paraId="6424903D">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西：5</w:t>
                  </w:r>
                  <w:r>
                    <w:rPr>
                      <w:rFonts w:hint="eastAsia"/>
                      <w:color w:val="000000" w:themeColor="text1"/>
                      <w:szCs w:val="21"/>
                      <w:highlight w:val="none"/>
                      <w:lang w:val="en-US" w:eastAsia="zh-CN"/>
                      <w14:textFill>
                        <w14:solidFill>
                          <w14:schemeClr w14:val="tx1"/>
                        </w14:solidFill>
                      </w14:textFill>
                    </w:rPr>
                    <w:t>3.79</w:t>
                  </w:r>
                </w:p>
                <w:p w14:paraId="59BEEE42">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北：5</w:t>
                  </w:r>
                  <w:r>
                    <w:rPr>
                      <w:rFonts w:hint="eastAsia"/>
                      <w:color w:val="000000" w:themeColor="text1"/>
                      <w:szCs w:val="21"/>
                      <w:highlight w:val="none"/>
                      <w:lang w:val="en-US" w:eastAsia="zh-CN"/>
                      <w14:textFill>
                        <w14:solidFill>
                          <w14:schemeClr w14:val="tx1"/>
                        </w14:solidFill>
                      </w14:textFill>
                    </w:rPr>
                    <w:t>4.57</w:t>
                  </w:r>
                </w:p>
              </w:tc>
              <w:tc>
                <w:tcPr>
                  <w:tcW w:w="278" w:type="pct"/>
                  <w:vMerge w:val="continue"/>
                  <w:vAlign w:val="center"/>
                </w:tcPr>
                <w:p w14:paraId="3ED1C48C">
                  <w:pPr>
                    <w:jc w:val="center"/>
                    <w:rPr>
                      <w:color w:val="000000" w:themeColor="text1"/>
                      <w:szCs w:val="21"/>
                      <w14:textFill>
                        <w14:solidFill>
                          <w14:schemeClr w14:val="tx1"/>
                        </w14:solidFill>
                      </w14:textFill>
                    </w:rPr>
                  </w:pPr>
                </w:p>
              </w:tc>
              <w:tc>
                <w:tcPr>
                  <w:tcW w:w="316" w:type="pct"/>
                  <w:vMerge w:val="continue"/>
                  <w:vAlign w:val="center"/>
                </w:tcPr>
                <w:p w14:paraId="6BEC1822">
                  <w:pPr>
                    <w:jc w:val="center"/>
                    <w:rPr>
                      <w:color w:val="000000" w:themeColor="text1"/>
                      <w:szCs w:val="21"/>
                      <w14:textFill>
                        <w14:solidFill>
                          <w14:schemeClr w14:val="tx1"/>
                        </w14:solidFill>
                      </w14:textFill>
                    </w:rPr>
                  </w:pPr>
                </w:p>
              </w:tc>
              <w:tc>
                <w:tcPr>
                  <w:tcW w:w="556" w:type="pct"/>
                  <w:vMerge w:val="continue"/>
                  <w:vAlign w:val="center"/>
                </w:tcPr>
                <w:p w14:paraId="52AE1BB5">
                  <w:pPr>
                    <w:jc w:val="center"/>
                    <w:rPr>
                      <w:color w:val="000000" w:themeColor="text1"/>
                      <w:szCs w:val="21"/>
                      <w14:textFill>
                        <w14:solidFill>
                          <w14:schemeClr w14:val="tx1"/>
                        </w14:solidFill>
                      </w14:textFill>
                    </w:rPr>
                  </w:pPr>
                </w:p>
              </w:tc>
              <w:tc>
                <w:tcPr>
                  <w:tcW w:w="506" w:type="pct"/>
                  <w:vMerge w:val="continue"/>
                  <w:vAlign w:val="center"/>
                </w:tcPr>
                <w:p w14:paraId="335B7904">
                  <w:pPr>
                    <w:jc w:val="center"/>
                    <w:rPr>
                      <w:color w:val="000000" w:themeColor="text1"/>
                      <w:szCs w:val="21"/>
                      <w14:textFill>
                        <w14:solidFill>
                          <w14:schemeClr w14:val="tx1"/>
                        </w14:solidFill>
                      </w14:textFill>
                    </w:rPr>
                  </w:pPr>
                </w:p>
              </w:tc>
            </w:tr>
            <w:tr w14:paraId="2A44F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 w:type="pct"/>
                  <w:vAlign w:val="center"/>
                </w:tcPr>
                <w:p w14:paraId="65C5551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186" w:type="pct"/>
                  <w:vMerge w:val="continue"/>
                  <w:vAlign w:val="center"/>
                </w:tcPr>
                <w:p w14:paraId="10960558">
                  <w:pPr>
                    <w:jc w:val="center"/>
                    <w:rPr>
                      <w:color w:val="000000" w:themeColor="text1"/>
                      <w14:textFill>
                        <w14:solidFill>
                          <w14:schemeClr w14:val="tx1"/>
                        </w14:solidFill>
                      </w14:textFill>
                    </w:rPr>
                  </w:pPr>
                </w:p>
              </w:tc>
              <w:tc>
                <w:tcPr>
                  <w:tcW w:w="421" w:type="pct"/>
                  <w:vAlign w:val="center"/>
                </w:tcPr>
                <w:p w14:paraId="425439F5">
                  <w:pPr>
                    <w:jc w:val="center"/>
                    <w:rPr>
                      <w:color w:val="000000" w:themeColor="text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切口机</w:t>
                  </w:r>
                </w:p>
              </w:tc>
              <w:tc>
                <w:tcPr>
                  <w:tcW w:w="373" w:type="pct"/>
                  <w:vAlign w:val="center"/>
                </w:tcPr>
                <w:p w14:paraId="303023C5">
                  <w:pPr>
                    <w:jc w:val="center"/>
                    <w:rPr>
                      <w:color w:val="000000" w:themeColor="text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w:t>
                  </w:r>
                </w:p>
              </w:tc>
              <w:tc>
                <w:tcPr>
                  <w:tcW w:w="463" w:type="pct"/>
                  <w:vAlign w:val="center"/>
                </w:tcPr>
                <w:p w14:paraId="1BE80295">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93.01</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单台80</w:t>
                  </w:r>
                  <w:r>
                    <w:rPr>
                      <w:rFonts w:hint="eastAsia"/>
                      <w:color w:val="000000" w:themeColor="text1"/>
                      <w:szCs w:val="21"/>
                      <w:lang w:eastAsia="zh-CN"/>
                      <w14:textFill>
                        <w14:solidFill>
                          <w14:schemeClr w14:val="tx1"/>
                        </w14:solidFill>
                      </w14:textFill>
                    </w:rPr>
                    <w:t>）</w:t>
                  </w:r>
                </w:p>
              </w:tc>
              <w:tc>
                <w:tcPr>
                  <w:tcW w:w="281" w:type="pct"/>
                  <w:vMerge w:val="continue"/>
                  <w:vAlign w:val="center"/>
                </w:tcPr>
                <w:p w14:paraId="25DA1139">
                  <w:pPr>
                    <w:jc w:val="center"/>
                    <w:rPr>
                      <w:color w:val="000000" w:themeColor="text1"/>
                      <w:kern w:val="0"/>
                      <w:szCs w:val="21"/>
                      <w:highlight w:val="none"/>
                      <w14:textFill>
                        <w14:solidFill>
                          <w14:schemeClr w14:val="tx1"/>
                        </w14:solidFill>
                      </w14:textFill>
                    </w:rPr>
                  </w:pPr>
                </w:p>
              </w:tc>
              <w:tc>
                <w:tcPr>
                  <w:tcW w:w="233" w:type="pct"/>
                  <w:vAlign w:val="center"/>
                </w:tcPr>
                <w:p w14:paraId="1F31EBFA">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2.5</w:t>
                  </w:r>
                </w:p>
              </w:tc>
              <w:tc>
                <w:tcPr>
                  <w:tcW w:w="233" w:type="pct"/>
                  <w:vAlign w:val="center"/>
                </w:tcPr>
                <w:p w14:paraId="6C59E0AA">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1.5</w:t>
                  </w:r>
                </w:p>
              </w:tc>
              <w:tc>
                <w:tcPr>
                  <w:tcW w:w="165" w:type="pct"/>
                  <w:vAlign w:val="center"/>
                </w:tcPr>
                <w:p w14:paraId="01F1D701">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w:t>
                  </w:r>
                </w:p>
              </w:tc>
              <w:tc>
                <w:tcPr>
                  <w:tcW w:w="385" w:type="pct"/>
                  <w:vAlign w:val="center"/>
                </w:tcPr>
                <w:p w14:paraId="015BD453">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东：</w:t>
                  </w:r>
                  <w:r>
                    <w:rPr>
                      <w:rFonts w:hint="eastAsia"/>
                      <w:color w:val="000000" w:themeColor="text1"/>
                      <w:szCs w:val="21"/>
                      <w:highlight w:val="none"/>
                      <w:lang w:val="en-US" w:eastAsia="zh-CN"/>
                      <w14:textFill>
                        <w14:solidFill>
                          <w14:schemeClr w14:val="tx1"/>
                        </w14:solidFill>
                      </w14:textFill>
                    </w:rPr>
                    <w:t>89.7</w:t>
                  </w:r>
                </w:p>
                <w:p w14:paraId="399B1074">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南：</w:t>
                  </w:r>
                  <w:r>
                    <w:rPr>
                      <w:rFonts w:hint="eastAsia"/>
                      <w:color w:val="000000" w:themeColor="text1"/>
                      <w:szCs w:val="21"/>
                      <w:highlight w:val="none"/>
                      <w:lang w:val="en-US" w:eastAsia="zh-CN"/>
                      <w14:textFill>
                        <w14:solidFill>
                          <w14:schemeClr w14:val="tx1"/>
                        </w14:solidFill>
                      </w14:textFill>
                    </w:rPr>
                    <w:t>1.5</w:t>
                  </w:r>
                </w:p>
                <w:p w14:paraId="628B6586">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西：</w:t>
                  </w:r>
                  <w:r>
                    <w:rPr>
                      <w:rFonts w:hint="eastAsia"/>
                      <w:color w:val="000000" w:themeColor="text1"/>
                      <w:szCs w:val="21"/>
                      <w:highlight w:val="none"/>
                      <w:lang w:val="en-US" w:eastAsia="zh-CN"/>
                      <w14:textFill>
                        <w14:solidFill>
                          <w14:schemeClr w14:val="tx1"/>
                        </w14:solidFill>
                      </w14:textFill>
                    </w:rPr>
                    <w:t>2.5</w:t>
                  </w:r>
                </w:p>
                <w:p w14:paraId="1A249E12">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北：</w:t>
                  </w:r>
                  <w:r>
                    <w:rPr>
                      <w:rFonts w:hint="eastAsia"/>
                      <w:color w:val="000000" w:themeColor="text1"/>
                      <w:szCs w:val="21"/>
                      <w:highlight w:val="none"/>
                      <w:lang w:val="en-US" w:eastAsia="zh-CN"/>
                      <w14:textFill>
                        <w14:solidFill>
                          <w14:schemeClr w14:val="tx1"/>
                        </w14:solidFill>
                      </w14:textFill>
                    </w:rPr>
                    <w:t>18.7</w:t>
                  </w:r>
                </w:p>
              </w:tc>
              <w:tc>
                <w:tcPr>
                  <w:tcW w:w="427" w:type="pct"/>
                  <w:vAlign w:val="center"/>
                </w:tcPr>
                <w:p w14:paraId="7A20B3DB">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东：54.61</w:t>
                  </w:r>
                </w:p>
                <w:p w14:paraId="06B2E47B">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南：54.52</w:t>
                  </w:r>
                </w:p>
                <w:p w14:paraId="1D43306D">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西：53.98</w:t>
                  </w:r>
                </w:p>
                <w:p w14:paraId="3DD85CC7">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北：54.88</w:t>
                  </w:r>
                </w:p>
              </w:tc>
              <w:tc>
                <w:tcPr>
                  <w:tcW w:w="278" w:type="pct"/>
                  <w:vMerge w:val="continue"/>
                  <w:vAlign w:val="center"/>
                </w:tcPr>
                <w:p w14:paraId="4172F2F0">
                  <w:pPr>
                    <w:jc w:val="center"/>
                    <w:rPr>
                      <w:color w:val="000000" w:themeColor="text1"/>
                      <w:szCs w:val="21"/>
                      <w14:textFill>
                        <w14:solidFill>
                          <w14:schemeClr w14:val="tx1"/>
                        </w14:solidFill>
                      </w14:textFill>
                    </w:rPr>
                  </w:pPr>
                </w:p>
              </w:tc>
              <w:tc>
                <w:tcPr>
                  <w:tcW w:w="316" w:type="pct"/>
                  <w:vMerge w:val="continue"/>
                  <w:vAlign w:val="center"/>
                </w:tcPr>
                <w:p w14:paraId="246CC32D">
                  <w:pPr>
                    <w:jc w:val="center"/>
                    <w:rPr>
                      <w:color w:val="000000" w:themeColor="text1"/>
                      <w:szCs w:val="21"/>
                      <w14:textFill>
                        <w14:solidFill>
                          <w14:schemeClr w14:val="tx1"/>
                        </w14:solidFill>
                      </w14:textFill>
                    </w:rPr>
                  </w:pPr>
                </w:p>
              </w:tc>
              <w:tc>
                <w:tcPr>
                  <w:tcW w:w="556" w:type="pct"/>
                  <w:vMerge w:val="continue"/>
                  <w:vAlign w:val="center"/>
                </w:tcPr>
                <w:p w14:paraId="45145166">
                  <w:pPr>
                    <w:jc w:val="center"/>
                    <w:rPr>
                      <w:color w:val="000000" w:themeColor="text1"/>
                      <w:szCs w:val="21"/>
                      <w14:textFill>
                        <w14:solidFill>
                          <w14:schemeClr w14:val="tx1"/>
                        </w14:solidFill>
                      </w14:textFill>
                    </w:rPr>
                  </w:pPr>
                </w:p>
              </w:tc>
              <w:tc>
                <w:tcPr>
                  <w:tcW w:w="506" w:type="pct"/>
                  <w:vMerge w:val="continue"/>
                  <w:vAlign w:val="center"/>
                </w:tcPr>
                <w:p w14:paraId="0F1DEE02">
                  <w:pPr>
                    <w:jc w:val="center"/>
                    <w:rPr>
                      <w:color w:val="000000" w:themeColor="text1"/>
                      <w:szCs w:val="21"/>
                      <w14:textFill>
                        <w14:solidFill>
                          <w14:schemeClr w14:val="tx1"/>
                        </w14:solidFill>
                      </w14:textFill>
                    </w:rPr>
                  </w:pPr>
                </w:p>
              </w:tc>
            </w:tr>
            <w:tr w14:paraId="785EC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 w:type="pct"/>
                  <w:vAlign w:val="center"/>
                </w:tcPr>
                <w:p w14:paraId="200B6E9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86" w:type="pct"/>
                  <w:vMerge w:val="continue"/>
                  <w:vAlign w:val="center"/>
                </w:tcPr>
                <w:p w14:paraId="5826AD1B">
                  <w:pPr>
                    <w:jc w:val="center"/>
                    <w:rPr>
                      <w:color w:val="000000" w:themeColor="text1"/>
                      <w14:textFill>
                        <w14:solidFill>
                          <w14:schemeClr w14:val="tx1"/>
                        </w14:solidFill>
                      </w14:textFill>
                    </w:rPr>
                  </w:pPr>
                </w:p>
              </w:tc>
              <w:tc>
                <w:tcPr>
                  <w:tcW w:w="421" w:type="pct"/>
                  <w:vAlign w:val="center"/>
                </w:tcPr>
                <w:p w14:paraId="3331CA46">
                  <w:pPr>
                    <w:jc w:val="center"/>
                    <w:rPr>
                      <w:color w:val="000000" w:themeColor="text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钻床</w:t>
                  </w:r>
                </w:p>
              </w:tc>
              <w:tc>
                <w:tcPr>
                  <w:tcW w:w="373" w:type="pct"/>
                  <w:vAlign w:val="center"/>
                </w:tcPr>
                <w:p w14:paraId="396F325F">
                  <w:pPr>
                    <w:jc w:val="center"/>
                    <w:rPr>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463" w:type="pct"/>
                  <w:vAlign w:val="center"/>
                </w:tcPr>
                <w:p w14:paraId="0751309E">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86.99</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单台80</w:t>
                  </w:r>
                  <w:r>
                    <w:rPr>
                      <w:rFonts w:hint="eastAsia"/>
                      <w:color w:val="000000" w:themeColor="text1"/>
                      <w:szCs w:val="21"/>
                      <w:lang w:eastAsia="zh-CN"/>
                      <w14:textFill>
                        <w14:solidFill>
                          <w14:schemeClr w14:val="tx1"/>
                        </w14:solidFill>
                      </w14:textFill>
                    </w:rPr>
                    <w:t>）</w:t>
                  </w:r>
                </w:p>
              </w:tc>
              <w:tc>
                <w:tcPr>
                  <w:tcW w:w="281" w:type="pct"/>
                  <w:vMerge w:val="continue"/>
                  <w:vAlign w:val="center"/>
                </w:tcPr>
                <w:p w14:paraId="1E491970">
                  <w:pPr>
                    <w:jc w:val="center"/>
                    <w:rPr>
                      <w:color w:val="000000" w:themeColor="text1"/>
                      <w:kern w:val="0"/>
                      <w:szCs w:val="21"/>
                      <w:highlight w:val="none"/>
                      <w14:textFill>
                        <w14:solidFill>
                          <w14:schemeClr w14:val="tx1"/>
                        </w14:solidFill>
                      </w14:textFill>
                    </w:rPr>
                  </w:pPr>
                </w:p>
              </w:tc>
              <w:tc>
                <w:tcPr>
                  <w:tcW w:w="233" w:type="pct"/>
                  <w:vAlign w:val="center"/>
                </w:tcPr>
                <w:p w14:paraId="41F61A90">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8</w:t>
                  </w:r>
                </w:p>
              </w:tc>
              <w:tc>
                <w:tcPr>
                  <w:tcW w:w="233" w:type="pct"/>
                  <w:vAlign w:val="center"/>
                </w:tcPr>
                <w:p w14:paraId="392FE807">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1.2</w:t>
                  </w:r>
                </w:p>
              </w:tc>
              <w:tc>
                <w:tcPr>
                  <w:tcW w:w="165" w:type="pct"/>
                  <w:vAlign w:val="center"/>
                </w:tcPr>
                <w:p w14:paraId="198BC52F">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w:t>
                  </w:r>
                </w:p>
              </w:tc>
              <w:tc>
                <w:tcPr>
                  <w:tcW w:w="385" w:type="pct"/>
                  <w:vAlign w:val="center"/>
                </w:tcPr>
                <w:p w14:paraId="2EDFAEE0">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东：</w:t>
                  </w:r>
                  <w:r>
                    <w:rPr>
                      <w:rFonts w:hint="eastAsia"/>
                      <w:color w:val="000000" w:themeColor="text1"/>
                      <w:szCs w:val="21"/>
                      <w:highlight w:val="none"/>
                      <w:lang w:val="en-US" w:eastAsia="zh-CN"/>
                      <w14:textFill>
                        <w14:solidFill>
                          <w14:schemeClr w14:val="tx1"/>
                        </w14:solidFill>
                      </w14:textFill>
                    </w:rPr>
                    <w:t>84.2</w:t>
                  </w:r>
                </w:p>
                <w:p w14:paraId="62AF008F">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南：</w:t>
                  </w:r>
                  <w:r>
                    <w:rPr>
                      <w:rFonts w:hint="eastAsia"/>
                      <w:color w:val="000000" w:themeColor="text1"/>
                      <w:szCs w:val="21"/>
                      <w:highlight w:val="none"/>
                      <w:lang w:val="en-US" w:eastAsia="zh-CN"/>
                      <w14:textFill>
                        <w14:solidFill>
                          <w14:schemeClr w14:val="tx1"/>
                        </w14:solidFill>
                      </w14:textFill>
                    </w:rPr>
                    <w:t>1.2</w:t>
                  </w:r>
                </w:p>
                <w:p w14:paraId="43598BF2">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14:textFill>
                        <w14:solidFill>
                          <w14:schemeClr w14:val="tx1"/>
                        </w14:solidFill>
                      </w14:textFill>
                    </w:rPr>
                    <w:t>西：</w:t>
                  </w:r>
                  <w:r>
                    <w:rPr>
                      <w:rFonts w:hint="eastAsia"/>
                      <w:color w:val="000000" w:themeColor="text1"/>
                      <w:szCs w:val="21"/>
                      <w:highlight w:val="none"/>
                      <w:lang w:val="en-US" w:eastAsia="zh-CN"/>
                      <w14:textFill>
                        <w14:solidFill>
                          <w14:schemeClr w14:val="tx1"/>
                        </w14:solidFill>
                      </w14:textFill>
                    </w:rPr>
                    <w:t>8</w:t>
                  </w:r>
                </w:p>
                <w:p w14:paraId="7056CF4B">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北：</w:t>
                  </w:r>
                  <w:r>
                    <w:rPr>
                      <w:rFonts w:hint="eastAsia"/>
                      <w:color w:val="000000" w:themeColor="text1"/>
                      <w:szCs w:val="21"/>
                      <w:highlight w:val="none"/>
                      <w:lang w:val="en-US" w:eastAsia="zh-CN"/>
                      <w14:textFill>
                        <w14:solidFill>
                          <w14:schemeClr w14:val="tx1"/>
                        </w14:solidFill>
                      </w14:textFill>
                    </w:rPr>
                    <w:t>1</w:t>
                  </w:r>
                  <w:r>
                    <w:rPr>
                      <w:rFonts w:hint="eastAsia"/>
                      <w:color w:val="000000" w:themeColor="text1"/>
                      <w:szCs w:val="21"/>
                      <w:highlight w:val="none"/>
                      <w14:textFill>
                        <w14:solidFill>
                          <w14:schemeClr w14:val="tx1"/>
                        </w14:solidFill>
                      </w14:textFill>
                    </w:rPr>
                    <w:t>9</w:t>
                  </w:r>
                </w:p>
              </w:tc>
              <w:tc>
                <w:tcPr>
                  <w:tcW w:w="427" w:type="pct"/>
                  <w:vAlign w:val="center"/>
                </w:tcPr>
                <w:p w14:paraId="3A9C14BE">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东：54.14</w:t>
                  </w:r>
                </w:p>
                <w:p w14:paraId="28F143D5">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南：54.87</w:t>
                  </w:r>
                </w:p>
                <w:p w14:paraId="7E56F655">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西：55.10</w:t>
                  </w:r>
                </w:p>
                <w:p w14:paraId="08C41613">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北：54.05</w:t>
                  </w:r>
                </w:p>
              </w:tc>
              <w:tc>
                <w:tcPr>
                  <w:tcW w:w="278" w:type="pct"/>
                  <w:vMerge w:val="continue"/>
                  <w:vAlign w:val="center"/>
                </w:tcPr>
                <w:p w14:paraId="26FE0467">
                  <w:pPr>
                    <w:jc w:val="center"/>
                    <w:rPr>
                      <w:color w:val="000000" w:themeColor="text1"/>
                      <w:szCs w:val="21"/>
                      <w14:textFill>
                        <w14:solidFill>
                          <w14:schemeClr w14:val="tx1"/>
                        </w14:solidFill>
                      </w14:textFill>
                    </w:rPr>
                  </w:pPr>
                </w:p>
              </w:tc>
              <w:tc>
                <w:tcPr>
                  <w:tcW w:w="316" w:type="pct"/>
                  <w:vMerge w:val="continue"/>
                  <w:vAlign w:val="center"/>
                </w:tcPr>
                <w:p w14:paraId="04EC0503">
                  <w:pPr>
                    <w:jc w:val="center"/>
                    <w:rPr>
                      <w:color w:val="000000" w:themeColor="text1"/>
                      <w:szCs w:val="21"/>
                      <w14:textFill>
                        <w14:solidFill>
                          <w14:schemeClr w14:val="tx1"/>
                        </w14:solidFill>
                      </w14:textFill>
                    </w:rPr>
                  </w:pPr>
                </w:p>
              </w:tc>
              <w:tc>
                <w:tcPr>
                  <w:tcW w:w="556" w:type="pct"/>
                  <w:vMerge w:val="continue"/>
                  <w:vAlign w:val="center"/>
                </w:tcPr>
                <w:p w14:paraId="0F97D811">
                  <w:pPr>
                    <w:jc w:val="center"/>
                    <w:rPr>
                      <w:color w:val="000000" w:themeColor="text1"/>
                      <w:szCs w:val="21"/>
                      <w14:textFill>
                        <w14:solidFill>
                          <w14:schemeClr w14:val="tx1"/>
                        </w14:solidFill>
                      </w14:textFill>
                    </w:rPr>
                  </w:pPr>
                </w:p>
              </w:tc>
              <w:tc>
                <w:tcPr>
                  <w:tcW w:w="506" w:type="pct"/>
                  <w:vMerge w:val="continue"/>
                  <w:vAlign w:val="center"/>
                </w:tcPr>
                <w:p w14:paraId="068FD77D">
                  <w:pPr>
                    <w:jc w:val="center"/>
                    <w:rPr>
                      <w:color w:val="000000" w:themeColor="text1"/>
                      <w:szCs w:val="21"/>
                      <w14:textFill>
                        <w14:solidFill>
                          <w14:schemeClr w14:val="tx1"/>
                        </w14:solidFill>
                      </w14:textFill>
                    </w:rPr>
                  </w:pPr>
                </w:p>
              </w:tc>
            </w:tr>
            <w:tr w14:paraId="671305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 w:type="pct"/>
                  <w:vAlign w:val="center"/>
                </w:tcPr>
                <w:p w14:paraId="48189D5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186" w:type="pct"/>
                  <w:vMerge w:val="continue"/>
                  <w:vAlign w:val="center"/>
                </w:tcPr>
                <w:p w14:paraId="6C11D252">
                  <w:pPr>
                    <w:jc w:val="center"/>
                    <w:rPr>
                      <w:color w:val="000000" w:themeColor="text1"/>
                      <w14:textFill>
                        <w14:solidFill>
                          <w14:schemeClr w14:val="tx1"/>
                        </w14:solidFill>
                      </w14:textFill>
                    </w:rPr>
                  </w:pPr>
                </w:p>
              </w:tc>
              <w:tc>
                <w:tcPr>
                  <w:tcW w:w="421" w:type="pct"/>
                  <w:vAlign w:val="center"/>
                </w:tcPr>
                <w:p w14:paraId="7931B43B">
                  <w:pPr>
                    <w:jc w:val="center"/>
                    <w:rPr>
                      <w:color w:val="000000" w:themeColor="text1"/>
                      <w:szCs w:val="21"/>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自动机器人</w:t>
                  </w:r>
                </w:p>
              </w:tc>
              <w:tc>
                <w:tcPr>
                  <w:tcW w:w="373" w:type="pct"/>
                  <w:vAlign w:val="center"/>
                </w:tcPr>
                <w:p w14:paraId="473DACAE">
                  <w:pPr>
                    <w:jc w:val="center"/>
                    <w:rPr>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463" w:type="pct"/>
                  <w:vAlign w:val="center"/>
                </w:tcPr>
                <w:p w14:paraId="19F7A82B">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83.01</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单台80</w:t>
                  </w:r>
                  <w:r>
                    <w:rPr>
                      <w:rFonts w:hint="eastAsia"/>
                      <w:color w:val="000000" w:themeColor="text1"/>
                      <w:szCs w:val="21"/>
                      <w:lang w:eastAsia="zh-CN"/>
                      <w14:textFill>
                        <w14:solidFill>
                          <w14:schemeClr w14:val="tx1"/>
                        </w14:solidFill>
                      </w14:textFill>
                    </w:rPr>
                    <w:t>）</w:t>
                  </w:r>
                </w:p>
              </w:tc>
              <w:tc>
                <w:tcPr>
                  <w:tcW w:w="281" w:type="pct"/>
                  <w:vMerge w:val="continue"/>
                  <w:vAlign w:val="center"/>
                </w:tcPr>
                <w:p w14:paraId="554E1B3B">
                  <w:pPr>
                    <w:jc w:val="center"/>
                    <w:rPr>
                      <w:color w:val="000000" w:themeColor="text1"/>
                      <w:kern w:val="0"/>
                      <w:szCs w:val="21"/>
                      <w:highlight w:val="none"/>
                      <w14:textFill>
                        <w14:solidFill>
                          <w14:schemeClr w14:val="tx1"/>
                        </w14:solidFill>
                      </w14:textFill>
                    </w:rPr>
                  </w:pPr>
                </w:p>
              </w:tc>
              <w:tc>
                <w:tcPr>
                  <w:tcW w:w="233" w:type="pct"/>
                  <w:vAlign w:val="center"/>
                </w:tcPr>
                <w:p w14:paraId="24133B56">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2.6</w:t>
                  </w:r>
                </w:p>
              </w:tc>
              <w:tc>
                <w:tcPr>
                  <w:tcW w:w="233" w:type="pct"/>
                  <w:vAlign w:val="center"/>
                </w:tcPr>
                <w:p w14:paraId="206F778C">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3.5</w:t>
                  </w:r>
                </w:p>
              </w:tc>
              <w:tc>
                <w:tcPr>
                  <w:tcW w:w="165" w:type="pct"/>
                  <w:vAlign w:val="center"/>
                </w:tcPr>
                <w:p w14:paraId="7688A925">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w:t>
                  </w:r>
                </w:p>
              </w:tc>
              <w:tc>
                <w:tcPr>
                  <w:tcW w:w="385" w:type="pct"/>
                  <w:vAlign w:val="center"/>
                </w:tcPr>
                <w:p w14:paraId="2909CDD0">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东：</w:t>
                  </w:r>
                  <w:r>
                    <w:rPr>
                      <w:rFonts w:hint="eastAsia"/>
                      <w:color w:val="000000" w:themeColor="text1"/>
                      <w:szCs w:val="21"/>
                      <w:highlight w:val="none"/>
                      <w:lang w:val="en-US" w:eastAsia="zh-CN"/>
                      <w14:textFill>
                        <w14:solidFill>
                          <w14:schemeClr w14:val="tx1"/>
                        </w14:solidFill>
                      </w14:textFill>
                    </w:rPr>
                    <w:t>89.6</w:t>
                  </w:r>
                </w:p>
                <w:p w14:paraId="20E57AFD">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南：</w:t>
                  </w:r>
                  <w:r>
                    <w:rPr>
                      <w:rFonts w:hint="eastAsia"/>
                      <w:color w:val="000000" w:themeColor="text1"/>
                      <w:szCs w:val="21"/>
                      <w:highlight w:val="none"/>
                      <w:lang w:val="en-US" w:eastAsia="zh-CN"/>
                      <w14:textFill>
                        <w14:solidFill>
                          <w14:schemeClr w14:val="tx1"/>
                        </w14:solidFill>
                      </w14:textFill>
                    </w:rPr>
                    <w:t>3.5</w:t>
                  </w:r>
                </w:p>
                <w:p w14:paraId="0C77BC66">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西：</w:t>
                  </w:r>
                  <w:r>
                    <w:rPr>
                      <w:rFonts w:hint="eastAsia"/>
                      <w:color w:val="000000" w:themeColor="text1"/>
                      <w:szCs w:val="21"/>
                      <w:highlight w:val="none"/>
                      <w:lang w:val="en-US" w:eastAsia="zh-CN"/>
                      <w14:textFill>
                        <w14:solidFill>
                          <w14:schemeClr w14:val="tx1"/>
                        </w14:solidFill>
                      </w14:textFill>
                    </w:rPr>
                    <w:t>2.6</w:t>
                  </w:r>
                  <w:r>
                    <w:rPr>
                      <w:rFonts w:hint="eastAsia"/>
                      <w:color w:val="000000" w:themeColor="text1"/>
                      <w:szCs w:val="21"/>
                      <w:highlight w:val="none"/>
                      <w14:textFill>
                        <w14:solidFill>
                          <w14:schemeClr w14:val="tx1"/>
                        </w14:solidFill>
                      </w14:textFill>
                    </w:rPr>
                    <w:t xml:space="preserve">                           </w:t>
                  </w:r>
                </w:p>
                <w:p w14:paraId="540B3CF7">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北：</w:t>
                  </w:r>
                  <w:r>
                    <w:rPr>
                      <w:rFonts w:hint="eastAsia"/>
                      <w:color w:val="000000" w:themeColor="text1"/>
                      <w:szCs w:val="21"/>
                      <w:highlight w:val="none"/>
                      <w:lang w:val="en-US" w:eastAsia="zh-CN"/>
                      <w14:textFill>
                        <w14:solidFill>
                          <w14:schemeClr w14:val="tx1"/>
                        </w14:solidFill>
                      </w14:textFill>
                    </w:rPr>
                    <w:t>16.7</w:t>
                  </w:r>
                </w:p>
              </w:tc>
              <w:tc>
                <w:tcPr>
                  <w:tcW w:w="427" w:type="pct"/>
                  <w:vAlign w:val="center"/>
                </w:tcPr>
                <w:p w14:paraId="3286238A">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东：54.78</w:t>
                  </w:r>
                </w:p>
                <w:p w14:paraId="526C477B">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南：55.92</w:t>
                  </w:r>
                </w:p>
                <w:p w14:paraId="7F13DE25">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西：54.07</w:t>
                  </w:r>
                </w:p>
                <w:p w14:paraId="36133455">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北：54.21</w:t>
                  </w:r>
                </w:p>
              </w:tc>
              <w:tc>
                <w:tcPr>
                  <w:tcW w:w="278" w:type="pct"/>
                  <w:vMerge w:val="continue"/>
                  <w:vAlign w:val="center"/>
                </w:tcPr>
                <w:p w14:paraId="5727FF7E">
                  <w:pPr>
                    <w:jc w:val="center"/>
                    <w:rPr>
                      <w:color w:val="000000" w:themeColor="text1"/>
                      <w:szCs w:val="21"/>
                      <w14:textFill>
                        <w14:solidFill>
                          <w14:schemeClr w14:val="tx1"/>
                        </w14:solidFill>
                      </w14:textFill>
                    </w:rPr>
                  </w:pPr>
                </w:p>
              </w:tc>
              <w:tc>
                <w:tcPr>
                  <w:tcW w:w="316" w:type="pct"/>
                  <w:vMerge w:val="continue"/>
                  <w:vAlign w:val="center"/>
                </w:tcPr>
                <w:p w14:paraId="78499FBA">
                  <w:pPr>
                    <w:jc w:val="center"/>
                    <w:rPr>
                      <w:color w:val="000000" w:themeColor="text1"/>
                      <w:szCs w:val="21"/>
                      <w14:textFill>
                        <w14:solidFill>
                          <w14:schemeClr w14:val="tx1"/>
                        </w14:solidFill>
                      </w14:textFill>
                    </w:rPr>
                  </w:pPr>
                </w:p>
              </w:tc>
              <w:tc>
                <w:tcPr>
                  <w:tcW w:w="556" w:type="pct"/>
                  <w:vMerge w:val="continue"/>
                  <w:vAlign w:val="center"/>
                </w:tcPr>
                <w:p w14:paraId="1296B2EF">
                  <w:pPr>
                    <w:jc w:val="center"/>
                    <w:rPr>
                      <w:color w:val="000000" w:themeColor="text1"/>
                      <w:szCs w:val="21"/>
                      <w14:textFill>
                        <w14:solidFill>
                          <w14:schemeClr w14:val="tx1"/>
                        </w14:solidFill>
                      </w14:textFill>
                    </w:rPr>
                  </w:pPr>
                </w:p>
              </w:tc>
              <w:tc>
                <w:tcPr>
                  <w:tcW w:w="506" w:type="pct"/>
                  <w:vMerge w:val="continue"/>
                  <w:vAlign w:val="center"/>
                </w:tcPr>
                <w:p w14:paraId="26B8E10A">
                  <w:pPr>
                    <w:jc w:val="center"/>
                    <w:rPr>
                      <w:color w:val="000000" w:themeColor="text1"/>
                      <w:szCs w:val="21"/>
                      <w14:textFill>
                        <w14:solidFill>
                          <w14:schemeClr w14:val="tx1"/>
                        </w14:solidFill>
                      </w14:textFill>
                    </w:rPr>
                  </w:pPr>
                </w:p>
              </w:tc>
            </w:tr>
            <w:tr w14:paraId="008AF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 w:type="pct"/>
                  <w:vAlign w:val="center"/>
                </w:tcPr>
                <w:p w14:paraId="4945268D">
                  <w:pPr>
                    <w:jc w:val="center"/>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2</w:t>
                  </w:r>
                </w:p>
              </w:tc>
              <w:tc>
                <w:tcPr>
                  <w:tcW w:w="186" w:type="pct"/>
                  <w:vMerge w:val="continue"/>
                  <w:vAlign w:val="center"/>
                </w:tcPr>
                <w:p w14:paraId="72AA2F55">
                  <w:pPr>
                    <w:jc w:val="center"/>
                    <w:rPr>
                      <w:color w:val="000000" w:themeColor="text1"/>
                      <w14:textFill>
                        <w14:solidFill>
                          <w14:schemeClr w14:val="tx1"/>
                        </w14:solidFill>
                      </w14:textFill>
                    </w:rPr>
                  </w:pPr>
                </w:p>
              </w:tc>
              <w:tc>
                <w:tcPr>
                  <w:tcW w:w="421" w:type="pct"/>
                  <w:vAlign w:val="center"/>
                </w:tcPr>
                <w:p w14:paraId="45F706CB">
                  <w:pPr>
                    <w:jc w:val="center"/>
                    <w:rPr>
                      <w:color w:val="000000" w:themeColor="text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测漏机</w:t>
                  </w:r>
                </w:p>
              </w:tc>
              <w:tc>
                <w:tcPr>
                  <w:tcW w:w="373" w:type="pct"/>
                  <w:vAlign w:val="center"/>
                </w:tcPr>
                <w:p w14:paraId="52992C3D">
                  <w:pPr>
                    <w:jc w:val="center"/>
                    <w:rPr>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463" w:type="pct"/>
                  <w:vAlign w:val="center"/>
                </w:tcPr>
                <w:p w14:paraId="11B7F5E2">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76.99</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单台70</w:t>
                  </w:r>
                  <w:r>
                    <w:rPr>
                      <w:rFonts w:hint="eastAsia"/>
                      <w:color w:val="000000" w:themeColor="text1"/>
                      <w:szCs w:val="21"/>
                      <w:lang w:eastAsia="zh-CN"/>
                      <w14:textFill>
                        <w14:solidFill>
                          <w14:schemeClr w14:val="tx1"/>
                        </w14:solidFill>
                      </w14:textFill>
                    </w:rPr>
                    <w:t>）</w:t>
                  </w:r>
                </w:p>
              </w:tc>
              <w:tc>
                <w:tcPr>
                  <w:tcW w:w="281" w:type="pct"/>
                  <w:vMerge w:val="continue"/>
                  <w:vAlign w:val="center"/>
                </w:tcPr>
                <w:p w14:paraId="2DA42F26">
                  <w:pPr>
                    <w:jc w:val="center"/>
                    <w:rPr>
                      <w:color w:val="000000" w:themeColor="text1"/>
                      <w:kern w:val="0"/>
                      <w:szCs w:val="21"/>
                      <w:highlight w:val="none"/>
                      <w14:textFill>
                        <w14:solidFill>
                          <w14:schemeClr w14:val="tx1"/>
                        </w14:solidFill>
                      </w14:textFill>
                    </w:rPr>
                  </w:pPr>
                </w:p>
              </w:tc>
              <w:tc>
                <w:tcPr>
                  <w:tcW w:w="233" w:type="pct"/>
                  <w:vAlign w:val="center"/>
                </w:tcPr>
                <w:p w14:paraId="18E8B5D7">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24.2</w:t>
                  </w:r>
                </w:p>
              </w:tc>
              <w:tc>
                <w:tcPr>
                  <w:tcW w:w="233" w:type="pct"/>
                  <w:vAlign w:val="center"/>
                </w:tcPr>
                <w:p w14:paraId="63E4269A">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1.5</w:t>
                  </w:r>
                </w:p>
              </w:tc>
              <w:tc>
                <w:tcPr>
                  <w:tcW w:w="165" w:type="pct"/>
                  <w:vAlign w:val="center"/>
                </w:tcPr>
                <w:p w14:paraId="547BC7AA">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w:t>
                  </w:r>
                </w:p>
              </w:tc>
              <w:tc>
                <w:tcPr>
                  <w:tcW w:w="385" w:type="pct"/>
                  <w:vAlign w:val="center"/>
                </w:tcPr>
                <w:p w14:paraId="2A76EB44">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东：</w:t>
                  </w:r>
                  <w:r>
                    <w:rPr>
                      <w:rFonts w:hint="eastAsia"/>
                      <w:color w:val="000000" w:themeColor="text1"/>
                      <w:szCs w:val="21"/>
                      <w:highlight w:val="none"/>
                      <w:lang w:val="en-US" w:eastAsia="zh-CN"/>
                      <w14:textFill>
                        <w14:solidFill>
                          <w14:schemeClr w14:val="tx1"/>
                        </w14:solidFill>
                      </w14:textFill>
                    </w:rPr>
                    <w:t>68</w:t>
                  </w:r>
                </w:p>
                <w:p w14:paraId="008861EF">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南：</w:t>
                  </w:r>
                  <w:r>
                    <w:rPr>
                      <w:rFonts w:hint="eastAsia"/>
                      <w:color w:val="000000" w:themeColor="text1"/>
                      <w:szCs w:val="21"/>
                      <w:highlight w:val="none"/>
                      <w:lang w:val="en-US" w:eastAsia="zh-CN"/>
                      <w14:textFill>
                        <w14:solidFill>
                          <w14:schemeClr w14:val="tx1"/>
                        </w14:solidFill>
                      </w14:textFill>
                    </w:rPr>
                    <w:t>1.5</w:t>
                  </w:r>
                </w:p>
                <w:p w14:paraId="13ACC431">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西：</w:t>
                  </w:r>
                  <w:r>
                    <w:rPr>
                      <w:rFonts w:hint="eastAsia"/>
                      <w:color w:val="000000" w:themeColor="text1"/>
                      <w:szCs w:val="21"/>
                      <w:highlight w:val="none"/>
                      <w:lang w:val="en-US" w:eastAsia="zh-CN"/>
                      <w14:textFill>
                        <w14:solidFill>
                          <w14:schemeClr w14:val="tx1"/>
                        </w14:solidFill>
                      </w14:textFill>
                    </w:rPr>
                    <w:t>24.2</w:t>
                  </w:r>
                </w:p>
                <w:p w14:paraId="41948804">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北：</w:t>
                  </w:r>
                  <w:r>
                    <w:rPr>
                      <w:rFonts w:hint="eastAsia"/>
                      <w:color w:val="000000" w:themeColor="text1"/>
                      <w:szCs w:val="21"/>
                      <w:highlight w:val="none"/>
                      <w:lang w:val="en-US" w:eastAsia="zh-CN"/>
                      <w14:textFill>
                        <w14:solidFill>
                          <w14:schemeClr w14:val="tx1"/>
                        </w14:solidFill>
                      </w14:textFill>
                    </w:rPr>
                    <w:t>18.7</w:t>
                  </w:r>
                </w:p>
              </w:tc>
              <w:tc>
                <w:tcPr>
                  <w:tcW w:w="427" w:type="pct"/>
                  <w:vAlign w:val="center"/>
                </w:tcPr>
                <w:p w14:paraId="32FA97AF">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东：54.18</w:t>
                  </w:r>
                </w:p>
                <w:p w14:paraId="755C0AA2">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南：54.26</w:t>
                  </w:r>
                </w:p>
                <w:p w14:paraId="23F2C394">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西：54.07</w:t>
                  </w:r>
                </w:p>
                <w:p w14:paraId="70EDA799">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北：53.92</w:t>
                  </w:r>
                </w:p>
              </w:tc>
              <w:tc>
                <w:tcPr>
                  <w:tcW w:w="278" w:type="pct"/>
                  <w:vMerge w:val="continue"/>
                  <w:vAlign w:val="center"/>
                </w:tcPr>
                <w:p w14:paraId="57FC63EF">
                  <w:pPr>
                    <w:jc w:val="center"/>
                    <w:rPr>
                      <w:color w:val="000000" w:themeColor="text1"/>
                      <w:szCs w:val="21"/>
                      <w14:textFill>
                        <w14:solidFill>
                          <w14:schemeClr w14:val="tx1"/>
                        </w14:solidFill>
                      </w14:textFill>
                    </w:rPr>
                  </w:pPr>
                </w:p>
              </w:tc>
              <w:tc>
                <w:tcPr>
                  <w:tcW w:w="316" w:type="pct"/>
                  <w:vMerge w:val="continue"/>
                  <w:vAlign w:val="center"/>
                </w:tcPr>
                <w:p w14:paraId="72AE9D9A">
                  <w:pPr>
                    <w:jc w:val="center"/>
                    <w:rPr>
                      <w:color w:val="000000" w:themeColor="text1"/>
                      <w:szCs w:val="21"/>
                      <w14:textFill>
                        <w14:solidFill>
                          <w14:schemeClr w14:val="tx1"/>
                        </w14:solidFill>
                      </w14:textFill>
                    </w:rPr>
                  </w:pPr>
                </w:p>
              </w:tc>
              <w:tc>
                <w:tcPr>
                  <w:tcW w:w="556" w:type="pct"/>
                  <w:vMerge w:val="continue"/>
                  <w:vAlign w:val="center"/>
                </w:tcPr>
                <w:p w14:paraId="48E06865">
                  <w:pPr>
                    <w:jc w:val="center"/>
                    <w:rPr>
                      <w:color w:val="000000" w:themeColor="text1"/>
                      <w:szCs w:val="21"/>
                      <w14:textFill>
                        <w14:solidFill>
                          <w14:schemeClr w14:val="tx1"/>
                        </w14:solidFill>
                      </w14:textFill>
                    </w:rPr>
                  </w:pPr>
                </w:p>
              </w:tc>
              <w:tc>
                <w:tcPr>
                  <w:tcW w:w="506" w:type="pct"/>
                  <w:vMerge w:val="continue"/>
                  <w:vAlign w:val="center"/>
                </w:tcPr>
                <w:p w14:paraId="2ED3EBD1">
                  <w:pPr>
                    <w:jc w:val="center"/>
                    <w:rPr>
                      <w:color w:val="000000" w:themeColor="text1"/>
                      <w:szCs w:val="21"/>
                      <w14:textFill>
                        <w14:solidFill>
                          <w14:schemeClr w14:val="tx1"/>
                        </w14:solidFill>
                      </w14:textFill>
                    </w:rPr>
                  </w:pPr>
                </w:p>
              </w:tc>
            </w:tr>
          </w:tbl>
          <w:p w14:paraId="24CAEB2A">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表4.3-</w:t>
            </w: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 xml:space="preserve">   本项目</w:t>
            </w:r>
            <w:r>
              <w:rPr>
                <w:rFonts w:hint="eastAsia"/>
                <w:b/>
                <w:color w:val="000000" w:themeColor="text1"/>
                <w:szCs w:val="21"/>
                <w14:textFill>
                  <w14:solidFill>
                    <w14:schemeClr w14:val="tx1"/>
                  </w14:solidFill>
                </w14:textFill>
              </w:rPr>
              <w:t>噪声源强调查清单（室外声源）</w:t>
            </w:r>
          </w:p>
          <w:tbl>
            <w:tblPr>
              <w:tblStyle w:val="22"/>
              <w:tblW w:w="124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1779"/>
              <w:gridCol w:w="1780"/>
              <w:gridCol w:w="593"/>
              <w:gridCol w:w="593"/>
              <w:gridCol w:w="594"/>
              <w:gridCol w:w="1780"/>
              <w:gridCol w:w="1780"/>
              <w:gridCol w:w="1780"/>
            </w:tblGrid>
            <w:tr w14:paraId="51497D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779" w:type="dxa"/>
                  <w:vMerge w:val="restart"/>
                  <w:tcBorders>
                    <w:tl2br w:val="nil"/>
                    <w:tr2bl w:val="nil"/>
                  </w:tcBorders>
                  <w:vAlign w:val="center"/>
                </w:tcPr>
                <w:p w14:paraId="1A61BBC5">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序号</w:t>
                  </w:r>
                </w:p>
              </w:tc>
              <w:tc>
                <w:tcPr>
                  <w:tcW w:w="1779" w:type="dxa"/>
                  <w:vMerge w:val="restart"/>
                  <w:tcBorders>
                    <w:tl2br w:val="nil"/>
                    <w:tr2bl w:val="nil"/>
                  </w:tcBorders>
                  <w:vAlign w:val="center"/>
                </w:tcPr>
                <w:p w14:paraId="3BAAED0E">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声源设备</w:t>
                  </w:r>
                </w:p>
              </w:tc>
              <w:tc>
                <w:tcPr>
                  <w:tcW w:w="1780" w:type="dxa"/>
                  <w:vMerge w:val="restart"/>
                  <w:tcBorders>
                    <w:tl2br w:val="nil"/>
                    <w:tr2bl w:val="nil"/>
                  </w:tcBorders>
                  <w:vAlign w:val="center"/>
                </w:tcPr>
                <w:p w14:paraId="2AECAAD1">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数量</w:t>
                  </w:r>
                </w:p>
              </w:tc>
              <w:tc>
                <w:tcPr>
                  <w:tcW w:w="1780" w:type="dxa"/>
                  <w:gridSpan w:val="3"/>
                  <w:tcBorders>
                    <w:tl2br w:val="nil"/>
                    <w:tr2bl w:val="nil"/>
                  </w:tcBorders>
                  <w:vAlign w:val="center"/>
                </w:tcPr>
                <w:p w14:paraId="7DA6CBDD">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空间相对位置</w:t>
                  </w:r>
                </w:p>
              </w:tc>
              <w:tc>
                <w:tcPr>
                  <w:tcW w:w="1780" w:type="dxa"/>
                  <w:vMerge w:val="restart"/>
                  <w:tcBorders>
                    <w:tl2br w:val="nil"/>
                    <w:tr2bl w:val="nil"/>
                  </w:tcBorders>
                  <w:vAlign w:val="center"/>
                </w:tcPr>
                <w:p w14:paraId="1582A8A7">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声功率级/dB（A）</w:t>
                  </w:r>
                </w:p>
              </w:tc>
              <w:tc>
                <w:tcPr>
                  <w:tcW w:w="1780" w:type="dxa"/>
                  <w:vMerge w:val="restart"/>
                  <w:tcBorders>
                    <w:tl2br w:val="nil"/>
                    <w:tr2bl w:val="nil"/>
                  </w:tcBorders>
                  <w:vAlign w:val="center"/>
                </w:tcPr>
                <w:p w14:paraId="297E65BE">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声源控制措施</w:t>
                  </w:r>
                </w:p>
              </w:tc>
              <w:tc>
                <w:tcPr>
                  <w:tcW w:w="1780" w:type="dxa"/>
                  <w:vMerge w:val="restart"/>
                  <w:tcBorders>
                    <w:tl2br w:val="nil"/>
                    <w:tr2bl w:val="nil"/>
                  </w:tcBorders>
                  <w:vAlign w:val="center"/>
                </w:tcPr>
                <w:p w14:paraId="47F17893">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运行时段</w:t>
                  </w:r>
                </w:p>
              </w:tc>
            </w:tr>
            <w:tr w14:paraId="5C3A79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9" w:type="dxa"/>
                  <w:vMerge w:val="continue"/>
                  <w:tcBorders>
                    <w:tl2br w:val="nil"/>
                    <w:tr2bl w:val="nil"/>
                  </w:tcBorders>
                  <w:vAlign w:val="center"/>
                </w:tcPr>
                <w:p w14:paraId="08CD203B">
                  <w:pPr>
                    <w:adjustRightInd w:val="0"/>
                    <w:snapToGrid w:val="0"/>
                    <w:jc w:val="center"/>
                    <w:rPr>
                      <w:color w:val="000000" w:themeColor="text1"/>
                      <w14:textFill>
                        <w14:solidFill>
                          <w14:schemeClr w14:val="tx1"/>
                        </w14:solidFill>
                      </w14:textFill>
                    </w:rPr>
                  </w:pPr>
                </w:p>
              </w:tc>
              <w:tc>
                <w:tcPr>
                  <w:tcW w:w="1779" w:type="dxa"/>
                  <w:vMerge w:val="continue"/>
                  <w:tcBorders>
                    <w:tl2br w:val="nil"/>
                    <w:tr2bl w:val="nil"/>
                  </w:tcBorders>
                  <w:vAlign w:val="center"/>
                </w:tcPr>
                <w:p w14:paraId="48945167">
                  <w:pPr>
                    <w:adjustRightInd w:val="0"/>
                    <w:snapToGrid w:val="0"/>
                    <w:jc w:val="center"/>
                    <w:rPr>
                      <w:color w:val="000000" w:themeColor="text1"/>
                      <w14:textFill>
                        <w14:solidFill>
                          <w14:schemeClr w14:val="tx1"/>
                        </w14:solidFill>
                      </w14:textFill>
                    </w:rPr>
                  </w:pPr>
                </w:p>
              </w:tc>
              <w:tc>
                <w:tcPr>
                  <w:tcW w:w="1780" w:type="dxa"/>
                  <w:vMerge w:val="continue"/>
                  <w:tcBorders>
                    <w:tl2br w:val="nil"/>
                    <w:tr2bl w:val="nil"/>
                  </w:tcBorders>
                  <w:vAlign w:val="center"/>
                </w:tcPr>
                <w:p w14:paraId="228FA56D">
                  <w:pPr>
                    <w:adjustRightInd w:val="0"/>
                    <w:snapToGrid w:val="0"/>
                    <w:jc w:val="center"/>
                    <w:rPr>
                      <w:color w:val="000000" w:themeColor="text1"/>
                      <w14:textFill>
                        <w14:solidFill>
                          <w14:schemeClr w14:val="tx1"/>
                        </w14:solidFill>
                      </w14:textFill>
                    </w:rPr>
                  </w:pPr>
                </w:p>
              </w:tc>
              <w:tc>
                <w:tcPr>
                  <w:tcW w:w="593" w:type="dxa"/>
                  <w:tcBorders>
                    <w:tl2br w:val="nil"/>
                    <w:tr2bl w:val="nil"/>
                  </w:tcBorders>
                  <w:vAlign w:val="center"/>
                </w:tcPr>
                <w:p w14:paraId="0CDC589D">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X</w:t>
                  </w:r>
                </w:p>
              </w:tc>
              <w:tc>
                <w:tcPr>
                  <w:tcW w:w="593" w:type="dxa"/>
                  <w:tcBorders>
                    <w:tl2br w:val="nil"/>
                    <w:tr2bl w:val="nil"/>
                  </w:tcBorders>
                  <w:vAlign w:val="center"/>
                </w:tcPr>
                <w:p w14:paraId="16981E5D">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Y</w:t>
                  </w:r>
                </w:p>
              </w:tc>
              <w:tc>
                <w:tcPr>
                  <w:tcW w:w="594" w:type="dxa"/>
                  <w:tcBorders>
                    <w:tl2br w:val="nil"/>
                    <w:tr2bl w:val="nil"/>
                  </w:tcBorders>
                  <w:vAlign w:val="center"/>
                </w:tcPr>
                <w:p w14:paraId="3FE4DF08">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Z</w:t>
                  </w:r>
                </w:p>
              </w:tc>
              <w:tc>
                <w:tcPr>
                  <w:tcW w:w="1780" w:type="dxa"/>
                  <w:vMerge w:val="continue"/>
                  <w:tcBorders>
                    <w:tl2br w:val="nil"/>
                    <w:tr2bl w:val="nil"/>
                  </w:tcBorders>
                  <w:vAlign w:val="center"/>
                </w:tcPr>
                <w:p w14:paraId="7352519F">
                  <w:pPr>
                    <w:adjustRightInd w:val="0"/>
                    <w:snapToGrid w:val="0"/>
                    <w:jc w:val="center"/>
                    <w:rPr>
                      <w:color w:val="000000" w:themeColor="text1"/>
                      <w14:textFill>
                        <w14:solidFill>
                          <w14:schemeClr w14:val="tx1"/>
                        </w14:solidFill>
                      </w14:textFill>
                    </w:rPr>
                  </w:pPr>
                </w:p>
              </w:tc>
              <w:tc>
                <w:tcPr>
                  <w:tcW w:w="1780" w:type="dxa"/>
                  <w:vMerge w:val="continue"/>
                  <w:tcBorders>
                    <w:tl2br w:val="nil"/>
                    <w:tr2bl w:val="nil"/>
                  </w:tcBorders>
                  <w:vAlign w:val="center"/>
                </w:tcPr>
                <w:p w14:paraId="50577B01">
                  <w:pPr>
                    <w:adjustRightInd w:val="0"/>
                    <w:snapToGrid w:val="0"/>
                    <w:jc w:val="center"/>
                    <w:rPr>
                      <w:color w:val="000000" w:themeColor="text1"/>
                      <w14:textFill>
                        <w14:solidFill>
                          <w14:schemeClr w14:val="tx1"/>
                        </w14:solidFill>
                      </w14:textFill>
                    </w:rPr>
                  </w:pPr>
                </w:p>
              </w:tc>
              <w:tc>
                <w:tcPr>
                  <w:tcW w:w="1780" w:type="dxa"/>
                  <w:vMerge w:val="continue"/>
                  <w:tcBorders>
                    <w:tl2br w:val="nil"/>
                    <w:tr2bl w:val="nil"/>
                  </w:tcBorders>
                  <w:vAlign w:val="center"/>
                </w:tcPr>
                <w:p w14:paraId="762CC2CA">
                  <w:pPr>
                    <w:adjustRightInd w:val="0"/>
                    <w:snapToGrid w:val="0"/>
                    <w:jc w:val="center"/>
                    <w:rPr>
                      <w:color w:val="000000" w:themeColor="text1"/>
                      <w14:textFill>
                        <w14:solidFill>
                          <w14:schemeClr w14:val="tx1"/>
                        </w14:solidFill>
                      </w14:textFill>
                    </w:rPr>
                  </w:pPr>
                </w:p>
              </w:tc>
            </w:tr>
            <w:tr w14:paraId="51DB0B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779" w:type="dxa"/>
                  <w:tcBorders>
                    <w:tl2br w:val="nil"/>
                    <w:tr2bl w:val="nil"/>
                  </w:tcBorders>
                  <w:vAlign w:val="center"/>
                </w:tcPr>
                <w:p w14:paraId="4A91EADD">
                  <w:pPr>
                    <w:adjustRightInd w:val="0"/>
                    <w:snapToGrid w:val="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1</w:t>
                  </w:r>
                </w:p>
              </w:tc>
              <w:tc>
                <w:tcPr>
                  <w:tcW w:w="1779" w:type="dxa"/>
                  <w:tcBorders>
                    <w:tl2br w:val="nil"/>
                    <w:tr2bl w:val="nil"/>
                  </w:tcBorders>
                  <w:vAlign w:val="center"/>
                </w:tcPr>
                <w:p w14:paraId="79084101">
                  <w:pPr>
                    <w:adjustRightInd w:val="0"/>
                    <w:snapToGrid w:val="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风机</w:t>
                  </w:r>
                </w:p>
              </w:tc>
              <w:tc>
                <w:tcPr>
                  <w:tcW w:w="1780" w:type="dxa"/>
                  <w:tcBorders>
                    <w:tl2br w:val="nil"/>
                    <w:tr2bl w:val="nil"/>
                  </w:tcBorders>
                  <w:vAlign w:val="center"/>
                </w:tcPr>
                <w:p w14:paraId="5235581D">
                  <w:pPr>
                    <w:adjustRightInd w:val="0"/>
                    <w:snapToGrid w:val="0"/>
                    <w:jc w:val="center"/>
                    <w:rPr>
                      <w:rFonts w:hint="eastAsia" w:eastAsia="宋体"/>
                      <w:bCs/>
                      <w:color w:val="000000" w:themeColor="text1"/>
                      <w:szCs w:val="21"/>
                      <w:highlight w:val="none"/>
                      <w:lang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1</w:t>
                  </w:r>
                </w:p>
              </w:tc>
              <w:tc>
                <w:tcPr>
                  <w:tcW w:w="593" w:type="dxa"/>
                  <w:tcBorders>
                    <w:tl2br w:val="nil"/>
                    <w:tr2bl w:val="nil"/>
                  </w:tcBorders>
                  <w:vAlign w:val="center"/>
                </w:tcPr>
                <w:p w14:paraId="3C5B7CDA">
                  <w:pPr>
                    <w:jc w:val="center"/>
                    <w:rPr>
                      <w:rFonts w:hint="default"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17.8</w:t>
                  </w:r>
                </w:p>
              </w:tc>
              <w:tc>
                <w:tcPr>
                  <w:tcW w:w="593" w:type="dxa"/>
                  <w:tcBorders>
                    <w:tl2br w:val="nil"/>
                    <w:tr2bl w:val="nil"/>
                  </w:tcBorders>
                  <w:vAlign w:val="center"/>
                </w:tcPr>
                <w:p w14:paraId="420FF4A7">
                  <w:pPr>
                    <w:jc w:val="center"/>
                    <w:rPr>
                      <w:rFonts w:hint="default"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8.6</w:t>
                  </w:r>
                </w:p>
              </w:tc>
              <w:tc>
                <w:tcPr>
                  <w:tcW w:w="594" w:type="dxa"/>
                  <w:tcBorders>
                    <w:tl2br w:val="nil"/>
                    <w:tr2bl w:val="nil"/>
                  </w:tcBorders>
                  <w:vAlign w:val="center"/>
                </w:tcPr>
                <w:p w14:paraId="028329ED">
                  <w:pPr>
                    <w:jc w:val="center"/>
                    <w:rPr>
                      <w:rFonts w:hint="default" w:eastAsia="宋体"/>
                      <w:bCs/>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22</w:t>
                  </w:r>
                </w:p>
              </w:tc>
              <w:tc>
                <w:tcPr>
                  <w:tcW w:w="1780" w:type="dxa"/>
                  <w:tcBorders>
                    <w:tl2br w:val="nil"/>
                    <w:tr2bl w:val="nil"/>
                  </w:tcBorders>
                  <w:vAlign w:val="center"/>
                </w:tcPr>
                <w:p w14:paraId="6EEFB758">
                  <w:pPr>
                    <w:jc w:val="center"/>
                    <w:rPr>
                      <w:rFonts w:hint="eastAsia" w:eastAsia="宋体"/>
                      <w:bCs/>
                      <w:color w:val="000000" w:themeColor="text1"/>
                      <w:szCs w:val="21"/>
                      <w:highlight w:val="none"/>
                      <w:lang w:eastAsia="zh-CN"/>
                      <w14:textFill>
                        <w14:solidFill>
                          <w14:schemeClr w14:val="tx1"/>
                        </w14:solidFill>
                      </w14:textFill>
                    </w:rPr>
                  </w:pPr>
                  <w:r>
                    <w:rPr>
                      <w:rFonts w:hint="eastAsia"/>
                      <w:color w:val="000000" w:themeColor="text1"/>
                      <w:szCs w:val="21"/>
                      <w:highlight w:val="none"/>
                      <w14:textFill>
                        <w14:solidFill>
                          <w14:schemeClr w14:val="tx1"/>
                        </w14:solidFill>
                      </w14:textFill>
                    </w:rPr>
                    <w:t>8</w:t>
                  </w:r>
                  <w:r>
                    <w:rPr>
                      <w:rFonts w:hint="eastAsia"/>
                      <w:color w:val="000000" w:themeColor="text1"/>
                      <w:szCs w:val="21"/>
                      <w:highlight w:val="none"/>
                      <w:lang w:val="en-US" w:eastAsia="zh-CN"/>
                      <w14:textFill>
                        <w14:solidFill>
                          <w14:schemeClr w14:val="tx1"/>
                        </w14:solidFill>
                      </w14:textFill>
                    </w:rPr>
                    <w:t>5</w:t>
                  </w:r>
                </w:p>
              </w:tc>
              <w:tc>
                <w:tcPr>
                  <w:tcW w:w="1780" w:type="dxa"/>
                  <w:vMerge w:val="restart"/>
                  <w:tcBorders>
                    <w:tl2br w:val="nil"/>
                    <w:tr2bl w:val="nil"/>
                  </w:tcBorders>
                  <w:vAlign w:val="center"/>
                </w:tcPr>
                <w:p w14:paraId="61843A51">
                  <w:pPr>
                    <w:adjustRightInd w:val="0"/>
                    <w:snapToGrid w:val="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减振、消声、距离衰减</w:t>
                  </w:r>
                </w:p>
              </w:tc>
              <w:tc>
                <w:tcPr>
                  <w:tcW w:w="1780" w:type="dxa"/>
                  <w:vMerge w:val="restart"/>
                  <w:tcBorders>
                    <w:tl2br w:val="nil"/>
                    <w:tr2bl w:val="nil"/>
                  </w:tcBorders>
                  <w:vAlign w:val="center"/>
                </w:tcPr>
                <w:p w14:paraId="704A467D">
                  <w:pPr>
                    <w:adjustRightInd w:val="0"/>
                    <w:snapToGrid w:val="0"/>
                    <w:jc w:val="center"/>
                    <w:rPr>
                      <w:rFonts w:hint="default" w:eastAsia="宋体"/>
                      <w:bCs/>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昼</w:t>
                  </w:r>
                  <w:r>
                    <w:rPr>
                      <w:rFonts w:hint="eastAsia"/>
                      <w:color w:val="000000" w:themeColor="text1"/>
                      <w:szCs w:val="21"/>
                      <w:lang w:val="en-US" w:eastAsia="zh-CN"/>
                      <w14:textFill>
                        <w14:solidFill>
                          <w14:schemeClr w14:val="tx1"/>
                        </w14:solidFill>
                      </w14:textFill>
                    </w:rPr>
                    <w:t>夜</w:t>
                  </w:r>
                  <w:r>
                    <w:rPr>
                      <w:rFonts w:hint="eastAsia"/>
                      <w:color w:val="000000" w:themeColor="text1"/>
                      <w:szCs w:val="21"/>
                      <w14:textFill>
                        <w14:solidFill>
                          <w14:schemeClr w14:val="tx1"/>
                        </w14:solidFill>
                      </w14:textFill>
                    </w:rPr>
                    <w:t>生产</w:t>
                  </w:r>
                  <w:r>
                    <w:rPr>
                      <w:rFonts w:hint="eastAsia"/>
                      <w:color w:val="000000" w:themeColor="text1"/>
                      <w:szCs w:val="21"/>
                      <w:lang w:val="en-US" w:eastAsia="zh-CN"/>
                      <w14:textFill>
                        <w14:solidFill>
                          <w14:schemeClr w14:val="tx1"/>
                        </w14:solidFill>
                      </w14:textFill>
                    </w:rPr>
                    <w:t>24</w:t>
                  </w:r>
                  <w:r>
                    <w:rPr>
                      <w:rFonts w:hint="eastAsia"/>
                      <w:color w:val="000000" w:themeColor="text1"/>
                      <w:szCs w:val="21"/>
                      <w14:textFill>
                        <w14:solidFill>
                          <w14:schemeClr w14:val="tx1"/>
                        </w14:solidFill>
                      </w14:textFill>
                    </w:rPr>
                    <w:t>h/d</w:t>
                  </w:r>
                </w:p>
              </w:tc>
            </w:tr>
            <w:tr w14:paraId="4373A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779" w:type="dxa"/>
                  <w:tcBorders>
                    <w:tl2br w:val="nil"/>
                    <w:tr2bl w:val="nil"/>
                  </w:tcBorders>
                  <w:vAlign w:val="center"/>
                </w:tcPr>
                <w:p w14:paraId="60664548">
                  <w:pPr>
                    <w:adjustRightInd w:val="0"/>
                    <w:snapToGrid w:val="0"/>
                    <w:jc w:val="center"/>
                    <w:rPr>
                      <w:rFonts w:hint="eastAsia"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2</w:t>
                  </w:r>
                </w:p>
              </w:tc>
              <w:tc>
                <w:tcPr>
                  <w:tcW w:w="1779" w:type="dxa"/>
                  <w:tcBorders>
                    <w:tl2br w:val="nil"/>
                    <w:tr2bl w:val="nil"/>
                  </w:tcBorders>
                  <w:vAlign w:val="center"/>
                </w:tcPr>
                <w:p w14:paraId="2259CD5F">
                  <w:pPr>
                    <w:adjustRightInd w:val="0"/>
                    <w:snapToGrid w:val="0"/>
                    <w:jc w:val="center"/>
                    <w:rPr>
                      <w:rFonts w:hint="eastAsia"/>
                      <w:bCs/>
                      <w:color w:val="000000" w:themeColor="text1"/>
                      <w:szCs w:val="21"/>
                      <w:highlight w:val="none"/>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空压机</w:t>
                  </w:r>
                </w:p>
              </w:tc>
              <w:tc>
                <w:tcPr>
                  <w:tcW w:w="1780" w:type="dxa"/>
                  <w:tcBorders>
                    <w:tl2br w:val="nil"/>
                    <w:tr2bl w:val="nil"/>
                  </w:tcBorders>
                  <w:vAlign w:val="center"/>
                </w:tcPr>
                <w:p w14:paraId="73EA1ACE">
                  <w:pPr>
                    <w:adjustRightInd w:val="0"/>
                    <w:snapToGrid w:val="0"/>
                    <w:jc w:val="center"/>
                    <w:rPr>
                      <w:rFonts w:hint="default"/>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2</w:t>
                  </w:r>
                </w:p>
              </w:tc>
              <w:tc>
                <w:tcPr>
                  <w:tcW w:w="593" w:type="dxa"/>
                  <w:tcBorders>
                    <w:tl2br w:val="nil"/>
                    <w:tr2bl w:val="nil"/>
                  </w:tcBorders>
                  <w:vAlign w:val="center"/>
                </w:tcPr>
                <w:p w14:paraId="2BA98204">
                  <w:pPr>
                    <w:jc w:val="center"/>
                    <w:rPr>
                      <w:rFonts w:hint="default"/>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9</w:t>
                  </w:r>
                </w:p>
              </w:tc>
              <w:tc>
                <w:tcPr>
                  <w:tcW w:w="593" w:type="dxa"/>
                  <w:tcBorders>
                    <w:tl2br w:val="nil"/>
                    <w:tr2bl w:val="nil"/>
                  </w:tcBorders>
                  <w:vAlign w:val="center"/>
                </w:tcPr>
                <w:p w14:paraId="224E4BB2">
                  <w:pPr>
                    <w:jc w:val="center"/>
                    <w:rPr>
                      <w:rFonts w:hint="default"/>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-2</w:t>
                  </w:r>
                </w:p>
              </w:tc>
              <w:tc>
                <w:tcPr>
                  <w:tcW w:w="594" w:type="dxa"/>
                  <w:tcBorders>
                    <w:tl2br w:val="nil"/>
                    <w:tr2bl w:val="nil"/>
                  </w:tcBorders>
                  <w:vAlign w:val="center"/>
                </w:tcPr>
                <w:p w14:paraId="4692992A">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1780" w:type="dxa"/>
                  <w:tcBorders>
                    <w:tl2br w:val="nil"/>
                    <w:tr2bl w:val="nil"/>
                  </w:tcBorders>
                  <w:vAlign w:val="center"/>
                </w:tcPr>
                <w:p w14:paraId="4386BF51">
                  <w:pPr>
                    <w:jc w:val="center"/>
                    <w:rPr>
                      <w:rFonts w:hint="eastAsia"/>
                      <w:color w:val="000000" w:themeColor="text1"/>
                      <w:szCs w:val="21"/>
                      <w:highlight w:val="none"/>
                      <w14:textFill>
                        <w14:solidFill>
                          <w14:schemeClr w14:val="tx1"/>
                        </w14:solidFill>
                      </w14:textFill>
                    </w:rPr>
                  </w:pPr>
                  <w:r>
                    <w:rPr>
                      <w:rFonts w:hint="eastAsia"/>
                      <w:color w:val="000000" w:themeColor="text1"/>
                      <w:szCs w:val="21"/>
                      <w:lang w:val="en-US" w:eastAsia="zh-CN"/>
                      <w14:textFill>
                        <w14:solidFill>
                          <w14:schemeClr w14:val="tx1"/>
                        </w14:solidFill>
                      </w14:textFill>
                    </w:rPr>
                    <w:t>88.01</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单台85</w:t>
                  </w:r>
                  <w:r>
                    <w:rPr>
                      <w:rFonts w:hint="eastAsia"/>
                      <w:color w:val="000000" w:themeColor="text1"/>
                      <w:szCs w:val="21"/>
                      <w:lang w:eastAsia="zh-CN"/>
                      <w14:textFill>
                        <w14:solidFill>
                          <w14:schemeClr w14:val="tx1"/>
                        </w14:solidFill>
                      </w14:textFill>
                    </w:rPr>
                    <w:t>）</w:t>
                  </w:r>
                </w:p>
              </w:tc>
              <w:tc>
                <w:tcPr>
                  <w:tcW w:w="1780" w:type="dxa"/>
                  <w:vMerge w:val="continue"/>
                  <w:tcBorders>
                    <w:tl2br w:val="nil"/>
                    <w:tr2bl w:val="nil"/>
                  </w:tcBorders>
                  <w:vAlign w:val="center"/>
                </w:tcPr>
                <w:p w14:paraId="7B85A897">
                  <w:pPr>
                    <w:adjustRightInd w:val="0"/>
                    <w:snapToGrid w:val="0"/>
                    <w:jc w:val="center"/>
                    <w:rPr>
                      <w:rFonts w:hint="eastAsia"/>
                      <w:bCs/>
                      <w:color w:val="000000" w:themeColor="text1"/>
                      <w:szCs w:val="21"/>
                      <w:lang w:val="en-US" w:eastAsia="zh-CN"/>
                      <w14:textFill>
                        <w14:solidFill>
                          <w14:schemeClr w14:val="tx1"/>
                        </w14:solidFill>
                      </w14:textFill>
                    </w:rPr>
                  </w:pPr>
                </w:p>
              </w:tc>
              <w:tc>
                <w:tcPr>
                  <w:tcW w:w="1780" w:type="dxa"/>
                  <w:vMerge w:val="continue"/>
                  <w:tcBorders>
                    <w:tl2br w:val="nil"/>
                    <w:tr2bl w:val="nil"/>
                  </w:tcBorders>
                  <w:vAlign w:val="center"/>
                </w:tcPr>
                <w:p w14:paraId="3F8A5A0E">
                  <w:pPr>
                    <w:adjustRightInd w:val="0"/>
                    <w:snapToGrid w:val="0"/>
                    <w:jc w:val="center"/>
                    <w:rPr>
                      <w:rFonts w:hint="eastAsia"/>
                      <w:color w:val="000000" w:themeColor="text1"/>
                      <w:szCs w:val="21"/>
                      <w14:textFill>
                        <w14:solidFill>
                          <w14:schemeClr w14:val="tx1"/>
                        </w14:solidFill>
                      </w14:textFill>
                    </w:rPr>
                  </w:pPr>
                </w:p>
              </w:tc>
            </w:tr>
            <w:tr w14:paraId="38E0CB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779" w:type="dxa"/>
                  <w:tcBorders>
                    <w:tl2br w:val="nil"/>
                    <w:tr2bl w:val="nil"/>
                  </w:tcBorders>
                  <w:vAlign w:val="center"/>
                </w:tcPr>
                <w:p w14:paraId="7E4D9AE9">
                  <w:pPr>
                    <w:adjustRightInd w:val="0"/>
                    <w:snapToGrid w:val="0"/>
                    <w:jc w:val="center"/>
                    <w:rPr>
                      <w:rFonts w:hint="eastAsia"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3</w:t>
                  </w:r>
                </w:p>
              </w:tc>
              <w:tc>
                <w:tcPr>
                  <w:tcW w:w="1779" w:type="dxa"/>
                  <w:tcBorders>
                    <w:tl2br w:val="nil"/>
                    <w:tr2bl w:val="nil"/>
                  </w:tcBorders>
                  <w:vAlign w:val="center"/>
                </w:tcPr>
                <w:p w14:paraId="5AA5A5CE">
                  <w:pPr>
                    <w:adjustRightInd w:val="0"/>
                    <w:snapToGrid w:val="0"/>
                    <w:jc w:val="center"/>
                    <w:rPr>
                      <w:rFonts w:hint="eastAsia"/>
                      <w:bCs/>
                      <w:color w:val="000000" w:themeColor="text1"/>
                      <w:szCs w:val="21"/>
                      <w:highlight w:val="none"/>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冷却塔</w:t>
                  </w:r>
                </w:p>
              </w:tc>
              <w:tc>
                <w:tcPr>
                  <w:tcW w:w="1780" w:type="dxa"/>
                  <w:tcBorders>
                    <w:tl2br w:val="nil"/>
                    <w:tr2bl w:val="nil"/>
                  </w:tcBorders>
                  <w:vAlign w:val="center"/>
                </w:tcPr>
                <w:p w14:paraId="07BA1425">
                  <w:pPr>
                    <w:adjustRightInd w:val="0"/>
                    <w:snapToGrid w:val="0"/>
                    <w:jc w:val="center"/>
                    <w:rPr>
                      <w:rFonts w:hint="default"/>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1</w:t>
                  </w:r>
                </w:p>
              </w:tc>
              <w:tc>
                <w:tcPr>
                  <w:tcW w:w="593" w:type="dxa"/>
                  <w:tcBorders>
                    <w:tl2br w:val="nil"/>
                    <w:tr2bl w:val="nil"/>
                  </w:tcBorders>
                  <w:vAlign w:val="center"/>
                </w:tcPr>
                <w:p w14:paraId="638A0B3E">
                  <w:pPr>
                    <w:jc w:val="center"/>
                    <w:rPr>
                      <w:rFonts w:hint="default"/>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13</w:t>
                  </w:r>
                </w:p>
              </w:tc>
              <w:tc>
                <w:tcPr>
                  <w:tcW w:w="593" w:type="dxa"/>
                  <w:tcBorders>
                    <w:tl2br w:val="nil"/>
                    <w:tr2bl w:val="nil"/>
                  </w:tcBorders>
                  <w:vAlign w:val="center"/>
                </w:tcPr>
                <w:p w14:paraId="6AB52643">
                  <w:pPr>
                    <w:jc w:val="center"/>
                    <w:rPr>
                      <w:rFonts w:hint="default"/>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-2</w:t>
                  </w:r>
                </w:p>
              </w:tc>
              <w:tc>
                <w:tcPr>
                  <w:tcW w:w="594" w:type="dxa"/>
                  <w:tcBorders>
                    <w:tl2br w:val="nil"/>
                    <w:tr2bl w:val="nil"/>
                  </w:tcBorders>
                  <w:vAlign w:val="center"/>
                </w:tcPr>
                <w:p w14:paraId="65F9A927">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1780" w:type="dxa"/>
                  <w:tcBorders>
                    <w:tl2br w:val="nil"/>
                    <w:tr2bl w:val="nil"/>
                  </w:tcBorders>
                  <w:vAlign w:val="center"/>
                </w:tcPr>
                <w:p w14:paraId="02ADA0D5">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r>
                    <w:rPr>
                      <w:rFonts w:hint="eastAsia"/>
                      <w:color w:val="000000" w:themeColor="text1"/>
                      <w:szCs w:val="21"/>
                      <w:highlight w:val="none"/>
                      <w:lang w:val="en-US" w:eastAsia="zh-CN"/>
                      <w14:textFill>
                        <w14:solidFill>
                          <w14:schemeClr w14:val="tx1"/>
                        </w14:solidFill>
                      </w14:textFill>
                    </w:rPr>
                    <w:t>5</w:t>
                  </w:r>
                </w:p>
              </w:tc>
              <w:tc>
                <w:tcPr>
                  <w:tcW w:w="1780" w:type="dxa"/>
                  <w:vMerge w:val="continue"/>
                  <w:tcBorders>
                    <w:tl2br w:val="nil"/>
                    <w:tr2bl w:val="nil"/>
                  </w:tcBorders>
                  <w:vAlign w:val="center"/>
                </w:tcPr>
                <w:p w14:paraId="18DDBA62">
                  <w:pPr>
                    <w:adjustRightInd w:val="0"/>
                    <w:snapToGrid w:val="0"/>
                    <w:jc w:val="center"/>
                    <w:rPr>
                      <w:rFonts w:hint="eastAsia"/>
                      <w:bCs/>
                      <w:color w:val="000000" w:themeColor="text1"/>
                      <w:szCs w:val="21"/>
                      <w:lang w:val="en-US" w:eastAsia="zh-CN"/>
                      <w14:textFill>
                        <w14:solidFill>
                          <w14:schemeClr w14:val="tx1"/>
                        </w14:solidFill>
                      </w14:textFill>
                    </w:rPr>
                  </w:pPr>
                </w:p>
              </w:tc>
              <w:tc>
                <w:tcPr>
                  <w:tcW w:w="1780" w:type="dxa"/>
                  <w:vMerge w:val="continue"/>
                  <w:tcBorders>
                    <w:tl2br w:val="nil"/>
                    <w:tr2bl w:val="nil"/>
                  </w:tcBorders>
                  <w:vAlign w:val="center"/>
                </w:tcPr>
                <w:p w14:paraId="420AA4E1">
                  <w:pPr>
                    <w:adjustRightInd w:val="0"/>
                    <w:snapToGrid w:val="0"/>
                    <w:jc w:val="center"/>
                    <w:rPr>
                      <w:rFonts w:hint="eastAsia"/>
                      <w:color w:val="000000" w:themeColor="text1"/>
                      <w:szCs w:val="21"/>
                      <w14:textFill>
                        <w14:solidFill>
                          <w14:schemeClr w14:val="tx1"/>
                        </w14:solidFill>
                      </w14:textFill>
                    </w:rPr>
                  </w:pPr>
                </w:p>
              </w:tc>
            </w:tr>
          </w:tbl>
          <w:p w14:paraId="3148DAFB">
            <w:pPr>
              <w:spacing w:line="420" w:lineRule="exact"/>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备注：</w:t>
            </w:r>
            <w:r>
              <w:rPr>
                <w:rFonts w:hint="eastAsia"/>
                <w:bCs/>
                <w:color w:val="000000" w:themeColor="text1"/>
                <w:spacing w:val="-10"/>
                <w:szCs w:val="21"/>
                <w14:textFill>
                  <w14:solidFill>
                    <w14:schemeClr w14:val="tx1"/>
                  </w14:solidFill>
                </w14:textFill>
              </w:rPr>
              <w:t>以厂</w:t>
            </w:r>
            <w:r>
              <w:rPr>
                <w:rFonts w:hint="eastAsia"/>
                <w:bCs/>
                <w:color w:val="000000" w:themeColor="text1"/>
                <w:spacing w:val="-10"/>
                <w:szCs w:val="21"/>
                <w:lang w:val="en-US" w:eastAsia="zh-CN"/>
                <w14:textFill>
                  <w14:solidFill>
                    <w14:schemeClr w14:val="tx1"/>
                  </w14:solidFill>
                </w14:textFill>
              </w:rPr>
              <w:t>房</w:t>
            </w:r>
            <w:r>
              <w:rPr>
                <w:rFonts w:hint="eastAsia"/>
                <w:bCs/>
                <w:color w:val="000000" w:themeColor="text1"/>
                <w:spacing w:val="-10"/>
                <w:szCs w:val="21"/>
                <w14:textFill>
                  <w14:solidFill>
                    <w14:schemeClr w14:val="tx1"/>
                  </w14:solidFill>
                </w14:textFill>
              </w:rPr>
              <w:t>西南角地面作为坐标零点（0，0，0），</w:t>
            </w:r>
            <w:r>
              <w:rPr>
                <w:rFonts w:hint="eastAsia"/>
                <w:bCs/>
                <w:color w:val="000000" w:themeColor="text1"/>
                <w:spacing w:val="-10"/>
                <w:szCs w:val="21"/>
                <w:lang w:val="en-US" w:eastAsia="zh-CN"/>
                <w14:textFill>
                  <w14:solidFill>
                    <w14:schemeClr w14:val="tx1"/>
                  </w14:solidFill>
                </w14:textFill>
              </w:rPr>
              <w:t>厂房西南侧边界</w:t>
            </w:r>
            <w:r>
              <w:rPr>
                <w:rFonts w:hint="eastAsia"/>
                <w:bCs/>
                <w:color w:val="000000" w:themeColor="text1"/>
                <w:spacing w:val="-10"/>
                <w:szCs w:val="21"/>
                <w14:textFill>
                  <w14:solidFill>
                    <w14:schemeClr w14:val="tx1"/>
                  </w14:solidFill>
                </w14:textFill>
              </w:rPr>
              <w:t>方向为X轴正方向，</w:t>
            </w:r>
            <w:r>
              <w:rPr>
                <w:rFonts w:hint="eastAsia"/>
                <w:bCs/>
                <w:color w:val="000000" w:themeColor="text1"/>
                <w:spacing w:val="-10"/>
                <w:szCs w:val="21"/>
                <w:lang w:val="en-US" w:eastAsia="zh-CN"/>
                <w14:textFill>
                  <w14:solidFill>
                    <w14:schemeClr w14:val="tx1"/>
                  </w14:solidFill>
                </w14:textFill>
              </w:rPr>
              <w:t>厂房西北侧边界</w:t>
            </w:r>
            <w:r>
              <w:rPr>
                <w:rFonts w:hint="eastAsia"/>
                <w:bCs/>
                <w:color w:val="000000" w:themeColor="text1"/>
                <w:spacing w:val="-10"/>
                <w:szCs w:val="21"/>
                <w14:textFill>
                  <w14:solidFill>
                    <w14:schemeClr w14:val="tx1"/>
                  </w14:solidFill>
                </w14:textFill>
              </w:rPr>
              <w:t>方向为Y轴正方向，</w:t>
            </w:r>
            <w:r>
              <w:rPr>
                <w:rFonts w:hint="eastAsia"/>
                <w:bCs/>
                <w:color w:val="000000" w:themeColor="text1"/>
                <w:spacing w:val="-10"/>
                <w:szCs w:val="21"/>
                <w:lang w:val="en-US" w:eastAsia="zh-CN"/>
                <w14:textFill>
                  <w14:solidFill>
                    <w14:schemeClr w14:val="tx1"/>
                  </w14:solidFill>
                </w14:textFill>
              </w:rPr>
              <w:t>地面垂直</w:t>
            </w:r>
            <w:r>
              <w:rPr>
                <w:rFonts w:hint="eastAsia"/>
                <w:bCs/>
                <w:color w:val="000000" w:themeColor="text1"/>
                <w:spacing w:val="-10"/>
                <w:szCs w:val="21"/>
                <w14:textFill>
                  <w14:solidFill>
                    <w14:schemeClr w14:val="tx1"/>
                  </w14:solidFill>
                </w14:textFill>
              </w:rPr>
              <w:t>向上为Z轴正方向</w:t>
            </w:r>
            <w:r>
              <w:rPr>
                <w:rFonts w:hint="eastAsia"/>
                <w:color w:val="000000" w:themeColor="text1"/>
                <w:szCs w:val="21"/>
                <w14:textFill>
                  <w14:solidFill>
                    <w14:schemeClr w14:val="tx1"/>
                  </w14:solidFill>
                </w14:textFill>
              </w:rPr>
              <w:t>。</w:t>
            </w:r>
          </w:p>
        </w:tc>
      </w:tr>
    </w:tbl>
    <w:p w14:paraId="422BA7F5">
      <w:pPr>
        <w:pStyle w:val="10"/>
        <w:rPr>
          <w:color w:val="000000" w:themeColor="text1"/>
          <w14:textFill>
            <w14:solidFill>
              <w14:schemeClr w14:val="tx1"/>
            </w14:solidFill>
          </w14:textFill>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
        <w:gridCol w:w="8731"/>
      </w:tblGrid>
      <w:tr w14:paraId="20BA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tcPr>
          <w:p w14:paraId="75E70D7C">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运营</w:t>
            </w:r>
          </w:p>
          <w:p w14:paraId="39004B09">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期环</w:t>
            </w:r>
          </w:p>
          <w:p w14:paraId="5B310CF6">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境影</w:t>
            </w:r>
          </w:p>
          <w:p w14:paraId="4F0BB73C">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响和</w:t>
            </w:r>
          </w:p>
          <w:p w14:paraId="066E1C5B">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保护</w:t>
            </w:r>
          </w:p>
          <w:p w14:paraId="7E2565C1">
            <w:pPr>
              <w:pStyle w:val="10"/>
              <w:numPr>
                <w:ilvl w:val="0"/>
                <w:numId w:val="0"/>
              </w:numPr>
              <w:ind w:left="1680"/>
              <w:rPr>
                <w:color w:val="000000" w:themeColor="text1"/>
                <w14:textFill>
                  <w14:solidFill>
                    <w14:schemeClr w14:val="tx1"/>
                  </w14:solidFill>
                </w14:textFill>
              </w:rPr>
            </w:pPr>
          </w:p>
        </w:tc>
        <w:tc>
          <w:tcPr>
            <w:tcW w:w="8625" w:type="dxa"/>
          </w:tcPr>
          <w:p w14:paraId="4D2443FB">
            <w:pPr>
              <w:pStyle w:val="2"/>
              <w:spacing w:before="0" w:after="0" w:line="420" w:lineRule="exact"/>
              <w:ind w:right="0" w:firstLine="422" w:firstLineChars="200"/>
              <w:rPr>
                <w:b/>
                <w:bCs/>
                <w:color w:val="000000" w:themeColor="text1"/>
                <w:sz w:val="21"/>
                <w:szCs w:val="22"/>
                <w14:textFill>
                  <w14:solidFill>
                    <w14:schemeClr w14:val="tx1"/>
                  </w14:solidFill>
                </w14:textFill>
              </w:rPr>
            </w:pPr>
            <w:r>
              <w:rPr>
                <w:b/>
                <w:bCs/>
                <w:color w:val="000000" w:themeColor="text1"/>
                <w:sz w:val="21"/>
                <w:szCs w:val="22"/>
                <w14:textFill>
                  <w14:solidFill>
                    <w14:schemeClr w14:val="tx1"/>
                  </w14:solidFill>
                </w14:textFill>
              </w:rPr>
              <w:t>4.3.2污染防治措施</w:t>
            </w:r>
          </w:p>
          <w:p w14:paraId="0850B102">
            <w:pPr>
              <w:snapToGrid w:val="0"/>
              <w:spacing w:line="420" w:lineRule="exact"/>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建设单位</w:t>
            </w:r>
            <w:r>
              <w:rPr>
                <w:bCs/>
                <w:color w:val="000000" w:themeColor="text1"/>
                <w:szCs w:val="21"/>
                <w14:textFill>
                  <w14:solidFill>
                    <w14:schemeClr w14:val="tx1"/>
                  </w14:solidFill>
                </w14:textFill>
              </w:rPr>
              <w:t>将主要产噪设备合理布局，根据不同设备采取相应的降噪措施，具体如下：</w:t>
            </w:r>
          </w:p>
          <w:p w14:paraId="1430A662">
            <w:pPr>
              <w:snapToGrid w:val="0"/>
              <w:spacing w:line="42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①控制设备噪声</w:t>
            </w:r>
          </w:p>
          <w:p w14:paraId="664A9F80">
            <w:pPr>
              <w:pStyle w:val="10"/>
              <w:numPr>
                <w:ilvl w:val="0"/>
                <w:numId w:val="0"/>
              </w:numPr>
              <w:spacing w:line="42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在设备选型时选用先进的低噪声设备，在满足工艺设计前提下，尽量选用满足国际标准</w:t>
            </w:r>
          </w:p>
          <w:p w14:paraId="343794A8">
            <w:pPr>
              <w:snapToGrid w:val="0"/>
              <w:spacing w:line="420" w:lineRule="exac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的低噪声、低振动型号设备，从源头上控制噪声产生。</w:t>
            </w:r>
          </w:p>
          <w:p w14:paraId="11F69751">
            <w:pPr>
              <w:snapToGrid w:val="0"/>
              <w:spacing w:line="42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②设备减振、隔声</w:t>
            </w:r>
          </w:p>
          <w:p w14:paraId="01562A19">
            <w:pPr>
              <w:snapToGrid w:val="0"/>
              <w:spacing w:line="42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对空压机等高噪声设备在机组与地基之间安置减振底座，可以降噪约1</w:t>
            </w:r>
            <w:r>
              <w:rPr>
                <w:rFonts w:hint="eastAsia"/>
                <w:bCs/>
                <w:color w:val="000000" w:themeColor="text1"/>
                <w:szCs w:val="21"/>
                <w14:textFill>
                  <w14:solidFill>
                    <w14:schemeClr w14:val="tx1"/>
                  </w14:solidFill>
                </w14:textFill>
              </w:rPr>
              <w:t>0</w:t>
            </w:r>
            <w:r>
              <w:rPr>
                <w:bCs/>
                <w:color w:val="000000" w:themeColor="text1"/>
                <w:szCs w:val="21"/>
                <w14:textFill>
                  <w14:solidFill>
                    <w14:schemeClr w14:val="tx1"/>
                  </w14:solidFill>
                </w14:textFill>
              </w:rPr>
              <w:t>dB（A）左右。</w:t>
            </w:r>
          </w:p>
          <w:p w14:paraId="69B4821F">
            <w:pPr>
              <w:snapToGrid w:val="0"/>
              <w:spacing w:line="42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③加强建筑物隔声措施</w:t>
            </w:r>
          </w:p>
          <w:p w14:paraId="7D77D695">
            <w:pPr>
              <w:snapToGrid w:val="0"/>
              <w:spacing w:line="42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各类设备均安置在室内，生产时门窗关闭，有效利用了建筑隔声，防止噪声的扩散和传播，采取隔声措施并经距离衰减后，降噪量约</w:t>
            </w:r>
            <w:r>
              <w:rPr>
                <w:rFonts w:hint="eastAsia"/>
                <w:bCs/>
                <w:color w:val="000000" w:themeColor="text1"/>
                <w:szCs w:val="21"/>
                <w14:textFill>
                  <w14:solidFill>
                    <w14:schemeClr w14:val="tx1"/>
                  </w14:solidFill>
                </w14:textFill>
              </w:rPr>
              <w:t>5</w:t>
            </w:r>
            <w:r>
              <w:rPr>
                <w:bCs/>
                <w:color w:val="000000" w:themeColor="text1"/>
                <w:szCs w:val="21"/>
                <w14:textFill>
                  <w14:solidFill>
                    <w14:schemeClr w14:val="tx1"/>
                  </w14:solidFill>
                </w14:textFill>
              </w:rPr>
              <w:t>dB（A）左右。</w:t>
            </w:r>
          </w:p>
          <w:p w14:paraId="493BB627">
            <w:pPr>
              <w:snapToGrid w:val="0"/>
              <w:spacing w:line="42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④强化生产管理</w:t>
            </w:r>
          </w:p>
          <w:p w14:paraId="5FC57997">
            <w:pPr>
              <w:snapToGrid w:val="0"/>
              <w:spacing w:line="42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定期对设备进行检查维护，确保各设备均保持良好的运行状态，防止突发噪声。</w:t>
            </w:r>
          </w:p>
          <w:p w14:paraId="7520C46E">
            <w:pPr>
              <w:snapToGrid w:val="0"/>
              <w:spacing w:line="42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⑤合理布局</w:t>
            </w:r>
          </w:p>
          <w:p w14:paraId="5624FF2F">
            <w:pPr>
              <w:pStyle w:val="7"/>
              <w:spacing w:line="420" w:lineRule="exact"/>
              <w:rPr>
                <w:color w:val="000000" w:themeColor="text1"/>
                <w:szCs w:val="21"/>
                <w14:textFill>
                  <w14:solidFill>
                    <w14:schemeClr w14:val="tx1"/>
                  </w14:solidFill>
                </w14:textFill>
              </w:rPr>
            </w:pPr>
            <w:r>
              <w:rPr>
                <w:bCs/>
                <w:color w:val="000000" w:themeColor="text1"/>
                <w:szCs w:val="21"/>
                <w14:textFill>
                  <w14:solidFill>
                    <w14:schemeClr w14:val="tx1"/>
                  </w14:solidFill>
                </w14:textFill>
              </w:rPr>
              <w:t>按照《工业企业噪声控制设计规范》对厂内主要噪声源合理布局。车间工艺设计时，高噪声工段与低噪声工段宜分开布置。高噪声设备宜集中布置，并设置在厂房内，采取厂房隔声，利用距离和建筑进行噪声衰减，隔声效果约</w:t>
            </w:r>
            <w:r>
              <w:rPr>
                <w:rFonts w:hint="eastAsia"/>
                <w:bCs/>
                <w:color w:val="000000" w:themeColor="text1"/>
                <w:szCs w:val="21"/>
                <w14:textFill>
                  <w14:solidFill>
                    <w14:schemeClr w14:val="tx1"/>
                  </w14:solidFill>
                </w14:textFill>
              </w:rPr>
              <w:t>1</w:t>
            </w:r>
            <w:r>
              <w:rPr>
                <w:bCs/>
                <w:color w:val="000000" w:themeColor="text1"/>
                <w:szCs w:val="21"/>
                <w14:textFill>
                  <w14:solidFill>
                    <w14:schemeClr w14:val="tx1"/>
                  </w14:solidFill>
                </w14:textFill>
              </w:rPr>
              <w:t>0-</w:t>
            </w:r>
            <w:r>
              <w:rPr>
                <w:rFonts w:hint="eastAsia"/>
                <w:bCs/>
                <w:color w:val="000000" w:themeColor="text1"/>
                <w:szCs w:val="21"/>
                <w14:textFill>
                  <w14:solidFill>
                    <w14:schemeClr w14:val="tx1"/>
                  </w14:solidFill>
                </w14:textFill>
              </w:rPr>
              <w:t>2</w:t>
            </w:r>
            <w:r>
              <w:rPr>
                <w:bCs/>
                <w:color w:val="000000" w:themeColor="text1"/>
                <w:szCs w:val="21"/>
                <w14:textFill>
                  <w14:solidFill>
                    <w14:schemeClr w14:val="tx1"/>
                  </w14:solidFill>
                </w14:textFill>
              </w:rPr>
              <w:t>0dB（A）。</w:t>
            </w:r>
          </w:p>
          <w:p w14:paraId="4565EB12">
            <w:pPr>
              <w:pStyle w:val="2"/>
              <w:spacing w:before="0" w:after="0" w:line="420" w:lineRule="exact"/>
              <w:ind w:right="0" w:firstLine="422" w:firstLineChars="200"/>
              <w:rPr>
                <w:b/>
                <w:bCs/>
                <w:color w:val="000000" w:themeColor="text1"/>
                <w:sz w:val="21"/>
                <w:szCs w:val="22"/>
                <w14:textFill>
                  <w14:solidFill>
                    <w14:schemeClr w14:val="tx1"/>
                  </w14:solidFill>
                </w14:textFill>
              </w:rPr>
            </w:pPr>
            <w:r>
              <w:rPr>
                <w:b/>
                <w:bCs/>
                <w:color w:val="000000" w:themeColor="text1"/>
                <w:sz w:val="21"/>
                <w:szCs w:val="22"/>
                <w14:textFill>
                  <w14:solidFill>
                    <w14:schemeClr w14:val="tx1"/>
                  </w14:solidFill>
                </w14:textFill>
              </w:rPr>
              <w:t>4.3.3达标情况</w:t>
            </w:r>
          </w:p>
          <w:p w14:paraId="7AC1AF4F">
            <w:pPr>
              <w:spacing w:line="420" w:lineRule="exact"/>
              <w:ind w:firstLine="420" w:firstLineChars="200"/>
              <w:rPr>
                <w:color w:val="000000" w:themeColor="text1"/>
                <w:szCs w:val="21"/>
                <w14:textFill>
                  <w14:solidFill>
                    <w14:schemeClr w14:val="tx1"/>
                  </w14:solidFill>
                </w14:textFill>
              </w:rPr>
            </w:pPr>
            <w:r>
              <w:rPr>
                <w:bCs/>
                <w:color w:val="000000" w:themeColor="text1"/>
                <w:szCs w:val="21"/>
                <w14:textFill>
                  <w14:solidFill>
                    <w14:schemeClr w14:val="tx1"/>
                  </w14:solidFill>
                </w14:textFill>
              </w:rPr>
              <w:t>各预测点最终预测结果（已考虑建筑隔声、绿地隔声及环境因素等因素）</w:t>
            </w:r>
            <w:r>
              <w:rPr>
                <w:color w:val="000000" w:themeColor="text1"/>
                <w:szCs w:val="21"/>
                <w14:textFill>
                  <w14:solidFill>
                    <w14:schemeClr w14:val="tx1"/>
                  </w14:solidFill>
                </w14:textFill>
              </w:rPr>
              <w:t>见表4.3-</w:t>
            </w: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w:t>
            </w:r>
          </w:p>
          <w:p w14:paraId="526DC5A5">
            <w:pPr>
              <w:spacing w:line="420" w:lineRule="exact"/>
              <w:jc w:val="center"/>
              <w:rPr>
                <w:b/>
                <w:color w:val="000000" w:themeColor="text1"/>
                <w:sz w:val="24"/>
                <w:highlight w:val="none"/>
                <w14:textFill>
                  <w14:solidFill>
                    <w14:schemeClr w14:val="tx1"/>
                  </w14:solidFill>
                </w14:textFill>
              </w:rPr>
            </w:pPr>
            <w:r>
              <w:rPr>
                <w:b/>
                <w:color w:val="000000" w:themeColor="text1"/>
                <w:szCs w:val="21"/>
                <w:highlight w:val="none"/>
                <w14:textFill>
                  <w14:solidFill>
                    <w14:schemeClr w14:val="tx1"/>
                  </w14:solidFill>
                </w14:textFill>
              </w:rPr>
              <w:t>表4.3-</w:t>
            </w:r>
            <w:r>
              <w:rPr>
                <w:rFonts w:hint="eastAsia"/>
                <w:b/>
                <w:color w:val="000000" w:themeColor="text1"/>
                <w:szCs w:val="21"/>
                <w:highlight w:val="none"/>
                <w:lang w:val="en-US" w:eastAsia="zh-CN"/>
                <w14:textFill>
                  <w14:solidFill>
                    <w14:schemeClr w14:val="tx1"/>
                  </w14:solidFill>
                </w14:textFill>
              </w:rPr>
              <w:t>3</w:t>
            </w:r>
            <w:r>
              <w:rPr>
                <w:b/>
                <w:color w:val="000000" w:themeColor="text1"/>
                <w:szCs w:val="21"/>
                <w:highlight w:val="none"/>
                <w14:textFill>
                  <w14:solidFill>
                    <w14:schemeClr w14:val="tx1"/>
                  </w14:solidFill>
                </w14:textFill>
              </w:rPr>
              <w:t>各厂界噪声值预测值（单位：dB（A））</w:t>
            </w:r>
          </w:p>
          <w:tbl>
            <w:tblPr>
              <w:tblStyle w:val="22"/>
              <w:tblW w:w="498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82"/>
              <w:gridCol w:w="1703"/>
              <w:gridCol w:w="1703"/>
              <w:gridCol w:w="1703"/>
              <w:gridCol w:w="1704"/>
            </w:tblGrid>
            <w:tr w14:paraId="0B3BD6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90" w:type="pct"/>
                  <w:noWrap w:val="0"/>
                  <w:vAlign w:val="center"/>
                </w:tcPr>
                <w:p w14:paraId="0527C8D8">
                  <w:pPr>
                    <w:shd w:val="clear" w:color="auto" w:fill="auto"/>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污染源</w:t>
                  </w:r>
                </w:p>
              </w:tc>
              <w:tc>
                <w:tcPr>
                  <w:tcW w:w="1002" w:type="pct"/>
                  <w:noWrap w:val="0"/>
                  <w:vAlign w:val="center"/>
                </w:tcPr>
                <w:p w14:paraId="10BCB748">
                  <w:pPr>
                    <w:shd w:val="clear" w:color="auto" w:fill="auto"/>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东</w:t>
                  </w:r>
                  <w:r>
                    <w:rPr>
                      <w:rFonts w:hint="eastAsia"/>
                      <w:b/>
                      <w:bCs/>
                      <w:color w:val="000000" w:themeColor="text1"/>
                      <w:szCs w:val="21"/>
                      <w:highlight w:val="none"/>
                      <w:lang w:val="en-US" w:eastAsia="zh-CN"/>
                      <w14:textFill>
                        <w14:solidFill>
                          <w14:schemeClr w14:val="tx1"/>
                        </w14:solidFill>
                      </w14:textFill>
                    </w:rPr>
                    <w:t>南</w:t>
                  </w:r>
                  <w:r>
                    <w:rPr>
                      <w:b/>
                      <w:bCs/>
                      <w:color w:val="000000" w:themeColor="text1"/>
                      <w:szCs w:val="21"/>
                      <w:highlight w:val="none"/>
                      <w14:textFill>
                        <w14:solidFill>
                          <w14:schemeClr w14:val="tx1"/>
                        </w14:solidFill>
                      </w14:textFill>
                    </w:rPr>
                    <w:t>厂界</w:t>
                  </w:r>
                </w:p>
              </w:tc>
              <w:tc>
                <w:tcPr>
                  <w:tcW w:w="1002" w:type="pct"/>
                  <w:noWrap w:val="0"/>
                  <w:vAlign w:val="center"/>
                </w:tcPr>
                <w:p w14:paraId="681F1B25">
                  <w:pPr>
                    <w:shd w:val="clear" w:color="auto" w:fill="auto"/>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西</w:t>
                  </w:r>
                  <w:r>
                    <w:rPr>
                      <w:b/>
                      <w:bCs/>
                      <w:color w:val="000000" w:themeColor="text1"/>
                      <w:szCs w:val="21"/>
                      <w:highlight w:val="none"/>
                      <w14:textFill>
                        <w14:solidFill>
                          <w14:schemeClr w14:val="tx1"/>
                        </w14:solidFill>
                      </w14:textFill>
                    </w:rPr>
                    <w:t>南厂界</w:t>
                  </w:r>
                </w:p>
              </w:tc>
              <w:tc>
                <w:tcPr>
                  <w:tcW w:w="1002" w:type="pct"/>
                  <w:noWrap w:val="0"/>
                  <w:vAlign w:val="center"/>
                </w:tcPr>
                <w:p w14:paraId="69A24BE1">
                  <w:pPr>
                    <w:shd w:val="clear" w:color="auto" w:fill="auto"/>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西</w:t>
                  </w:r>
                  <w:r>
                    <w:rPr>
                      <w:rFonts w:hint="eastAsia"/>
                      <w:b/>
                      <w:bCs/>
                      <w:color w:val="000000" w:themeColor="text1"/>
                      <w:szCs w:val="21"/>
                      <w:highlight w:val="none"/>
                      <w:lang w:val="en-US" w:eastAsia="zh-CN"/>
                      <w14:textFill>
                        <w14:solidFill>
                          <w14:schemeClr w14:val="tx1"/>
                        </w14:solidFill>
                      </w14:textFill>
                    </w:rPr>
                    <w:t>北</w:t>
                  </w:r>
                  <w:r>
                    <w:rPr>
                      <w:b/>
                      <w:bCs/>
                      <w:color w:val="000000" w:themeColor="text1"/>
                      <w:szCs w:val="21"/>
                      <w:highlight w:val="none"/>
                      <w14:textFill>
                        <w14:solidFill>
                          <w14:schemeClr w14:val="tx1"/>
                        </w14:solidFill>
                      </w14:textFill>
                    </w:rPr>
                    <w:t>厂界</w:t>
                  </w:r>
                </w:p>
              </w:tc>
              <w:tc>
                <w:tcPr>
                  <w:tcW w:w="1003" w:type="pct"/>
                  <w:noWrap w:val="0"/>
                  <w:vAlign w:val="center"/>
                </w:tcPr>
                <w:p w14:paraId="4EDD2910">
                  <w:pPr>
                    <w:shd w:val="clear" w:color="auto" w:fill="auto"/>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东</w:t>
                  </w:r>
                  <w:r>
                    <w:rPr>
                      <w:b/>
                      <w:bCs/>
                      <w:color w:val="000000" w:themeColor="text1"/>
                      <w:szCs w:val="21"/>
                      <w:highlight w:val="none"/>
                      <w14:textFill>
                        <w14:solidFill>
                          <w14:schemeClr w14:val="tx1"/>
                        </w14:solidFill>
                      </w14:textFill>
                    </w:rPr>
                    <w:t>北厂界</w:t>
                  </w:r>
                </w:p>
              </w:tc>
            </w:tr>
            <w:tr w14:paraId="2B37C7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90" w:type="pct"/>
                  <w:noWrap w:val="0"/>
                  <w:vAlign w:val="center"/>
                </w:tcPr>
                <w:p w14:paraId="6C4B2B8F">
                  <w:pPr>
                    <w:shd w:val="clear" w:color="auto" w:fill="auto"/>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贡献值</w:t>
                  </w:r>
                </w:p>
              </w:tc>
              <w:tc>
                <w:tcPr>
                  <w:tcW w:w="1002" w:type="pct"/>
                  <w:noWrap w:val="0"/>
                  <w:vAlign w:val="center"/>
                </w:tcPr>
                <w:p w14:paraId="560959F2">
                  <w:pPr>
                    <w:shd w:val="clear" w:color="auto" w:fill="auto"/>
                    <w:snapToGrid w:val="0"/>
                    <w:jc w:val="center"/>
                    <w:rPr>
                      <w:rFonts w:hint="default" w:eastAsia="宋体"/>
                      <w:color w:val="000000" w:themeColor="text1"/>
                      <w:szCs w:val="21"/>
                      <w:highlight w:val="none"/>
                      <w:lang w:val="en-US" w:eastAsia="zh-CN"/>
                      <w14:textFill>
                        <w14:solidFill>
                          <w14:schemeClr w14:val="tx1"/>
                        </w14:solidFill>
                      </w14:textFill>
                    </w:rPr>
                  </w:pPr>
                  <w:r>
                    <w:rPr>
                      <w:rFonts w:hint="default" w:eastAsia="宋体"/>
                      <w:color w:val="000000" w:themeColor="text1"/>
                      <w:szCs w:val="21"/>
                      <w:highlight w:val="none"/>
                      <w:lang w:val="en-US" w:eastAsia="zh-CN"/>
                      <w14:textFill>
                        <w14:solidFill>
                          <w14:schemeClr w14:val="tx1"/>
                        </w14:solidFill>
                      </w14:textFill>
                    </w:rPr>
                    <w:t>50.78</w:t>
                  </w:r>
                </w:p>
              </w:tc>
              <w:tc>
                <w:tcPr>
                  <w:tcW w:w="1002" w:type="pct"/>
                  <w:noWrap w:val="0"/>
                  <w:vAlign w:val="center"/>
                </w:tcPr>
                <w:p w14:paraId="1E1B1840">
                  <w:pPr>
                    <w:shd w:val="clear" w:color="auto" w:fill="auto"/>
                    <w:jc w:val="center"/>
                    <w:rPr>
                      <w:rFonts w:hint="default" w:eastAsia="宋体"/>
                      <w:color w:val="000000" w:themeColor="text1"/>
                      <w:szCs w:val="21"/>
                      <w:highlight w:val="none"/>
                      <w:lang w:val="en-US" w:eastAsia="zh-CN"/>
                      <w14:textFill>
                        <w14:solidFill>
                          <w14:schemeClr w14:val="tx1"/>
                        </w14:solidFill>
                      </w14:textFill>
                    </w:rPr>
                  </w:pPr>
                  <w:r>
                    <w:rPr>
                      <w:rFonts w:hint="default" w:eastAsia="宋体"/>
                      <w:color w:val="000000" w:themeColor="text1"/>
                      <w:szCs w:val="21"/>
                      <w:highlight w:val="none"/>
                      <w:lang w:val="en-US" w:eastAsia="zh-CN"/>
                      <w14:textFill>
                        <w14:solidFill>
                          <w14:schemeClr w14:val="tx1"/>
                        </w14:solidFill>
                      </w14:textFill>
                    </w:rPr>
                    <w:t>53.92</w:t>
                  </w:r>
                </w:p>
              </w:tc>
              <w:tc>
                <w:tcPr>
                  <w:tcW w:w="1002" w:type="pct"/>
                  <w:noWrap w:val="0"/>
                  <w:vAlign w:val="center"/>
                </w:tcPr>
                <w:p w14:paraId="6563F494">
                  <w:pPr>
                    <w:shd w:val="clear" w:color="auto" w:fill="auto"/>
                    <w:jc w:val="center"/>
                    <w:rPr>
                      <w:rFonts w:hint="default" w:eastAsia="宋体"/>
                      <w:color w:val="000000" w:themeColor="text1"/>
                      <w:szCs w:val="21"/>
                      <w:highlight w:val="none"/>
                      <w:lang w:val="en-US" w:eastAsia="zh-CN"/>
                      <w14:textFill>
                        <w14:solidFill>
                          <w14:schemeClr w14:val="tx1"/>
                        </w14:solidFill>
                      </w14:textFill>
                    </w:rPr>
                  </w:pPr>
                  <w:r>
                    <w:rPr>
                      <w:rFonts w:hint="default" w:eastAsia="宋体"/>
                      <w:color w:val="000000" w:themeColor="text1"/>
                      <w:szCs w:val="21"/>
                      <w:highlight w:val="none"/>
                      <w:lang w:val="en-US" w:eastAsia="zh-CN"/>
                      <w14:textFill>
                        <w14:solidFill>
                          <w14:schemeClr w14:val="tx1"/>
                        </w14:solidFill>
                      </w14:textFill>
                    </w:rPr>
                    <w:t>52.65</w:t>
                  </w:r>
                </w:p>
              </w:tc>
              <w:tc>
                <w:tcPr>
                  <w:tcW w:w="1003" w:type="pct"/>
                  <w:noWrap w:val="0"/>
                  <w:vAlign w:val="center"/>
                </w:tcPr>
                <w:p w14:paraId="7431B7F4">
                  <w:pPr>
                    <w:shd w:val="clear" w:color="auto" w:fill="auto"/>
                    <w:jc w:val="center"/>
                    <w:rPr>
                      <w:rFonts w:hint="default" w:eastAsia="宋体"/>
                      <w:color w:val="000000" w:themeColor="text1"/>
                      <w:szCs w:val="21"/>
                      <w:highlight w:val="none"/>
                      <w:lang w:val="en-US" w:eastAsia="zh-CN"/>
                      <w14:textFill>
                        <w14:solidFill>
                          <w14:schemeClr w14:val="tx1"/>
                        </w14:solidFill>
                      </w14:textFill>
                    </w:rPr>
                  </w:pPr>
                  <w:r>
                    <w:rPr>
                      <w:rFonts w:hint="default" w:eastAsia="宋体"/>
                      <w:color w:val="000000" w:themeColor="text1"/>
                      <w:szCs w:val="21"/>
                      <w:highlight w:val="none"/>
                      <w:lang w:val="en-US" w:eastAsia="zh-CN"/>
                      <w14:textFill>
                        <w14:solidFill>
                          <w14:schemeClr w14:val="tx1"/>
                        </w14:solidFill>
                      </w14:textFill>
                    </w:rPr>
                    <w:t>52.93</w:t>
                  </w:r>
                </w:p>
              </w:tc>
            </w:tr>
            <w:tr w14:paraId="0533DB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90" w:type="pct"/>
                  <w:noWrap w:val="0"/>
                  <w:vAlign w:val="center"/>
                </w:tcPr>
                <w:p w14:paraId="294B76DA">
                  <w:pPr>
                    <w:shd w:val="clear" w:color="auto" w:fill="auto"/>
                    <w:snapToGrid w:val="0"/>
                    <w:jc w:val="center"/>
                    <w:rPr>
                      <w:rFonts w:hint="default"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昼间标准限值</w:t>
                  </w:r>
                </w:p>
              </w:tc>
              <w:tc>
                <w:tcPr>
                  <w:tcW w:w="1002" w:type="pct"/>
                  <w:noWrap w:val="0"/>
                  <w:vAlign w:val="center"/>
                </w:tcPr>
                <w:p w14:paraId="7642CFD0">
                  <w:pPr>
                    <w:shd w:val="clear" w:color="auto" w:fill="auto"/>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65</w:t>
                  </w:r>
                </w:p>
              </w:tc>
              <w:tc>
                <w:tcPr>
                  <w:tcW w:w="1002" w:type="pct"/>
                  <w:noWrap w:val="0"/>
                  <w:vAlign w:val="center"/>
                </w:tcPr>
                <w:p w14:paraId="2D007491">
                  <w:pPr>
                    <w:shd w:val="clear" w:color="auto" w:fill="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65</w:t>
                  </w:r>
                </w:p>
              </w:tc>
              <w:tc>
                <w:tcPr>
                  <w:tcW w:w="1002" w:type="pct"/>
                  <w:noWrap w:val="0"/>
                  <w:vAlign w:val="center"/>
                </w:tcPr>
                <w:p w14:paraId="084E780B">
                  <w:pPr>
                    <w:shd w:val="clear" w:color="auto" w:fill="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65</w:t>
                  </w:r>
                </w:p>
              </w:tc>
              <w:tc>
                <w:tcPr>
                  <w:tcW w:w="1003" w:type="pct"/>
                  <w:noWrap w:val="0"/>
                  <w:vAlign w:val="center"/>
                </w:tcPr>
                <w:p w14:paraId="1F7B660F">
                  <w:pPr>
                    <w:shd w:val="clear" w:color="auto" w:fill="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65</w:t>
                  </w:r>
                </w:p>
              </w:tc>
            </w:tr>
            <w:tr w14:paraId="65C75F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90" w:type="pct"/>
                  <w:noWrap w:val="0"/>
                  <w:vAlign w:val="center"/>
                </w:tcPr>
                <w:p w14:paraId="6104C5AB">
                  <w:pPr>
                    <w:shd w:val="clear" w:color="auto" w:fill="auto"/>
                    <w:snapToGrid w:val="0"/>
                    <w:jc w:val="center"/>
                    <w:rPr>
                      <w:rFonts w:hint="eastAsia"/>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昼间</w:t>
                  </w:r>
                  <w:r>
                    <w:rPr>
                      <w:b/>
                      <w:bCs/>
                      <w:color w:val="000000" w:themeColor="text1"/>
                      <w:szCs w:val="21"/>
                      <w14:textFill>
                        <w14:solidFill>
                          <w14:schemeClr w14:val="tx1"/>
                        </w14:solidFill>
                      </w14:textFill>
                    </w:rPr>
                    <w:t>达标情况</w:t>
                  </w:r>
                </w:p>
              </w:tc>
              <w:tc>
                <w:tcPr>
                  <w:tcW w:w="1002" w:type="pct"/>
                  <w:noWrap w:val="0"/>
                  <w:vAlign w:val="center"/>
                </w:tcPr>
                <w:p w14:paraId="3C2EFBE4">
                  <w:pPr>
                    <w:shd w:val="clear" w:color="auto" w:fill="auto"/>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达标</w:t>
                  </w:r>
                </w:p>
              </w:tc>
              <w:tc>
                <w:tcPr>
                  <w:tcW w:w="1002" w:type="pct"/>
                  <w:noWrap w:val="0"/>
                  <w:vAlign w:val="center"/>
                </w:tcPr>
                <w:p w14:paraId="6B3D2F08">
                  <w:pPr>
                    <w:shd w:val="clear" w:color="auto" w:fill="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c>
                <w:tcPr>
                  <w:tcW w:w="1002" w:type="pct"/>
                  <w:noWrap w:val="0"/>
                  <w:vAlign w:val="center"/>
                </w:tcPr>
                <w:p w14:paraId="52458857">
                  <w:pPr>
                    <w:shd w:val="clear" w:color="auto" w:fill="auto"/>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达标</w:t>
                  </w:r>
                </w:p>
              </w:tc>
              <w:tc>
                <w:tcPr>
                  <w:tcW w:w="1003" w:type="pct"/>
                  <w:noWrap w:val="0"/>
                  <w:vAlign w:val="center"/>
                </w:tcPr>
                <w:p w14:paraId="3C44776C">
                  <w:pPr>
                    <w:shd w:val="clear" w:color="auto" w:fill="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r>
            <w:tr w14:paraId="25CA2D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0" w:type="dxa"/>
                  <w:noWrap w:val="0"/>
                  <w:vAlign w:val="center"/>
                </w:tcPr>
                <w:p w14:paraId="0E1720E2">
                  <w:pPr>
                    <w:shd w:val="clear" w:color="auto" w:fill="auto"/>
                    <w:snapToGrid w:val="0"/>
                    <w:jc w:val="center"/>
                    <w:rPr>
                      <w:rFonts w:hint="eastAsia"/>
                      <w:b/>
                      <w:bCs/>
                      <w:color w:val="000000" w:themeColor="text1"/>
                      <w:szCs w:val="21"/>
                      <w14:textFill>
                        <w14:solidFill>
                          <w14:schemeClr w14:val="tx1"/>
                        </w14:solidFill>
                      </w14:textFill>
                    </w:rPr>
                  </w:pPr>
                  <w:r>
                    <w:rPr>
                      <w:rFonts w:hint="eastAsia"/>
                      <w:b/>
                      <w:bCs/>
                      <w:color w:val="000000" w:themeColor="text1"/>
                      <w:szCs w:val="21"/>
                      <w:lang w:val="en-US" w:eastAsia="zh-CN"/>
                      <w14:textFill>
                        <w14:solidFill>
                          <w14:schemeClr w14:val="tx1"/>
                        </w14:solidFill>
                      </w14:textFill>
                    </w:rPr>
                    <w:t>夜间标准限值</w:t>
                  </w:r>
                </w:p>
              </w:tc>
              <w:tc>
                <w:tcPr>
                  <w:tcW w:w="1682" w:type="dxa"/>
                  <w:noWrap w:val="0"/>
                  <w:vAlign w:val="center"/>
                </w:tcPr>
                <w:p w14:paraId="16065C04">
                  <w:pPr>
                    <w:shd w:val="clear" w:color="auto" w:fill="auto"/>
                    <w:snapToGrid w:val="0"/>
                    <w:jc w:val="center"/>
                    <w:rPr>
                      <w:rFonts w:hint="default"/>
                      <w:color w:val="000000" w:themeColor="text1"/>
                      <w:kern w:val="0"/>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55</w:t>
                  </w:r>
                </w:p>
              </w:tc>
              <w:tc>
                <w:tcPr>
                  <w:tcW w:w="1682" w:type="dxa"/>
                  <w:noWrap w:val="0"/>
                  <w:vAlign w:val="center"/>
                </w:tcPr>
                <w:p w14:paraId="76062E67">
                  <w:pPr>
                    <w:shd w:val="clear" w:color="auto" w:fill="auto"/>
                    <w:jc w:val="center"/>
                    <w:rPr>
                      <w:rFonts w:hint="default"/>
                      <w:color w:val="000000" w:themeColor="text1"/>
                      <w:kern w:val="0"/>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55</w:t>
                  </w:r>
                </w:p>
              </w:tc>
              <w:tc>
                <w:tcPr>
                  <w:tcW w:w="1682" w:type="dxa"/>
                  <w:noWrap w:val="0"/>
                  <w:vAlign w:val="center"/>
                </w:tcPr>
                <w:p w14:paraId="104D7EBD">
                  <w:pPr>
                    <w:shd w:val="clear" w:color="auto" w:fill="auto"/>
                    <w:jc w:val="center"/>
                    <w:rPr>
                      <w:rFonts w:hint="default"/>
                      <w:color w:val="000000" w:themeColor="text1"/>
                      <w:kern w:val="0"/>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55</w:t>
                  </w:r>
                </w:p>
              </w:tc>
              <w:tc>
                <w:tcPr>
                  <w:tcW w:w="1683" w:type="dxa"/>
                  <w:noWrap w:val="0"/>
                  <w:vAlign w:val="center"/>
                </w:tcPr>
                <w:p w14:paraId="69942A10">
                  <w:pPr>
                    <w:shd w:val="clear" w:color="auto" w:fill="auto"/>
                    <w:jc w:val="center"/>
                    <w:rPr>
                      <w:rFonts w:hint="default"/>
                      <w:color w:val="000000" w:themeColor="text1"/>
                      <w:kern w:val="0"/>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55</w:t>
                  </w:r>
                </w:p>
              </w:tc>
            </w:tr>
            <w:tr w14:paraId="2CC4BF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0" w:type="dxa"/>
                  <w:noWrap w:val="0"/>
                  <w:vAlign w:val="center"/>
                </w:tcPr>
                <w:p w14:paraId="579571E9">
                  <w:pPr>
                    <w:shd w:val="clear" w:color="auto" w:fill="auto"/>
                    <w:snapToGrid w:val="0"/>
                    <w:jc w:val="center"/>
                    <w:rPr>
                      <w:rFonts w:hint="eastAsia"/>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昼间</w:t>
                  </w:r>
                  <w:r>
                    <w:rPr>
                      <w:b/>
                      <w:bCs/>
                      <w:color w:val="000000" w:themeColor="text1"/>
                      <w:szCs w:val="21"/>
                      <w14:textFill>
                        <w14:solidFill>
                          <w14:schemeClr w14:val="tx1"/>
                        </w14:solidFill>
                      </w14:textFill>
                    </w:rPr>
                    <w:t>达标情况</w:t>
                  </w:r>
                </w:p>
              </w:tc>
              <w:tc>
                <w:tcPr>
                  <w:tcW w:w="1682" w:type="dxa"/>
                  <w:noWrap w:val="0"/>
                  <w:vAlign w:val="center"/>
                </w:tcPr>
                <w:p w14:paraId="33344BA0">
                  <w:pPr>
                    <w:shd w:val="clear" w:color="auto" w:fill="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c>
                <w:tcPr>
                  <w:tcW w:w="1682" w:type="dxa"/>
                  <w:noWrap w:val="0"/>
                  <w:vAlign w:val="center"/>
                </w:tcPr>
                <w:p w14:paraId="152E7171">
                  <w:pPr>
                    <w:shd w:val="clear" w:color="auto" w:fill="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c>
                <w:tcPr>
                  <w:tcW w:w="1682" w:type="dxa"/>
                  <w:noWrap w:val="0"/>
                  <w:vAlign w:val="center"/>
                </w:tcPr>
                <w:p w14:paraId="392789B9">
                  <w:pPr>
                    <w:shd w:val="clear" w:color="auto" w:fill="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c>
                <w:tcPr>
                  <w:tcW w:w="1683" w:type="dxa"/>
                  <w:noWrap w:val="0"/>
                  <w:vAlign w:val="center"/>
                </w:tcPr>
                <w:p w14:paraId="473126A1">
                  <w:pPr>
                    <w:shd w:val="clear" w:color="auto" w:fill="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r>
          </w:tbl>
          <w:p w14:paraId="1B54FDB4">
            <w:pPr>
              <w:pStyle w:val="2"/>
              <w:spacing w:before="0" w:after="0" w:line="420" w:lineRule="exact"/>
              <w:ind w:right="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根据预测结果可知</w:t>
            </w:r>
            <w:r>
              <w:rPr>
                <w:color w:val="000000" w:themeColor="text1"/>
                <w:sz w:val="21"/>
                <w:szCs w:val="21"/>
                <w14:textFill>
                  <w14:solidFill>
                    <w14:schemeClr w14:val="tx1"/>
                  </w14:solidFill>
                </w14:textFill>
              </w:rPr>
              <w:t>，本项目建成后</w:t>
            </w:r>
            <w:r>
              <w:rPr>
                <w:rFonts w:hint="eastAsia"/>
                <w:color w:val="000000" w:themeColor="text1"/>
                <w:sz w:val="21"/>
                <w:szCs w:val="21"/>
                <w14:textFill>
                  <w14:solidFill>
                    <w14:schemeClr w14:val="tx1"/>
                  </w14:solidFill>
                </w14:textFill>
              </w:rPr>
              <w:t>厂界昼</w:t>
            </w:r>
            <w:r>
              <w:rPr>
                <w:rFonts w:hint="eastAsia"/>
                <w:color w:val="000000" w:themeColor="text1"/>
                <w:sz w:val="21"/>
                <w:szCs w:val="21"/>
                <w:lang w:val="en-US" w:eastAsia="zh-CN"/>
                <w14:textFill>
                  <w14:solidFill>
                    <w14:schemeClr w14:val="tx1"/>
                  </w14:solidFill>
                </w14:textFill>
              </w:rPr>
              <w:t>夜</w:t>
            </w:r>
            <w:r>
              <w:rPr>
                <w:color w:val="000000" w:themeColor="text1"/>
                <w:sz w:val="21"/>
                <w:szCs w:val="21"/>
                <w14:textFill>
                  <w14:solidFill>
                    <w14:schemeClr w14:val="tx1"/>
                  </w14:solidFill>
                </w14:textFill>
              </w:rPr>
              <w:t>噪声</w:t>
            </w:r>
            <w:r>
              <w:rPr>
                <w:rFonts w:hint="eastAsia"/>
                <w:color w:val="000000" w:themeColor="text1"/>
                <w:sz w:val="21"/>
                <w:szCs w:val="21"/>
                <w14:textFill>
                  <w14:solidFill>
                    <w14:schemeClr w14:val="tx1"/>
                  </w14:solidFill>
                </w14:textFill>
              </w:rPr>
              <w:t>贡献值</w:t>
            </w:r>
            <w:r>
              <w:rPr>
                <w:color w:val="000000" w:themeColor="text1"/>
                <w:sz w:val="21"/>
                <w:szCs w:val="21"/>
                <w14:textFill>
                  <w14:solidFill>
                    <w14:schemeClr w14:val="tx1"/>
                  </w14:solidFill>
                </w14:textFill>
              </w:rPr>
              <w:t>满足《工业企业厂界环境噪声排放标准》（GB12348-2008）</w:t>
            </w: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类标准</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昼间≤6</w:t>
            </w: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dB</w:t>
            </w:r>
            <w:r>
              <w:rPr>
                <w:rFonts w:hint="eastAsia"/>
                <w:color w:val="000000" w:themeColor="text1"/>
                <w:sz w:val="21"/>
                <w:szCs w:val="21"/>
                <w14:textFill>
                  <w14:solidFill>
                    <w14:schemeClr w14:val="tx1"/>
                  </w14:solidFill>
                </w14:textFill>
              </w:rPr>
              <w:t>（A），夜间</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55</w:t>
            </w:r>
            <w:r>
              <w:rPr>
                <w:color w:val="000000" w:themeColor="text1"/>
                <w:sz w:val="21"/>
                <w:szCs w:val="21"/>
                <w14:textFill>
                  <w14:solidFill>
                    <w14:schemeClr w14:val="tx1"/>
                  </w14:solidFill>
                </w14:textFill>
              </w:rPr>
              <w:t>dB</w:t>
            </w:r>
            <w:r>
              <w:rPr>
                <w:rFonts w:hint="eastAsia"/>
                <w:color w:val="000000" w:themeColor="text1"/>
                <w:sz w:val="21"/>
                <w:szCs w:val="21"/>
                <w14:textFill>
                  <w14:solidFill>
                    <w14:schemeClr w14:val="tx1"/>
                  </w14:solidFill>
                </w14:textFill>
              </w:rPr>
              <w:t>（A）。</w:t>
            </w:r>
          </w:p>
          <w:p w14:paraId="04C7DFAE">
            <w:pPr>
              <w:pStyle w:val="2"/>
              <w:spacing w:before="0" w:after="0" w:line="420" w:lineRule="exact"/>
              <w:ind w:right="0" w:firstLine="422" w:firstLineChars="200"/>
              <w:rPr>
                <w:b/>
                <w:bCs/>
                <w:color w:val="000000" w:themeColor="text1"/>
                <w:sz w:val="21"/>
                <w:szCs w:val="22"/>
                <w14:textFill>
                  <w14:solidFill>
                    <w14:schemeClr w14:val="tx1"/>
                  </w14:solidFill>
                </w14:textFill>
              </w:rPr>
            </w:pPr>
            <w:r>
              <w:rPr>
                <w:b/>
                <w:bCs/>
                <w:color w:val="000000" w:themeColor="text1"/>
                <w:sz w:val="21"/>
                <w:szCs w:val="22"/>
                <w14:textFill>
                  <w14:solidFill>
                    <w14:schemeClr w14:val="tx1"/>
                  </w14:solidFill>
                </w14:textFill>
              </w:rPr>
              <w:t>4.3.4自行监测要求</w:t>
            </w:r>
          </w:p>
          <w:p w14:paraId="1F63EC59">
            <w:pPr>
              <w:adjustRightInd w:val="0"/>
              <w:snapToGrid w:val="0"/>
              <w:spacing w:line="420" w:lineRule="exact"/>
              <w:ind w:firstLine="420" w:firstLineChars="200"/>
              <w:rPr>
                <w:bCs/>
                <w:color w:val="000000" w:themeColor="text1"/>
                <w:spacing w:val="-10"/>
                <w:szCs w:val="21"/>
                <w14:textFill>
                  <w14:solidFill>
                    <w14:schemeClr w14:val="tx1"/>
                  </w14:solidFill>
                </w14:textFill>
              </w:rPr>
            </w:pPr>
            <w:r>
              <w:rPr>
                <w:bCs/>
                <w:color w:val="000000" w:themeColor="text1"/>
                <w:szCs w:val="21"/>
                <w14:textFill>
                  <w14:solidFill>
                    <w14:schemeClr w14:val="tx1"/>
                  </w14:solidFill>
                </w14:textFill>
              </w:rPr>
              <w:t>根据《排污单位自行监测技术指南 总则》（HJ819-2017）</w:t>
            </w:r>
            <w:r>
              <w:rPr>
                <w:rFonts w:hint="eastAsia"/>
                <w:bCs/>
                <w:color w:val="000000" w:themeColor="text1"/>
                <w:szCs w:val="21"/>
                <w14:textFill>
                  <w14:solidFill>
                    <w14:schemeClr w14:val="tx1"/>
                  </w14:solidFill>
                </w14:textFill>
              </w:rPr>
              <w:t>、《排污单位自行监测技术指南 橡胶和塑料制品》（HJ1207-2021）、</w:t>
            </w:r>
            <w:bookmarkStart w:id="8" w:name="OLE_LINK119"/>
            <w:r>
              <w:rPr>
                <w:rFonts w:hint="eastAsia"/>
                <w:bCs/>
                <w:color w:val="000000" w:themeColor="text1"/>
                <w:szCs w:val="21"/>
                <w14:textFill>
                  <w14:solidFill>
                    <w14:schemeClr w14:val="tx1"/>
                  </w14:solidFill>
                </w14:textFill>
              </w:rPr>
              <w:t>《排污单位自行监测技术指南 印刷工业》（HJ 1246</w:t>
            </w:r>
            <w:r>
              <w:rPr>
                <w:rFonts w:hint="eastAsia"/>
                <w:bCs/>
                <w:color w:val="000000" w:themeColor="text1"/>
                <w:szCs w:val="21"/>
                <w:lang w:val="en-US" w:eastAsia="zh-CN"/>
                <w14:textFill>
                  <w14:solidFill>
                    <w14:schemeClr w14:val="tx1"/>
                  </w14:solidFill>
                </w14:textFill>
              </w:rPr>
              <w:t>-</w:t>
            </w:r>
            <w:r>
              <w:rPr>
                <w:rFonts w:hint="eastAsia"/>
                <w:bCs/>
                <w:color w:val="000000" w:themeColor="text1"/>
                <w:szCs w:val="21"/>
                <w14:textFill>
                  <w14:solidFill>
                    <w14:schemeClr w14:val="tx1"/>
                  </w14:solidFill>
                </w14:textFill>
              </w:rPr>
              <w:t>2022）</w:t>
            </w:r>
            <w:bookmarkEnd w:id="8"/>
            <w:r>
              <w:rPr>
                <w:rFonts w:hint="eastAsia"/>
                <w:bCs/>
                <w:color w:val="000000" w:themeColor="text1"/>
                <w:szCs w:val="21"/>
                <w14:textFill>
                  <w14:solidFill>
                    <w14:schemeClr w14:val="tx1"/>
                  </w14:solidFill>
                </w14:textFill>
              </w:rPr>
              <w:t>的</w:t>
            </w:r>
            <w:r>
              <w:rPr>
                <w:bCs/>
                <w:color w:val="000000" w:themeColor="text1"/>
                <w:szCs w:val="21"/>
                <w14:textFill>
                  <w14:solidFill>
                    <w14:schemeClr w14:val="tx1"/>
                  </w14:solidFill>
                </w14:textFill>
              </w:rPr>
              <w:t>相关要求，本项目</w:t>
            </w:r>
            <w:r>
              <w:rPr>
                <w:rFonts w:hint="eastAsia"/>
                <w:bCs/>
                <w:color w:val="000000" w:themeColor="text1"/>
                <w:szCs w:val="21"/>
                <w14:textFill>
                  <w14:solidFill>
                    <w14:schemeClr w14:val="tx1"/>
                  </w14:solidFill>
                </w14:textFill>
              </w:rPr>
              <w:t>噪声</w:t>
            </w:r>
            <w:r>
              <w:rPr>
                <w:bCs/>
                <w:color w:val="000000" w:themeColor="text1"/>
                <w:szCs w:val="21"/>
                <w14:textFill>
                  <w14:solidFill>
                    <w14:schemeClr w14:val="tx1"/>
                  </w14:solidFill>
                </w14:textFill>
              </w:rPr>
              <w:t>日常监测要求见表4.3-</w:t>
            </w:r>
            <w:r>
              <w:rPr>
                <w:rFonts w:hint="eastAsia"/>
                <w:bCs/>
                <w:color w:val="000000" w:themeColor="text1"/>
                <w:szCs w:val="21"/>
                <w:lang w:val="en-US" w:eastAsia="zh-CN"/>
                <w14:textFill>
                  <w14:solidFill>
                    <w14:schemeClr w14:val="tx1"/>
                  </w14:solidFill>
                </w14:textFill>
              </w:rPr>
              <w:t>4</w:t>
            </w:r>
            <w:r>
              <w:rPr>
                <w:bCs/>
                <w:color w:val="000000" w:themeColor="text1"/>
                <w:spacing w:val="-10"/>
                <w:szCs w:val="21"/>
                <w14:textFill>
                  <w14:solidFill>
                    <w14:schemeClr w14:val="tx1"/>
                  </w14:solidFill>
                </w14:textFill>
              </w:rPr>
              <w:t>。</w:t>
            </w:r>
          </w:p>
          <w:p w14:paraId="4A7BBE47">
            <w:pPr>
              <w:pStyle w:val="7"/>
              <w:ind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表4.3-</w:t>
            </w:r>
            <w:r>
              <w:rPr>
                <w:rFonts w:hint="eastAsia"/>
                <w:b/>
                <w:bCs/>
                <w:color w:val="000000" w:themeColor="text1"/>
                <w:szCs w:val="21"/>
                <w:lang w:val="en-US" w:eastAsia="zh-CN"/>
                <w14:textFill>
                  <w14:solidFill>
                    <w14:schemeClr w14:val="tx1"/>
                  </w14:solidFill>
                </w14:textFill>
              </w:rPr>
              <w:t>4</w:t>
            </w:r>
            <w:r>
              <w:rPr>
                <w:b/>
                <w:bCs/>
                <w:color w:val="000000" w:themeColor="text1"/>
                <w:szCs w:val="21"/>
                <w14:textFill>
                  <w14:solidFill>
                    <w14:schemeClr w14:val="tx1"/>
                  </w14:solidFill>
                </w14:textFill>
              </w:rPr>
              <w:t>本项目噪声监测计划一览表</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1042"/>
              <w:gridCol w:w="1207"/>
              <w:gridCol w:w="881"/>
              <w:gridCol w:w="4837"/>
            </w:tblGrid>
            <w:tr w14:paraId="24F400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noWrap/>
                  <w:vAlign w:val="center"/>
                </w:tcPr>
                <w:p w14:paraId="1F95AE83">
                  <w:pPr>
                    <w:pStyle w:val="6"/>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类型</w:t>
                  </w:r>
                </w:p>
              </w:tc>
              <w:tc>
                <w:tcPr>
                  <w:tcW w:w="792" w:type="pct"/>
                  <w:noWrap/>
                  <w:vAlign w:val="center"/>
                </w:tcPr>
                <w:p w14:paraId="7A89A6D7">
                  <w:pPr>
                    <w:pStyle w:val="6"/>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监测点位</w:t>
                  </w:r>
                </w:p>
              </w:tc>
              <w:tc>
                <w:tcPr>
                  <w:tcW w:w="1004" w:type="pct"/>
                  <w:noWrap/>
                  <w:vAlign w:val="center"/>
                </w:tcPr>
                <w:p w14:paraId="4BF7FB02">
                  <w:pPr>
                    <w:pStyle w:val="6"/>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监测因子</w:t>
                  </w:r>
                </w:p>
              </w:tc>
              <w:tc>
                <w:tcPr>
                  <w:tcW w:w="716" w:type="pct"/>
                  <w:noWrap/>
                  <w:vAlign w:val="center"/>
                </w:tcPr>
                <w:p w14:paraId="09FD0904">
                  <w:pPr>
                    <w:pStyle w:val="6"/>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监测频次</w:t>
                  </w:r>
                </w:p>
              </w:tc>
              <w:tc>
                <w:tcPr>
                  <w:tcW w:w="2069" w:type="pct"/>
                  <w:noWrap/>
                  <w:vAlign w:val="center"/>
                </w:tcPr>
                <w:p w14:paraId="639A515B">
                  <w:pPr>
                    <w:pStyle w:val="6"/>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排放标准</w:t>
                  </w:r>
                </w:p>
              </w:tc>
            </w:tr>
            <w:tr w14:paraId="47E6F9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noWrap/>
                  <w:vAlign w:val="center"/>
                </w:tcPr>
                <w:p w14:paraId="6A9F0116">
                  <w:pPr>
                    <w:pStyle w:val="6"/>
                    <w:jc w:val="center"/>
                    <w:rPr>
                      <w:rFonts w:ascii="Times New Roman" w:eastAsia="宋体"/>
                      <w:b w:val="0"/>
                      <w:bCs/>
                      <w:color w:val="000000" w:themeColor="text1"/>
                      <w:sz w:val="21"/>
                      <w:szCs w:val="21"/>
                      <w14:textFill>
                        <w14:solidFill>
                          <w14:schemeClr w14:val="tx1"/>
                        </w14:solidFill>
                      </w14:textFill>
                    </w:rPr>
                  </w:pPr>
                  <w:r>
                    <w:rPr>
                      <w:rFonts w:ascii="Times New Roman" w:eastAsia="宋体"/>
                      <w:b w:val="0"/>
                      <w:bCs/>
                      <w:color w:val="000000" w:themeColor="text1"/>
                      <w:sz w:val="21"/>
                      <w:szCs w:val="21"/>
                      <w14:textFill>
                        <w14:solidFill>
                          <w14:schemeClr w14:val="tx1"/>
                        </w14:solidFill>
                      </w14:textFill>
                    </w:rPr>
                    <w:t>噪声</w:t>
                  </w:r>
                </w:p>
              </w:tc>
              <w:tc>
                <w:tcPr>
                  <w:tcW w:w="792" w:type="pct"/>
                  <w:noWrap/>
                  <w:vAlign w:val="center"/>
                </w:tcPr>
                <w:p w14:paraId="58BE70B9">
                  <w:pPr>
                    <w:pStyle w:val="6"/>
                    <w:jc w:val="center"/>
                    <w:rPr>
                      <w:rFonts w:ascii="Times New Roman" w:eastAsia="宋体"/>
                      <w:b w:val="0"/>
                      <w:bCs/>
                      <w:color w:val="000000" w:themeColor="text1"/>
                      <w:sz w:val="21"/>
                      <w:szCs w:val="21"/>
                      <w14:textFill>
                        <w14:solidFill>
                          <w14:schemeClr w14:val="tx1"/>
                        </w14:solidFill>
                      </w14:textFill>
                    </w:rPr>
                  </w:pPr>
                  <w:r>
                    <w:rPr>
                      <w:rFonts w:ascii="Times New Roman" w:eastAsia="宋体"/>
                      <w:b w:val="0"/>
                      <w:bCs/>
                      <w:color w:val="000000" w:themeColor="text1"/>
                      <w:sz w:val="21"/>
                      <w:szCs w:val="21"/>
                      <w14:textFill>
                        <w14:solidFill>
                          <w14:schemeClr w14:val="tx1"/>
                        </w14:solidFill>
                      </w14:textFill>
                    </w:rPr>
                    <w:t>厂界外1米</w:t>
                  </w:r>
                </w:p>
              </w:tc>
              <w:tc>
                <w:tcPr>
                  <w:tcW w:w="1004" w:type="pct"/>
                  <w:noWrap/>
                  <w:vAlign w:val="center"/>
                </w:tcPr>
                <w:p w14:paraId="7AF2D906">
                  <w:pPr>
                    <w:pStyle w:val="6"/>
                    <w:jc w:val="center"/>
                    <w:rPr>
                      <w:rFonts w:ascii="Times New Roman" w:eastAsia="宋体"/>
                      <w:b w:val="0"/>
                      <w:bCs/>
                      <w:color w:val="000000" w:themeColor="text1"/>
                      <w:sz w:val="21"/>
                      <w:szCs w:val="21"/>
                      <w14:textFill>
                        <w14:solidFill>
                          <w14:schemeClr w14:val="tx1"/>
                        </w14:solidFill>
                      </w14:textFill>
                    </w:rPr>
                  </w:pPr>
                  <w:r>
                    <w:rPr>
                      <w:rFonts w:ascii="Times New Roman" w:eastAsia="宋体"/>
                      <w:b w:val="0"/>
                      <w:bCs/>
                      <w:color w:val="000000" w:themeColor="text1"/>
                      <w:sz w:val="21"/>
                      <w:szCs w:val="21"/>
                      <w14:textFill>
                        <w14:solidFill>
                          <w14:schemeClr w14:val="tx1"/>
                        </w14:solidFill>
                      </w14:textFill>
                    </w:rPr>
                    <w:t>昼</w:t>
                  </w:r>
                  <w:r>
                    <w:rPr>
                      <w:rFonts w:hint="eastAsia" w:ascii="Times New Roman" w:eastAsia="宋体"/>
                      <w:b w:val="0"/>
                      <w:bCs/>
                      <w:color w:val="000000" w:themeColor="text1"/>
                      <w:sz w:val="21"/>
                      <w:szCs w:val="21"/>
                      <w:lang w:val="en-US" w:eastAsia="zh-CN"/>
                      <w14:textFill>
                        <w14:solidFill>
                          <w14:schemeClr w14:val="tx1"/>
                        </w14:solidFill>
                      </w14:textFill>
                    </w:rPr>
                    <w:t>夜</w:t>
                  </w:r>
                  <w:r>
                    <w:rPr>
                      <w:rFonts w:ascii="Times New Roman" w:eastAsia="宋体"/>
                      <w:b w:val="0"/>
                      <w:bCs/>
                      <w:color w:val="000000" w:themeColor="text1"/>
                      <w:sz w:val="21"/>
                      <w:szCs w:val="21"/>
                      <w14:textFill>
                        <w14:solidFill>
                          <w14:schemeClr w14:val="tx1"/>
                        </w14:solidFill>
                      </w14:textFill>
                    </w:rPr>
                    <w:t>等效声级</w:t>
                  </w:r>
                </w:p>
              </w:tc>
              <w:tc>
                <w:tcPr>
                  <w:tcW w:w="716" w:type="pct"/>
                  <w:noWrap/>
                  <w:vAlign w:val="center"/>
                </w:tcPr>
                <w:p w14:paraId="7BFF5BC9">
                  <w:pPr>
                    <w:pStyle w:val="6"/>
                    <w:jc w:val="center"/>
                    <w:rPr>
                      <w:rFonts w:ascii="Times New Roman" w:eastAsia="宋体"/>
                      <w:b w:val="0"/>
                      <w:bCs/>
                      <w:color w:val="000000" w:themeColor="text1"/>
                      <w:sz w:val="21"/>
                      <w:szCs w:val="21"/>
                      <w14:textFill>
                        <w14:solidFill>
                          <w14:schemeClr w14:val="tx1"/>
                        </w14:solidFill>
                      </w14:textFill>
                    </w:rPr>
                  </w:pPr>
                  <w:r>
                    <w:rPr>
                      <w:rFonts w:ascii="Times New Roman" w:eastAsia="宋体"/>
                      <w:b w:val="0"/>
                      <w:bCs/>
                      <w:color w:val="000000" w:themeColor="text1"/>
                      <w:sz w:val="21"/>
                      <w:szCs w:val="21"/>
                      <w14:textFill>
                        <w14:solidFill>
                          <w14:schemeClr w14:val="tx1"/>
                        </w14:solidFill>
                      </w14:textFill>
                    </w:rPr>
                    <w:t>1次/季度</w:t>
                  </w:r>
                </w:p>
              </w:tc>
              <w:tc>
                <w:tcPr>
                  <w:tcW w:w="2069" w:type="pct"/>
                  <w:noWrap/>
                  <w:vAlign w:val="center"/>
                </w:tcPr>
                <w:p w14:paraId="121BC75E">
                  <w:pPr>
                    <w:pStyle w:val="6"/>
                    <w:jc w:val="center"/>
                    <w:rPr>
                      <w:rFonts w:ascii="Times New Roman" w:eastAsia="宋体"/>
                      <w:b w:val="0"/>
                      <w:bCs/>
                      <w:color w:val="000000" w:themeColor="text1"/>
                      <w:sz w:val="21"/>
                      <w:szCs w:val="21"/>
                      <w14:textFill>
                        <w14:solidFill>
                          <w14:schemeClr w14:val="tx1"/>
                        </w14:solidFill>
                      </w14:textFill>
                    </w:rPr>
                  </w:pPr>
                  <w:r>
                    <w:rPr>
                      <w:rFonts w:ascii="Times New Roman" w:eastAsia="宋体"/>
                      <w:b w:val="0"/>
                      <w:bCs/>
                      <w:color w:val="000000" w:themeColor="text1"/>
                      <w:sz w:val="21"/>
                      <w:szCs w:val="21"/>
                      <w14:textFill>
                        <w14:solidFill>
                          <w14:schemeClr w14:val="tx1"/>
                        </w14:solidFill>
                      </w14:textFill>
                    </w:rPr>
                    <w:t>《工业企业厂界环境噪声排放标准》（GB12348-2008）</w:t>
                  </w:r>
                  <w:r>
                    <w:rPr>
                      <w:rFonts w:hint="eastAsia" w:ascii="Times New Roman" w:eastAsia="宋体"/>
                      <w:b w:val="0"/>
                      <w:bCs/>
                      <w:color w:val="000000" w:themeColor="text1"/>
                      <w:sz w:val="21"/>
                      <w:szCs w:val="21"/>
                      <w14:textFill>
                        <w14:solidFill>
                          <w14:schemeClr w14:val="tx1"/>
                        </w14:solidFill>
                      </w14:textFill>
                    </w:rPr>
                    <w:t>3</w:t>
                  </w:r>
                  <w:r>
                    <w:rPr>
                      <w:rFonts w:ascii="Times New Roman" w:eastAsia="宋体"/>
                      <w:b w:val="0"/>
                      <w:bCs/>
                      <w:color w:val="000000" w:themeColor="text1"/>
                      <w:sz w:val="21"/>
                      <w:szCs w:val="21"/>
                      <w14:textFill>
                        <w14:solidFill>
                          <w14:schemeClr w14:val="tx1"/>
                        </w14:solidFill>
                      </w14:textFill>
                    </w:rPr>
                    <w:t>类标准</w:t>
                  </w:r>
                </w:p>
              </w:tc>
            </w:tr>
          </w:tbl>
          <w:p w14:paraId="0DFC4255">
            <w:pPr>
              <w:pStyle w:val="2"/>
              <w:spacing w:before="0" w:after="0" w:line="420" w:lineRule="exact"/>
              <w:ind w:right="0" w:firstLine="422" w:firstLineChars="200"/>
              <w:rPr>
                <w:b/>
                <w:bCs/>
                <w:color w:val="000000" w:themeColor="text1"/>
                <w:sz w:val="21"/>
                <w:szCs w:val="22"/>
                <w14:textFill>
                  <w14:solidFill>
                    <w14:schemeClr w14:val="tx1"/>
                  </w14:solidFill>
                </w14:textFill>
              </w:rPr>
            </w:pPr>
            <w:r>
              <w:rPr>
                <w:b/>
                <w:bCs/>
                <w:color w:val="000000" w:themeColor="text1"/>
                <w:sz w:val="21"/>
                <w:szCs w:val="22"/>
                <w14:textFill>
                  <w14:solidFill>
                    <w14:schemeClr w14:val="tx1"/>
                  </w14:solidFill>
                </w14:textFill>
              </w:rPr>
              <w:t>4.4固体废物</w:t>
            </w:r>
          </w:p>
          <w:p w14:paraId="1D4911C7">
            <w:pPr>
              <w:pStyle w:val="2"/>
              <w:spacing w:before="0" w:after="0" w:line="420" w:lineRule="exact"/>
              <w:ind w:right="0" w:firstLine="422" w:firstLineChars="200"/>
              <w:rPr>
                <w:b/>
                <w:bCs/>
                <w:color w:val="000000" w:themeColor="text1"/>
                <w:sz w:val="21"/>
                <w:szCs w:val="22"/>
                <w14:textFill>
                  <w14:solidFill>
                    <w14:schemeClr w14:val="tx1"/>
                  </w14:solidFill>
                </w14:textFill>
              </w:rPr>
            </w:pPr>
            <w:r>
              <w:rPr>
                <w:b/>
                <w:bCs/>
                <w:color w:val="000000" w:themeColor="text1"/>
                <w:sz w:val="21"/>
                <w:szCs w:val="22"/>
                <w14:textFill>
                  <w14:solidFill>
                    <w14:schemeClr w14:val="tx1"/>
                  </w14:solidFill>
                </w14:textFill>
              </w:rPr>
              <w:t>4.4.1产生量核算与统计</w:t>
            </w:r>
          </w:p>
          <w:p w14:paraId="71040533">
            <w:pPr>
              <w:spacing w:line="42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本项目产生</w:t>
            </w:r>
            <w:r>
              <w:rPr>
                <w:rFonts w:hint="eastAsia"/>
                <w:color w:val="000000" w:themeColor="text1"/>
                <w:szCs w:val="21"/>
                <w14:textFill>
                  <w14:solidFill>
                    <w14:schemeClr w14:val="tx1"/>
                  </w14:solidFill>
                </w14:textFill>
              </w:rPr>
              <w:t>的</w:t>
            </w:r>
            <w:r>
              <w:rPr>
                <w:color w:val="000000" w:themeColor="text1"/>
                <w:szCs w:val="21"/>
                <w14:textFill>
                  <w14:solidFill>
                    <w14:schemeClr w14:val="tx1"/>
                  </w14:solidFill>
                </w14:textFill>
              </w:rPr>
              <w:t>固废主要</w:t>
            </w:r>
            <w:r>
              <w:rPr>
                <w:rFonts w:hint="eastAsia"/>
                <w:color w:val="000000" w:themeColor="text1"/>
                <w:szCs w:val="21"/>
                <w14:textFill>
                  <w14:solidFill>
                    <w14:schemeClr w14:val="tx1"/>
                  </w14:solidFill>
                </w14:textFill>
              </w:rPr>
              <w:t>为废模具</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废包装袋、废液压油、废抹布、废包装桶、废油桶、废活性炭、生活垃圾</w:t>
            </w:r>
            <w:r>
              <w:rPr>
                <w:color w:val="000000" w:themeColor="text1"/>
                <w:szCs w:val="21"/>
                <w14:textFill>
                  <w14:solidFill>
                    <w14:schemeClr w14:val="tx1"/>
                  </w14:solidFill>
                </w14:textFill>
              </w:rPr>
              <w:t>。</w:t>
            </w:r>
          </w:p>
          <w:p w14:paraId="7AE8A079">
            <w:pPr>
              <w:spacing w:line="420" w:lineRule="exact"/>
              <w:ind w:firstLine="420" w:firstLineChars="200"/>
              <w:rPr>
                <w:color w:val="000000" w:themeColor="text1"/>
                <w:szCs w:val="21"/>
                <w14:textFill>
                  <w14:solidFill>
                    <w14:schemeClr w14:val="tx1"/>
                  </w14:solidFill>
                </w14:textFill>
              </w:rPr>
            </w:pPr>
            <w:bookmarkStart w:id="9" w:name="OLE_LINK52"/>
            <w:r>
              <w:rPr>
                <w:rFonts w:hint="eastAsia"/>
                <w:color w:val="000000" w:themeColor="text1"/>
                <w:szCs w:val="21"/>
                <w14:textFill>
                  <w14:solidFill>
                    <w14:schemeClr w14:val="tx1"/>
                  </w14:solidFill>
                </w14:textFill>
              </w:rPr>
              <w:t>（1）一般工业固废</w:t>
            </w:r>
          </w:p>
          <w:p w14:paraId="6E22D8CB">
            <w:pPr>
              <w:spacing w:line="420" w:lineRule="exact"/>
              <w:ind w:firstLine="420" w:firstLineChars="20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废模具：本项目</w:t>
            </w:r>
            <w:r>
              <w:rPr>
                <w:rFonts w:hint="eastAsia"/>
                <w:color w:val="000000" w:themeColor="text1"/>
                <w:szCs w:val="21"/>
                <w:lang w:val="en-US" w:eastAsia="zh-CN"/>
                <w14:textFill>
                  <w14:solidFill>
                    <w14:schemeClr w14:val="tx1"/>
                  </w14:solidFill>
                </w14:textFill>
              </w:rPr>
              <w:t>吹</w:t>
            </w:r>
            <w:r>
              <w:rPr>
                <w:rFonts w:hint="eastAsia"/>
                <w:color w:val="000000" w:themeColor="text1"/>
                <w:szCs w:val="21"/>
                <w14:textFill>
                  <w14:solidFill>
                    <w14:schemeClr w14:val="tx1"/>
                  </w14:solidFill>
                </w14:textFill>
              </w:rPr>
              <w:t>塑机全年共需更换2</w:t>
            </w:r>
            <w:r>
              <w:rPr>
                <w:rFonts w:hint="eastAsia"/>
                <w:color w:val="000000" w:themeColor="text1"/>
                <w:szCs w:val="21"/>
                <w:lang w:val="en-US" w:eastAsia="zh-CN"/>
                <w14:textFill>
                  <w14:solidFill>
                    <w14:schemeClr w14:val="tx1"/>
                  </w14:solidFill>
                </w14:textFill>
              </w:rPr>
              <w:t>00</w:t>
            </w:r>
            <w:r>
              <w:rPr>
                <w:rFonts w:hint="eastAsia"/>
                <w:color w:val="000000" w:themeColor="text1"/>
                <w:szCs w:val="21"/>
                <w14:textFill>
                  <w14:solidFill>
                    <w14:schemeClr w14:val="tx1"/>
                  </w14:solidFill>
                </w14:textFill>
              </w:rPr>
              <w:t>套模具，每套模具重量约0.</w:t>
            </w:r>
            <w:r>
              <w:rPr>
                <w:rFonts w:hint="eastAsia"/>
                <w:color w:val="000000" w:themeColor="text1"/>
                <w:szCs w:val="21"/>
                <w:lang w:val="en-US" w:eastAsia="zh-CN"/>
                <w14:textFill>
                  <w14:solidFill>
                    <w14:schemeClr w14:val="tx1"/>
                  </w14:solidFill>
                </w14:textFill>
              </w:rPr>
              <w:t>05</w:t>
            </w:r>
            <w:r>
              <w:rPr>
                <w:rFonts w:hint="eastAsia"/>
                <w:color w:val="000000" w:themeColor="text1"/>
                <w:szCs w:val="21"/>
                <w14:textFill>
                  <w14:solidFill>
                    <w14:schemeClr w14:val="tx1"/>
                  </w14:solidFill>
                </w14:textFill>
              </w:rPr>
              <w:t>t，则废模具产生量为</w:t>
            </w:r>
            <w:r>
              <w:rPr>
                <w:rFonts w:hint="eastAsia"/>
                <w:color w:val="000000" w:themeColor="text1"/>
                <w:szCs w:val="21"/>
                <w:lang w:val="en-US" w:eastAsia="zh-CN"/>
                <w14:textFill>
                  <w14:solidFill>
                    <w14:schemeClr w14:val="tx1"/>
                  </w14:solidFill>
                </w14:textFill>
              </w:rPr>
              <w:t>10</w:t>
            </w:r>
            <w:r>
              <w:rPr>
                <w:rFonts w:hint="eastAsia"/>
                <w:color w:val="000000" w:themeColor="text1"/>
                <w:szCs w:val="21"/>
                <w14:textFill>
                  <w14:solidFill>
                    <w14:schemeClr w14:val="tx1"/>
                  </w14:solidFill>
                </w14:textFill>
              </w:rPr>
              <w:t>t/a，收集后外售。</w:t>
            </w:r>
          </w:p>
          <w:p w14:paraId="44D37F80">
            <w:pPr>
              <w:spacing w:line="42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废包装袋：</w:t>
            </w:r>
            <w:bookmarkEnd w:id="9"/>
            <w:r>
              <w:rPr>
                <w:rFonts w:hint="eastAsia"/>
                <w:color w:val="000000" w:themeColor="text1"/>
                <w:szCs w:val="21"/>
                <w14:textFill>
                  <w14:solidFill>
                    <w14:schemeClr w14:val="tx1"/>
                  </w14:solidFill>
                </w14:textFill>
              </w:rPr>
              <w:t>本项目</w:t>
            </w:r>
            <w:r>
              <w:rPr>
                <w:rFonts w:hint="default" w:ascii="Times New Roman" w:hAnsi="Times New Roman" w:cs="Times New Roman"/>
                <w:color w:val="000000" w:themeColor="text1"/>
                <w:sz w:val="21"/>
                <w:szCs w:val="21"/>
                <w14:textFill>
                  <w14:solidFill>
                    <w14:schemeClr w14:val="tx1"/>
                  </w14:solidFill>
                </w14:textFill>
              </w:rPr>
              <w:t>HDPE</w:t>
            </w:r>
            <w:r>
              <w:rPr>
                <w:rFonts w:hint="eastAsia"/>
                <w:color w:val="000000" w:themeColor="text1"/>
                <w:szCs w:val="21"/>
                <w14:textFill>
                  <w14:solidFill>
                    <w14:schemeClr w14:val="tx1"/>
                  </w14:solidFill>
                </w14:textFill>
              </w:rPr>
              <w:t>粒子使用产生废包装，</w:t>
            </w:r>
            <w:r>
              <w:rPr>
                <w:rFonts w:hint="default" w:ascii="Times New Roman" w:hAnsi="Times New Roman" w:cs="Times New Roman"/>
                <w:color w:val="000000" w:themeColor="text1"/>
                <w:sz w:val="21"/>
                <w:szCs w:val="21"/>
                <w14:textFill>
                  <w14:solidFill>
                    <w14:schemeClr w14:val="tx1"/>
                  </w14:solidFill>
                </w14:textFill>
              </w:rPr>
              <w:t>HDPE</w:t>
            </w:r>
            <w:r>
              <w:rPr>
                <w:rFonts w:hint="eastAsia"/>
                <w:color w:val="000000" w:themeColor="text1"/>
                <w:szCs w:val="21"/>
                <w14:textFill>
                  <w14:solidFill>
                    <w14:schemeClr w14:val="tx1"/>
                  </w14:solidFill>
                </w14:textFill>
              </w:rPr>
              <w:t>粒子</w:t>
            </w:r>
            <w:r>
              <w:rPr>
                <w:rFonts w:hint="eastAsia"/>
                <w:color w:val="000000" w:themeColor="text1"/>
                <w:szCs w:val="21"/>
                <w:lang w:val="en-US" w:eastAsia="zh-CN"/>
                <w14:textFill>
                  <w14:solidFill>
                    <w14:schemeClr w14:val="tx1"/>
                  </w14:solidFill>
                </w14:textFill>
              </w:rPr>
              <w:t>废包装袋产生量为16000个/a（0.02kg/个），则废包装袋</w:t>
            </w:r>
            <w:r>
              <w:rPr>
                <w:rFonts w:hint="eastAsia"/>
                <w:color w:val="000000" w:themeColor="text1"/>
                <w:szCs w:val="21"/>
                <w14:textFill>
                  <w14:solidFill>
                    <w14:schemeClr w14:val="tx1"/>
                  </w14:solidFill>
                </w14:textFill>
              </w:rPr>
              <w:t>产生量为0.</w:t>
            </w:r>
            <w:r>
              <w:rPr>
                <w:rFonts w:hint="eastAsia"/>
                <w:color w:val="000000" w:themeColor="text1"/>
                <w:szCs w:val="21"/>
                <w:lang w:val="en-US" w:eastAsia="zh-CN"/>
                <w14:textFill>
                  <w14:solidFill>
                    <w14:schemeClr w14:val="tx1"/>
                  </w14:solidFill>
                </w14:textFill>
              </w:rPr>
              <w:t>32</w:t>
            </w:r>
            <w:r>
              <w:rPr>
                <w:rFonts w:hint="eastAsia"/>
                <w:color w:val="000000" w:themeColor="text1"/>
                <w:szCs w:val="21"/>
                <w14:textFill>
                  <w14:solidFill>
                    <w14:schemeClr w14:val="tx1"/>
                  </w14:solidFill>
                </w14:textFill>
              </w:rPr>
              <w:t>t/a</w:t>
            </w:r>
            <w:r>
              <w:rPr>
                <w:color w:val="000000" w:themeColor="text1"/>
                <w:szCs w:val="21"/>
                <w14:textFill>
                  <w14:solidFill>
                    <w14:schemeClr w14:val="tx1"/>
                  </w14:solidFill>
                </w14:textFill>
              </w:rPr>
              <w:t>，收集后外售</w:t>
            </w:r>
            <w:r>
              <w:rPr>
                <w:rFonts w:hint="eastAsia"/>
                <w:color w:val="000000" w:themeColor="text1"/>
                <w:szCs w:val="21"/>
                <w14:textFill>
                  <w14:solidFill>
                    <w14:schemeClr w14:val="tx1"/>
                  </w14:solidFill>
                </w14:textFill>
              </w:rPr>
              <w:t>。</w:t>
            </w:r>
          </w:p>
          <w:p w14:paraId="40CAEFCB">
            <w:pPr>
              <w:spacing w:line="42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（2）危险废物</w:t>
            </w:r>
          </w:p>
          <w:p w14:paraId="2B7B24D5">
            <w:pPr>
              <w:spacing w:line="420" w:lineRule="exact"/>
              <w:ind w:firstLine="420" w:firstLineChars="200"/>
              <w:rPr>
                <w:rFonts w:hint="eastAsia"/>
                <w:color w:val="000000" w:themeColor="text1"/>
                <w:szCs w:val="21"/>
                <w14:textFill>
                  <w14:solidFill>
                    <w14:schemeClr w14:val="tx1"/>
                  </w14:solidFill>
                </w14:textFill>
              </w:rPr>
            </w:pPr>
            <w:r>
              <w:rPr>
                <w:rFonts w:hint="eastAsia"/>
                <w:color w:val="000000" w:themeColor="text1"/>
                <w:kern w:val="0"/>
                <w:szCs w:val="16"/>
                <w14:textFill>
                  <w14:solidFill>
                    <w14:schemeClr w14:val="tx1"/>
                  </w14:solidFill>
                </w14:textFill>
              </w:rPr>
              <w:t>废液压油</w:t>
            </w:r>
            <w:r>
              <w:rPr>
                <w:rFonts w:hint="eastAsia"/>
                <w:color w:val="000000" w:themeColor="text1"/>
                <w:szCs w:val="21"/>
                <w14:textFill>
                  <w14:solidFill>
                    <w14:schemeClr w14:val="tx1"/>
                  </w14:solidFill>
                </w14:textFill>
              </w:rPr>
              <w:t>：设备维护过程使用</w:t>
            </w:r>
            <w:r>
              <w:rPr>
                <w:rFonts w:hint="eastAsia"/>
                <w:color w:val="000000" w:themeColor="text1"/>
                <w:kern w:val="0"/>
                <w:szCs w:val="16"/>
                <w14:textFill>
                  <w14:solidFill>
                    <w14:schemeClr w14:val="tx1"/>
                  </w14:solidFill>
                </w14:textFill>
              </w:rPr>
              <w:t>液压油</w:t>
            </w:r>
            <w:r>
              <w:rPr>
                <w:rFonts w:hint="eastAsia"/>
                <w:color w:val="000000" w:themeColor="text1"/>
                <w:szCs w:val="21"/>
                <w14:textFill>
                  <w14:solidFill>
                    <w14:schemeClr w14:val="tx1"/>
                  </w14:solidFill>
                </w14:textFill>
              </w:rPr>
              <w:t>，</w:t>
            </w:r>
            <w:r>
              <w:rPr>
                <w:rFonts w:hint="eastAsia"/>
                <w:color w:val="000000" w:themeColor="text1"/>
                <w:kern w:val="0"/>
                <w:szCs w:val="16"/>
                <w14:textFill>
                  <w14:solidFill>
                    <w14:schemeClr w14:val="tx1"/>
                  </w14:solidFill>
                </w14:textFill>
              </w:rPr>
              <w:t>液压油</w:t>
            </w:r>
            <w:r>
              <w:rPr>
                <w:rFonts w:hint="eastAsia"/>
                <w:color w:val="000000" w:themeColor="text1"/>
                <w:szCs w:val="21"/>
                <w14:textFill>
                  <w14:solidFill>
                    <w14:schemeClr w14:val="tx1"/>
                  </w14:solidFill>
                </w14:textFill>
              </w:rPr>
              <w:t>定期更换，会产生少量废</w:t>
            </w:r>
            <w:r>
              <w:rPr>
                <w:rFonts w:hint="eastAsia"/>
                <w:color w:val="000000" w:themeColor="text1"/>
                <w:kern w:val="0"/>
                <w:szCs w:val="16"/>
                <w14:textFill>
                  <w14:solidFill>
                    <w14:schemeClr w14:val="tx1"/>
                  </w14:solidFill>
                </w14:textFill>
              </w:rPr>
              <w:t>液压油</w:t>
            </w:r>
            <w:r>
              <w:rPr>
                <w:rFonts w:hint="eastAsia"/>
                <w:color w:val="000000" w:themeColor="text1"/>
                <w:szCs w:val="21"/>
                <w14:textFill>
                  <w14:solidFill>
                    <w14:schemeClr w14:val="tx1"/>
                  </w14:solidFill>
                </w14:textFill>
              </w:rPr>
              <w:t>，产生量约为</w:t>
            </w:r>
            <w:r>
              <w:rPr>
                <w:rFonts w:hint="eastAsia"/>
                <w:color w:val="000000" w:themeColor="text1"/>
                <w:szCs w:val="21"/>
                <w:lang w:val="en-US" w:eastAsia="zh-CN"/>
                <w14:textFill>
                  <w14:solidFill>
                    <w14:schemeClr w14:val="tx1"/>
                  </w14:solidFill>
                </w14:textFill>
              </w:rPr>
              <w:t>0.34</w:t>
            </w:r>
            <w:r>
              <w:rPr>
                <w:rFonts w:hint="eastAsia"/>
                <w:color w:val="000000" w:themeColor="text1"/>
                <w:szCs w:val="21"/>
                <w14:textFill>
                  <w14:solidFill>
                    <w14:schemeClr w14:val="tx1"/>
                  </w14:solidFill>
                </w14:textFill>
              </w:rPr>
              <w:t>t/</w:t>
            </w:r>
            <w:r>
              <w:rPr>
                <w:rFonts w:hint="eastAsia"/>
                <w:color w:val="000000" w:themeColor="text1"/>
                <w:szCs w:val="21"/>
                <w:lang w:val="en-US" w:eastAsia="zh-CN"/>
                <w14:textFill>
                  <w14:solidFill>
                    <w14:schemeClr w14:val="tx1"/>
                  </w14:solidFill>
                </w14:textFill>
              </w:rPr>
              <w:t>5</w:t>
            </w:r>
            <w:r>
              <w:rPr>
                <w:rFonts w:hint="eastAsia"/>
                <w:color w:val="000000" w:themeColor="text1"/>
                <w:szCs w:val="21"/>
                <w14:textFill>
                  <w14:solidFill>
                    <w14:schemeClr w14:val="tx1"/>
                  </w14:solidFill>
                </w14:textFill>
              </w:rPr>
              <w:t>a</w:t>
            </w:r>
            <w:r>
              <w:rPr>
                <w:color w:val="000000" w:themeColor="text1"/>
                <w:szCs w:val="21"/>
                <w14:textFill>
                  <w14:solidFill>
                    <w14:schemeClr w14:val="tx1"/>
                  </w14:solidFill>
                </w14:textFill>
              </w:rPr>
              <w:t>，收集后委托有资质单位</w:t>
            </w:r>
            <w:r>
              <w:rPr>
                <w:rFonts w:hint="eastAsia"/>
                <w:color w:val="000000" w:themeColor="text1"/>
                <w:szCs w:val="21"/>
                <w14:textFill>
                  <w14:solidFill>
                    <w14:schemeClr w14:val="tx1"/>
                  </w14:solidFill>
                </w14:textFill>
              </w:rPr>
              <w:t>处理。</w:t>
            </w:r>
          </w:p>
          <w:p w14:paraId="32557FD9">
            <w:pPr>
              <w:spacing w:line="420" w:lineRule="exact"/>
              <w:ind w:firstLine="420" w:firstLineChars="20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废抹布：使用抹布擦拭印刷机，产生废抹布。</w:t>
            </w:r>
            <w:r>
              <w:rPr>
                <w:rFonts w:hint="eastAsia"/>
                <w:color w:val="000000" w:themeColor="text1"/>
                <w:szCs w:val="21"/>
                <w:lang w:val="en-US" w:eastAsia="zh-CN"/>
                <w14:textFill>
                  <w14:solidFill>
                    <w14:schemeClr w14:val="tx1"/>
                  </w14:solidFill>
                </w14:textFill>
              </w:rPr>
              <w:t>本项目抹布年用量0.25t，考虑到油墨、</w:t>
            </w:r>
            <w:r>
              <w:rPr>
                <w:rFonts w:hint="default" w:ascii="Times New Roman" w:hAnsi="Times New Roman" w:cs="Times New Roman"/>
                <w:color w:val="000000" w:themeColor="text1"/>
                <w:sz w:val="21"/>
                <w:szCs w:val="21"/>
                <w14:textFill>
                  <w14:solidFill>
                    <w14:schemeClr w14:val="tx1"/>
                  </w14:solidFill>
                </w14:textFill>
              </w:rPr>
              <w:t>清洗剂</w:t>
            </w:r>
            <w:r>
              <w:rPr>
                <w:rFonts w:hint="eastAsia"/>
                <w:color w:val="000000" w:themeColor="text1"/>
                <w:szCs w:val="21"/>
                <w:lang w:val="en-US" w:eastAsia="zh-CN"/>
                <w14:textFill>
                  <w14:solidFill>
                    <w14:schemeClr w14:val="tx1"/>
                  </w14:solidFill>
                </w14:textFill>
              </w:rPr>
              <w:t>等残留，废抹布产生量按抹布使用量的1.1</w:t>
            </w:r>
            <w:r>
              <w:rPr>
                <w:rFonts w:hint="eastAsia"/>
                <w:color w:val="000000" w:themeColor="text1"/>
                <w:lang w:val="en-US" w:eastAsia="zh-CN"/>
                <w14:textFill>
                  <w14:solidFill>
                    <w14:schemeClr w14:val="tx1"/>
                  </w14:solidFill>
                </w14:textFill>
              </w:rPr>
              <w:t>倍</w:t>
            </w:r>
            <w:r>
              <w:rPr>
                <w:rFonts w:hint="eastAsia"/>
                <w:color w:val="000000" w:themeColor="text1"/>
                <w:szCs w:val="21"/>
                <w:lang w:val="en-US" w:eastAsia="zh-CN"/>
                <w14:textFill>
                  <w14:solidFill>
                    <w14:schemeClr w14:val="tx1"/>
                  </w14:solidFill>
                </w14:textFill>
              </w:rPr>
              <w:t>进行计算，废抹布产生量约0.28t/a，收集后委托有资质单位处理。</w:t>
            </w:r>
          </w:p>
          <w:p w14:paraId="5E47CEE8">
            <w:pPr>
              <w:spacing w:line="420" w:lineRule="exact"/>
              <w:ind w:firstLine="420" w:firstLineChars="20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废包装</w:t>
            </w:r>
            <w:r>
              <w:rPr>
                <w:rFonts w:hint="eastAsia"/>
                <w:color w:val="000000" w:themeColor="text1"/>
                <w:szCs w:val="21"/>
                <w:lang w:val="en-US" w:eastAsia="zh-CN"/>
                <w14:textFill>
                  <w14:solidFill>
                    <w14:schemeClr w14:val="tx1"/>
                  </w14:solidFill>
                </w14:textFill>
              </w:rPr>
              <w:t>桶</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本项目油墨、</w:t>
            </w:r>
            <w:r>
              <w:rPr>
                <w:rFonts w:hint="default" w:ascii="Times New Roman" w:hAnsi="Times New Roman" w:cs="Times New Roman"/>
                <w:color w:val="000000" w:themeColor="text1"/>
                <w:sz w:val="21"/>
                <w:szCs w:val="21"/>
                <w14:textFill>
                  <w14:solidFill>
                    <w14:schemeClr w14:val="tx1"/>
                  </w14:solidFill>
                </w14:textFill>
              </w:rPr>
              <w:t>清洗剂</w:t>
            </w:r>
            <w:r>
              <w:rPr>
                <w:rFonts w:hint="eastAsia"/>
                <w:color w:val="000000" w:themeColor="text1"/>
                <w:szCs w:val="21"/>
                <w:lang w:val="en-US" w:eastAsia="zh-CN"/>
                <w14:textFill>
                  <w14:solidFill>
                    <w14:schemeClr w14:val="tx1"/>
                  </w14:solidFill>
                </w14:textFill>
              </w:rPr>
              <w:t>使用过程产生废包装桶</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油墨废包装桶产生量为10个/a（1.6kg/个），</w:t>
            </w:r>
            <w:r>
              <w:rPr>
                <w:rFonts w:hint="default" w:ascii="Times New Roman" w:hAnsi="Times New Roman" w:cs="Times New Roman"/>
                <w:color w:val="000000" w:themeColor="text1"/>
                <w:sz w:val="21"/>
                <w:szCs w:val="21"/>
                <w14:textFill>
                  <w14:solidFill>
                    <w14:schemeClr w14:val="tx1"/>
                  </w14:solidFill>
                </w14:textFill>
              </w:rPr>
              <w:t>清洗剂</w:t>
            </w:r>
            <w:r>
              <w:rPr>
                <w:rFonts w:hint="eastAsia"/>
                <w:color w:val="000000" w:themeColor="text1"/>
                <w:szCs w:val="21"/>
                <w:lang w:val="en-US" w:eastAsia="zh-CN"/>
                <w14:textFill>
                  <w14:solidFill>
                    <w14:schemeClr w14:val="tx1"/>
                  </w14:solidFill>
                </w14:textFill>
              </w:rPr>
              <w:t>废包装桶产生量为6个/a（0.5kg/个），则废包装桶产生量约为0.02t/a，收集后委托有资质单位处理。</w:t>
            </w:r>
          </w:p>
          <w:p w14:paraId="0B3CECCF">
            <w:pPr>
              <w:spacing w:line="420" w:lineRule="exact"/>
              <w:ind w:firstLine="420" w:firstLineChars="20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废油桶：本项目液压油使用过程会产生废液压油桶</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个（15kg/个），</w:t>
            </w:r>
            <w:r>
              <w:rPr>
                <w:rFonts w:hint="eastAsia"/>
                <w:color w:val="000000" w:themeColor="text1"/>
                <w:szCs w:val="21"/>
                <w:lang w:val="en-US" w:eastAsia="zh-CN"/>
                <w14:textFill>
                  <w14:solidFill>
                    <w14:schemeClr w14:val="tx1"/>
                  </w14:solidFill>
                </w14:textFill>
              </w:rPr>
              <w:t>为0.03</w:t>
            </w:r>
            <w:r>
              <w:rPr>
                <w:rFonts w:hint="eastAsia"/>
                <w:color w:val="000000" w:themeColor="text1"/>
                <w:szCs w:val="21"/>
                <w14:textFill>
                  <w14:solidFill>
                    <w14:schemeClr w14:val="tx1"/>
                  </w14:solidFill>
                </w14:textFill>
              </w:rPr>
              <w:t>t/</w:t>
            </w:r>
            <w:r>
              <w:rPr>
                <w:rFonts w:hint="eastAsia"/>
                <w:color w:val="000000" w:themeColor="text1"/>
                <w:szCs w:val="21"/>
                <w:lang w:val="en-US" w:eastAsia="zh-CN"/>
                <w14:textFill>
                  <w14:solidFill>
                    <w14:schemeClr w14:val="tx1"/>
                  </w14:solidFill>
                </w14:textFill>
              </w:rPr>
              <w:t>5</w:t>
            </w:r>
            <w:r>
              <w:rPr>
                <w:rFonts w:hint="eastAsia"/>
                <w:color w:val="000000" w:themeColor="text1"/>
                <w:szCs w:val="21"/>
                <w14:textFill>
                  <w14:solidFill>
                    <w14:schemeClr w14:val="tx1"/>
                  </w14:solidFill>
                </w14:textFill>
              </w:rPr>
              <w:t>a，收集后委托有资质单位处理。</w:t>
            </w:r>
          </w:p>
          <w:p w14:paraId="4632562E">
            <w:pPr>
              <w:spacing w:line="420" w:lineRule="exact"/>
              <w:ind w:firstLine="420" w:firstLineChars="20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废活性炭：</w:t>
            </w:r>
            <w:r>
              <w:rPr>
                <w:rFonts w:hint="eastAsia"/>
                <w:color w:val="000000" w:themeColor="text1"/>
                <w:szCs w:val="21"/>
                <w:lang w:val="en-US" w:eastAsia="zh-CN"/>
                <w14:textFill>
                  <w14:solidFill>
                    <w14:schemeClr w14:val="tx1"/>
                  </w14:solidFill>
                </w14:textFill>
              </w:rPr>
              <w:t>本项目废气处理过程产生废活性炭，根据上文分析</w:t>
            </w:r>
            <w:r>
              <w:rPr>
                <w:rFonts w:hint="eastAsia"/>
                <w:color w:val="000000" w:themeColor="text1"/>
                <w:szCs w:val="21"/>
                <w:highlight w:val="none"/>
                <w:lang w:val="en-US" w:eastAsia="zh-CN"/>
                <w14:textFill>
                  <w14:solidFill>
                    <w14:schemeClr w14:val="tx1"/>
                  </w14:solidFill>
                </w14:textFill>
              </w:rPr>
              <w:t>可知，产生量为6.85t/a，</w:t>
            </w:r>
            <w:r>
              <w:rPr>
                <w:rFonts w:hint="eastAsia"/>
                <w:color w:val="000000" w:themeColor="text1"/>
                <w:szCs w:val="21"/>
                <w:lang w:val="en-US" w:eastAsia="zh-CN"/>
                <w14:textFill>
                  <w14:solidFill>
                    <w14:schemeClr w14:val="tx1"/>
                  </w14:solidFill>
                </w14:textFill>
              </w:rPr>
              <w:t>收集后委托有资质单位处理。</w:t>
            </w:r>
          </w:p>
          <w:p w14:paraId="25195EB2">
            <w:pPr>
              <w:spacing w:line="42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（3）生活垃圾</w:t>
            </w:r>
          </w:p>
          <w:p w14:paraId="0351F438">
            <w:pPr>
              <w:spacing w:line="42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w:t>
            </w:r>
            <w:r>
              <w:rPr>
                <w:color w:val="000000" w:themeColor="text1"/>
                <w:szCs w:val="21"/>
                <w14:textFill>
                  <w14:solidFill>
                    <w14:schemeClr w14:val="tx1"/>
                  </w14:solidFill>
                </w14:textFill>
              </w:rPr>
              <w:t>产生量以每人0.5kg/d估算，项目职工</w:t>
            </w:r>
            <w:r>
              <w:rPr>
                <w:rFonts w:hint="eastAsia"/>
                <w:color w:val="000000" w:themeColor="text1"/>
                <w:szCs w:val="21"/>
                <w:lang w:val="en-US" w:eastAsia="zh-CN"/>
                <w14:textFill>
                  <w14:solidFill>
                    <w14:schemeClr w14:val="tx1"/>
                  </w14:solidFill>
                </w14:textFill>
              </w:rPr>
              <w:t>45</w:t>
            </w:r>
            <w:r>
              <w:rPr>
                <w:color w:val="000000" w:themeColor="text1"/>
                <w:szCs w:val="21"/>
                <w14:textFill>
                  <w14:solidFill>
                    <w14:schemeClr w14:val="tx1"/>
                  </w14:solidFill>
                </w14:textFill>
              </w:rPr>
              <w:t>人，全年300天共产生生活垃圾</w:t>
            </w:r>
            <w:r>
              <w:rPr>
                <w:rFonts w:hint="eastAsia"/>
                <w:color w:val="000000" w:themeColor="text1"/>
                <w:szCs w:val="21"/>
                <w:lang w:val="en-US" w:eastAsia="zh-CN"/>
                <w14:textFill>
                  <w14:solidFill>
                    <w14:schemeClr w14:val="tx1"/>
                  </w14:solidFill>
                </w14:textFill>
              </w:rPr>
              <w:t>6.75</w:t>
            </w:r>
            <w:r>
              <w:rPr>
                <w:color w:val="000000" w:themeColor="text1"/>
                <w:szCs w:val="21"/>
                <w14:textFill>
                  <w14:solidFill>
                    <w14:schemeClr w14:val="tx1"/>
                  </w14:solidFill>
                </w14:textFill>
              </w:rPr>
              <w:t>t/a，收集后</w:t>
            </w:r>
            <w:r>
              <w:rPr>
                <w:rFonts w:hint="eastAsia"/>
                <w:color w:val="000000" w:themeColor="text1"/>
                <w:szCs w:val="21"/>
                <w14:textFill>
                  <w14:solidFill>
                    <w14:schemeClr w14:val="tx1"/>
                  </w14:solidFill>
                </w14:textFill>
              </w:rPr>
              <w:t>委托</w:t>
            </w:r>
            <w:r>
              <w:rPr>
                <w:color w:val="000000" w:themeColor="text1"/>
                <w:szCs w:val="21"/>
                <w14:textFill>
                  <w14:solidFill>
                    <w14:schemeClr w14:val="tx1"/>
                  </w14:solidFill>
                </w14:textFill>
              </w:rPr>
              <w:t>环卫</w:t>
            </w:r>
            <w:r>
              <w:rPr>
                <w:rFonts w:hint="eastAsia"/>
                <w:color w:val="000000" w:themeColor="text1"/>
                <w:szCs w:val="21"/>
                <w14:textFill>
                  <w14:solidFill>
                    <w14:schemeClr w14:val="tx1"/>
                  </w14:solidFill>
                </w14:textFill>
              </w:rPr>
              <w:t>部门</w:t>
            </w:r>
            <w:r>
              <w:rPr>
                <w:color w:val="000000" w:themeColor="text1"/>
                <w:szCs w:val="21"/>
                <w14:textFill>
                  <w14:solidFill>
                    <w14:schemeClr w14:val="tx1"/>
                  </w14:solidFill>
                </w14:textFill>
              </w:rPr>
              <w:t>清运</w:t>
            </w:r>
            <w:r>
              <w:rPr>
                <w:rFonts w:hint="eastAsia"/>
                <w:color w:val="000000" w:themeColor="text1"/>
                <w:szCs w:val="21"/>
                <w14:textFill>
                  <w14:solidFill>
                    <w14:schemeClr w14:val="tx1"/>
                  </w14:solidFill>
                </w14:textFill>
              </w:rPr>
              <w:t>。</w:t>
            </w:r>
          </w:p>
          <w:p w14:paraId="473FCB74">
            <w:pPr>
              <w:spacing w:line="420" w:lineRule="exact"/>
              <w:ind w:firstLine="420" w:firstLineChars="200"/>
              <w:rPr>
                <w:b/>
                <w:color w:val="000000" w:themeColor="text1"/>
                <w:szCs w:val="21"/>
                <w14:textFill>
                  <w14:solidFill>
                    <w14:schemeClr w14:val="tx1"/>
                  </w14:solidFill>
                </w14:textFill>
              </w:rPr>
            </w:pPr>
            <w:r>
              <w:rPr>
                <w:color w:val="000000" w:themeColor="text1"/>
                <w:szCs w:val="21"/>
                <w14:textFill>
                  <w14:solidFill>
                    <w14:schemeClr w14:val="tx1"/>
                  </w14:solidFill>
                </w14:textFill>
              </w:rPr>
              <w:t>按照《固体废物鉴别标准通则》（GB34330-2017）的规定，项目副产物判定结果汇总见表4.4-1；根据《国家危险废物名录》（</w:t>
            </w:r>
            <w:r>
              <w:rPr>
                <w:rFonts w:hint="eastAsia"/>
                <w:color w:val="000000" w:themeColor="text1"/>
                <w:szCs w:val="21"/>
                <w14:textFill>
                  <w14:solidFill>
                    <w14:schemeClr w14:val="tx1"/>
                  </w14:solidFill>
                </w14:textFill>
              </w:rPr>
              <w:t>202</w:t>
            </w:r>
            <w:r>
              <w:rPr>
                <w:rFonts w:hint="eastAsia"/>
                <w:color w:val="000000" w:themeColor="text1"/>
                <w:szCs w:val="21"/>
                <w:lang w:val="en-US" w:eastAsia="zh-CN"/>
                <w14:textFill>
                  <w14:solidFill>
                    <w14:schemeClr w14:val="tx1"/>
                  </w14:solidFill>
                </w14:textFill>
              </w:rPr>
              <w:t>5年</w:t>
            </w:r>
            <w:r>
              <w:rPr>
                <w:rFonts w:hint="eastAsia"/>
                <w:color w:val="000000" w:themeColor="text1"/>
                <w:szCs w:val="21"/>
                <w14:textFill>
                  <w14:solidFill>
                    <w14:schemeClr w14:val="tx1"/>
                  </w14:solidFill>
                </w14:textFill>
              </w:rPr>
              <w:t>版</w:t>
            </w:r>
            <w:r>
              <w:rPr>
                <w:color w:val="000000" w:themeColor="text1"/>
                <w:szCs w:val="21"/>
                <w14:textFill>
                  <w14:solidFill>
                    <w14:schemeClr w14:val="tx1"/>
                  </w14:solidFill>
                </w14:textFill>
              </w:rPr>
              <w:t>）汇总危险废物，汇总表见表4.4-2；运营期危险废物处置汇总见下表4.4-3。</w:t>
            </w:r>
          </w:p>
          <w:p w14:paraId="47011A87">
            <w:pPr>
              <w:spacing w:beforeLines="30"/>
              <w:jc w:val="center"/>
              <w:rPr>
                <w:b/>
                <w:color w:val="000000" w:themeColor="text1"/>
                <w:sz w:val="24"/>
                <w14:textFill>
                  <w14:solidFill>
                    <w14:schemeClr w14:val="tx1"/>
                  </w14:solidFill>
                </w14:textFill>
              </w:rPr>
            </w:pPr>
            <w:r>
              <w:rPr>
                <w:b/>
                <w:color w:val="000000" w:themeColor="text1"/>
                <w:szCs w:val="21"/>
                <w14:textFill>
                  <w14:solidFill>
                    <w14:schemeClr w14:val="tx1"/>
                  </w14:solidFill>
                </w14:textFill>
              </w:rPr>
              <w:t>表4.4-1  建设项目副产物产生情况汇总表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0"/>
              <w:gridCol w:w="605"/>
              <w:gridCol w:w="738"/>
              <w:gridCol w:w="330"/>
              <w:gridCol w:w="1421"/>
              <w:gridCol w:w="1167"/>
              <w:gridCol w:w="605"/>
              <w:gridCol w:w="467"/>
              <w:gridCol w:w="2852"/>
            </w:tblGrid>
            <w:tr w14:paraId="055EF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 w:type="pct"/>
                  <w:vMerge w:val="restart"/>
                  <w:noWrap/>
                  <w:tcMar>
                    <w:left w:w="28" w:type="dxa"/>
                    <w:right w:w="28" w:type="dxa"/>
                  </w:tcMar>
                  <w:vAlign w:val="center"/>
                </w:tcPr>
                <w:p w14:paraId="416A40DC">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533" w:type="pct"/>
                  <w:vMerge w:val="restart"/>
                  <w:noWrap/>
                  <w:tcMar>
                    <w:left w:w="28" w:type="dxa"/>
                    <w:right w:w="28" w:type="dxa"/>
                  </w:tcMar>
                  <w:vAlign w:val="center"/>
                </w:tcPr>
                <w:p w14:paraId="7C929C2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固体废物</w:t>
                  </w:r>
                </w:p>
                <w:p w14:paraId="1DC022D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812" w:type="pct"/>
                  <w:vMerge w:val="restart"/>
                  <w:noWrap/>
                  <w:tcMar>
                    <w:left w:w="28" w:type="dxa"/>
                    <w:right w:w="28" w:type="dxa"/>
                  </w:tcMar>
                  <w:vAlign w:val="center"/>
                </w:tcPr>
                <w:p w14:paraId="453DABFC">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产生环节</w:t>
                  </w:r>
                </w:p>
              </w:tc>
              <w:tc>
                <w:tcPr>
                  <w:tcW w:w="437" w:type="pct"/>
                  <w:vMerge w:val="restart"/>
                  <w:noWrap/>
                  <w:tcMar>
                    <w:left w:w="28" w:type="dxa"/>
                    <w:right w:w="28" w:type="dxa"/>
                  </w:tcMar>
                  <w:vAlign w:val="center"/>
                </w:tcPr>
                <w:p w14:paraId="09F9FFD2">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形态</w:t>
                  </w:r>
                </w:p>
              </w:tc>
              <w:tc>
                <w:tcPr>
                  <w:tcW w:w="721" w:type="pct"/>
                  <w:vMerge w:val="restart"/>
                  <w:noWrap/>
                  <w:tcMar>
                    <w:left w:w="28" w:type="dxa"/>
                    <w:right w:w="28" w:type="dxa"/>
                  </w:tcMar>
                  <w:vAlign w:val="center"/>
                </w:tcPr>
                <w:p w14:paraId="4177630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主要成分</w:t>
                  </w:r>
                </w:p>
              </w:tc>
              <w:tc>
                <w:tcPr>
                  <w:tcW w:w="752" w:type="pct"/>
                  <w:vMerge w:val="restart"/>
                  <w:noWrap/>
                  <w:tcMar>
                    <w:left w:w="28" w:type="dxa"/>
                    <w:right w:w="28" w:type="dxa"/>
                  </w:tcMar>
                  <w:vAlign w:val="center"/>
                </w:tcPr>
                <w:p w14:paraId="3BEB44D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预测产生量（t/a）</w:t>
                  </w:r>
                </w:p>
              </w:tc>
              <w:tc>
                <w:tcPr>
                  <w:tcW w:w="1588" w:type="pct"/>
                  <w:gridSpan w:val="3"/>
                  <w:noWrap/>
                  <w:tcMar>
                    <w:left w:w="28" w:type="dxa"/>
                    <w:right w:w="28" w:type="dxa"/>
                  </w:tcMar>
                  <w:vAlign w:val="center"/>
                </w:tcPr>
                <w:p w14:paraId="7E40B4B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种类判断</w:t>
                  </w:r>
                </w:p>
              </w:tc>
            </w:tr>
            <w:tr w14:paraId="56D500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 w:type="pct"/>
                  <w:vMerge w:val="continue"/>
                  <w:noWrap/>
                  <w:tcMar>
                    <w:left w:w="28" w:type="dxa"/>
                    <w:right w:w="28" w:type="dxa"/>
                  </w:tcMar>
                  <w:vAlign w:val="center"/>
                </w:tcPr>
                <w:p w14:paraId="1CAA8B94">
                  <w:pPr>
                    <w:jc w:val="center"/>
                    <w:rPr>
                      <w:b/>
                      <w:bCs/>
                      <w:color w:val="000000" w:themeColor="text1"/>
                      <w:szCs w:val="21"/>
                      <w14:textFill>
                        <w14:solidFill>
                          <w14:schemeClr w14:val="tx1"/>
                        </w14:solidFill>
                      </w14:textFill>
                    </w:rPr>
                  </w:pPr>
                </w:p>
              </w:tc>
              <w:tc>
                <w:tcPr>
                  <w:tcW w:w="533" w:type="pct"/>
                  <w:vMerge w:val="continue"/>
                  <w:noWrap/>
                  <w:tcMar>
                    <w:left w:w="28" w:type="dxa"/>
                    <w:right w:w="28" w:type="dxa"/>
                  </w:tcMar>
                  <w:vAlign w:val="center"/>
                </w:tcPr>
                <w:p w14:paraId="41E7CB07">
                  <w:pPr>
                    <w:jc w:val="center"/>
                    <w:rPr>
                      <w:b/>
                      <w:bCs/>
                      <w:color w:val="000000" w:themeColor="text1"/>
                      <w:szCs w:val="21"/>
                      <w14:textFill>
                        <w14:solidFill>
                          <w14:schemeClr w14:val="tx1"/>
                        </w14:solidFill>
                      </w14:textFill>
                    </w:rPr>
                  </w:pPr>
                </w:p>
              </w:tc>
              <w:tc>
                <w:tcPr>
                  <w:tcW w:w="812" w:type="pct"/>
                  <w:vMerge w:val="continue"/>
                  <w:noWrap/>
                  <w:tcMar>
                    <w:left w:w="28" w:type="dxa"/>
                    <w:right w:w="28" w:type="dxa"/>
                  </w:tcMar>
                  <w:vAlign w:val="center"/>
                </w:tcPr>
                <w:p w14:paraId="08E2AC0F">
                  <w:pPr>
                    <w:jc w:val="center"/>
                    <w:rPr>
                      <w:b/>
                      <w:bCs/>
                      <w:color w:val="000000" w:themeColor="text1"/>
                      <w:szCs w:val="21"/>
                      <w14:textFill>
                        <w14:solidFill>
                          <w14:schemeClr w14:val="tx1"/>
                        </w14:solidFill>
                      </w14:textFill>
                    </w:rPr>
                  </w:pPr>
                </w:p>
              </w:tc>
              <w:tc>
                <w:tcPr>
                  <w:tcW w:w="437" w:type="pct"/>
                  <w:vMerge w:val="continue"/>
                  <w:noWrap/>
                  <w:tcMar>
                    <w:left w:w="28" w:type="dxa"/>
                    <w:right w:w="28" w:type="dxa"/>
                  </w:tcMar>
                  <w:vAlign w:val="center"/>
                </w:tcPr>
                <w:p w14:paraId="1A04BD71">
                  <w:pPr>
                    <w:jc w:val="center"/>
                    <w:rPr>
                      <w:b/>
                      <w:bCs/>
                      <w:color w:val="000000" w:themeColor="text1"/>
                      <w:szCs w:val="21"/>
                      <w14:textFill>
                        <w14:solidFill>
                          <w14:schemeClr w14:val="tx1"/>
                        </w14:solidFill>
                      </w14:textFill>
                    </w:rPr>
                  </w:pPr>
                </w:p>
              </w:tc>
              <w:tc>
                <w:tcPr>
                  <w:tcW w:w="721" w:type="pct"/>
                  <w:vMerge w:val="continue"/>
                  <w:noWrap/>
                  <w:tcMar>
                    <w:left w:w="28" w:type="dxa"/>
                    <w:right w:w="28" w:type="dxa"/>
                  </w:tcMar>
                  <w:vAlign w:val="center"/>
                </w:tcPr>
                <w:p w14:paraId="7E09E3B8">
                  <w:pPr>
                    <w:jc w:val="center"/>
                    <w:rPr>
                      <w:b/>
                      <w:bCs/>
                      <w:color w:val="000000" w:themeColor="text1"/>
                      <w:szCs w:val="21"/>
                      <w14:textFill>
                        <w14:solidFill>
                          <w14:schemeClr w14:val="tx1"/>
                        </w14:solidFill>
                      </w14:textFill>
                    </w:rPr>
                  </w:pPr>
                </w:p>
              </w:tc>
              <w:tc>
                <w:tcPr>
                  <w:tcW w:w="752" w:type="pct"/>
                  <w:vMerge w:val="continue"/>
                  <w:noWrap/>
                  <w:tcMar>
                    <w:left w:w="28" w:type="dxa"/>
                    <w:right w:w="28" w:type="dxa"/>
                  </w:tcMar>
                  <w:vAlign w:val="center"/>
                </w:tcPr>
                <w:p w14:paraId="4CE3DAB0">
                  <w:pPr>
                    <w:jc w:val="center"/>
                    <w:rPr>
                      <w:b/>
                      <w:bCs/>
                      <w:color w:val="000000" w:themeColor="text1"/>
                      <w:szCs w:val="21"/>
                      <w14:textFill>
                        <w14:solidFill>
                          <w14:schemeClr w14:val="tx1"/>
                        </w14:solidFill>
                      </w14:textFill>
                    </w:rPr>
                  </w:pPr>
                </w:p>
              </w:tc>
              <w:tc>
                <w:tcPr>
                  <w:tcW w:w="560" w:type="pct"/>
                  <w:noWrap/>
                  <w:tcMar>
                    <w:left w:w="28" w:type="dxa"/>
                    <w:right w:w="28" w:type="dxa"/>
                  </w:tcMar>
                  <w:vAlign w:val="center"/>
                </w:tcPr>
                <w:p w14:paraId="5E5F839A">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固体废物</w:t>
                  </w:r>
                </w:p>
              </w:tc>
              <w:tc>
                <w:tcPr>
                  <w:tcW w:w="428" w:type="pct"/>
                  <w:noWrap/>
                  <w:tcMar>
                    <w:left w:w="28" w:type="dxa"/>
                    <w:right w:w="28" w:type="dxa"/>
                  </w:tcMar>
                  <w:vAlign w:val="center"/>
                </w:tcPr>
                <w:p w14:paraId="5EBF078A">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副</w:t>
                  </w:r>
                  <w:r>
                    <w:rPr>
                      <w:rFonts w:hint="eastAsia"/>
                      <w:b/>
                      <w:bCs/>
                      <w:color w:val="000000" w:themeColor="text1"/>
                      <w:szCs w:val="21"/>
                      <w14:textFill>
                        <w14:solidFill>
                          <w14:schemeClr w14:val="tx1"/>
                        </w14:solidFill>
                      </w14:textFill>
                    </w:rPr>
                    <w:t>产物</w:t>
                  </w:r>
                </w:p>
              </w:tc>
              <w:tc>
                <w:tcPr>
                  <w:tcW w:w="599" w:type="pct"/>
                  <w:noWrap/>
                  <w:tcMar>
                    <w:left w:w="28" w:type="dxa"/>
                    <w:right w:w="28" w:type="dxa"/>
                  </w:tcMar>
                  <w:vAlign w:val="center"/>
                </w:tcPr>
                <w:p w14:paraId="3FE925B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判定依据</w:t>
                  </w:r>
                </w:p>
              </w:tc>
            </w:tr>
            <w:tr w14:paraId="6735C9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 w:type="pct"/>
                  <w:noWrap/>
                  <w:tcMar>
                    <w:left w:w="28" w:type="dxa"/>
                    <w:right w:w="28" w:type="dxa"/>
                  </w:tcMar>
                  <w:vAlign w:val="center"/>
                </w:tcPr>
                <w:p w14:paraId="115FE2AB">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533" w:type="pct"/>
                  <w:noWrap/>
                  <w:tcMar>
                    <w:left w:w="28" w:type="dxa"/>
                    <w:right w:w="28" w:type="dxa"/>
                  </w:tcMar>
                  <w:vAlign w:val="center"/>
                </w:tcPr>
                <w:p w14:paraId="3BA26621">
                  <w:pPr>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废模具</w:t>
                  </w:r>
                </w:p>
              </w:tc>
              <w:tc>
                <w:tcPr>
                  <w:tcW w:w="812" w:type="pct"/>
                  <w:noWrap/>
                  <w:tcMar>
                    <w:left w:w="28" w:type="dxa"/>
                    <w:right w:w="28" w:type="dxa"/>
                  </w:tcMar>
                  <w:vAlign w:val="center"/>
                </w:tcPr>
                <w:p w14:paraId="0CA9B8BA">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设备维护</w:t>
                  </w:r>
                </w:p>
              </w:tc>
              <w:tc>
                <w:tcPr>
                  <w:tcW w:w="437" w:type="pct"/>
                  <w:noWrap/>
                  <w:tcMar>
                    <w:left w:w="28" w:type="dxa"/>
                    <w:right w:w="28" w:type="dxa"/>
                  </w:tcMar>
                  <w:vAlign w:val="center"/>
                </w:tcPr>
                <w:p w14:paraId="0378F5F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721" w:type="pct"/>
                  <w:noWrap/>
                  <w:tcMar>
                    <w:left w:w="28" w:type="dxa"/>
                    <w:right w:w="28" w:type="dxa"/>
                  </w:tcMar>
                  <w:vAlign w:val="center"/>
                </w:tcPr>
                <w:p w14:paraId="3B1FFC03">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金属</w:t>
                  </w:r>
                </w:p>
              </w:tc>
              <w:tc>
                <w:tcPr>
                  <w:tcW w:w="752" w:type="pct"/>
                  <w:noWrap/>
                  <w:tcMar>
                    <w:left w:w="28" w:type="dxa"/>
                    <w:right w:w="28" w:type="dxa"/>
                  </w:tcMar>
                  <w:vAlign w:val="center"/>
                </w:tcPr>
                <w:p w14:paraId="48726A8D">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560" w:type="pct"/>
                  <w:noWrap/>
                  <w:tcMar>
                    <w:left w:w="28" w:type="dxa"/>
                    <w:right w:w="28" w:type="dxa"/>
                  </w:tcMar>
                  <w:vAlign w:val="center"/>
                </w:tcPr>
                <w:p w14:paraId="03D9C030">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28" w:type="pct"/>
                  <w:noWrap/>
                  <w:tcMar>
                    <w:left w:w="28" w:type="dxa"/>
                    <w:right w:w="28" w:type="dxa"/>
                  </w:tcMar>
                  <w:vAlign w:val="center"/>
                </w:tcPr>
                <w:p w14:paraId="0979982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99" w:type="pct"/>
                  <w:vMerge w:val="restart"/>
                  <w:noWrap/>
                  <w:tcMar>
                    <w:left w:w="28" w:type="dxa"/>
                    <w:right w:w="28" w:type="dxa"/>
                  </w:tcMar>
                  <w:vAlign w:val="center"/>
                </w:tcPr>
                <w:p w14:paraId="6362CE5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《固体废物鉴别标准通则》（GB 34330-2017）</w:t>
                  </w:r>
                </w:p>
              </w:tc>
            </w:tr>
            <w:tr w14:paraId="19089D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 w:type="pct"/>
                  <w:noWrap/>
                  <w:tcMar>
                    <w:left w:w="28" w:type="dxa"/>
                    <w:right w:w="28" w:type="dxa"/>
                  </w:tcMar>
                  <w:vAlign w:val="center"/>
                </w:tcPr>
                <w:p w14:paraId="2AB08F3B">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533" w:type="pct"/>
                  <w:noWrap/>
                  <w:tcMar>
                    <w:left w:w="28" w:type="dxa"/>
                    <w:right w:w="28" w:type="dxa"/>
                  </w:tcMar>
                  <w:vAlign w:val="center"/>
                </w:tcPr>
                <w:p w14:paraId="0CC5C179">
                  <w:pPr>
                    <w:jc w:val="center"/>
                    <w:rPr>
                      <w:color w:val="000000" w:themeColor="text1"/>
                      <w:szCs w:val="21"/>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废包装袋</w:t>
                  </w:r>
                </w:p>
              </w:tc>
              <w:tc>
                <w:tcPr>
                  <w:tcW w:w="812" w:type="pct"/>
                  <w:noWrap/>
                  <w:tcMar>
                    <w:left w:w="28" w:type="dxa"/>
                    <w:right w:w="28" w:type="dxa"/>
                  </w:tcMar>
                  <w:vAlign w:val="center"/>
                </w:tcPr>
                <w:p w14:paraId="42C9AABD">
                  <w:pPr>
                    <w:jc w:val="center"/>
                    <w:rPr>
                      <w:color w:val="000000" w:themeColor="text1"/>
                      <w:szCs w:val="21"/>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原料使用</w:t>
                  </w:r>
                </w:p>
              </w:tc>
              <w:tc>
                <w:tcPr>
                  <w:tcW w:w="437" w:type="pct"/>
                  <w:noWrap/>
                  <w:tcMar>
                    <w:left w:w="28" w:type="dxa"/>
                    <w:right w:w="28" w:type="dxa"/>
                  </w:tcMar>
                  <w:vAlign w:val="center"/>
                </w:tcPr>
                <w:p w14:paraId="4A04A03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721" w:type="pct"/>
                  <w:noWrap/>
                  <w:tcMar>
                    <w:left w:w="28" w:type="dxa"/>
                    <w:right w:w="28" w:type="dxa"/>
                  </w:tcMar>
                  <w:vAlign w:val="center"/>
                </w:tcPr>
                <w:p w14:paraId="34A110E1">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塑料</w:t>
                  </w:r>
                </w:p>
              </w:tc>
              <w:tc>
                <w:tcPr>
                  <w:tcW w:w="752" w:type="pct"/>
                  <w:noWrap/>
                  <w:tcMar>
                    <w:left w:w="28" w:type="dxa"/>
                    <w:right w:w="28" w:type="dxa"/>
                  </w:tcMar>
                  <w:vAlign w:val="center"/>
                </w:tcPr>
                <w:p w14:paraId="43A3428D">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0.32</w:t>
                  </w:r>
                </w:p>
              </w:tc>
              <w:tc>
                <w:tcPr>
                  <w:tcW w:w="560" w:type="pct"/>
                  <w:noWrap/>
                  <w:tcMar>
                    <w:left w:w="28" w:type="dxa"/>
                    <w:right w:w="28" w:type="dxa"/>
                  </w:tcMar>
                  <w:vAlign w:val="center"/>
                </w:tcPr>
                <w:p w14:paraId="66D959D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28" w:type="pct"/>
                  <w:noWrap/>
                  <w:tcMar>
                    <w:left w:w="28" w:type="dxa"/>
                    <w:right w:w="28" w:type="dxa"/>
                  </w:tcMar>
                  <w:vAlign w:val="center"/>
                </w:tcPr>
                <w:p w14:paraId="2131802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99" w:type="pct"/>
                  <w:vMerge w:val="continue"/>
                  <w:noWrap/>
                  <w:tcMar>
                    <w:left w:w="28" w:type="dxa"/>
                    <w:right w:w="28" w:type="dxa"/>
                  </w:tcMar>
                  <w:vAlign w:val="center"/>
                </w:tcPr>
                <w:p w14:paraId="1B2776A7">
                  <w:pPr>
                    <w:jc w:val="center"/>
                    <w:rPr>
                      <w:color w:val="000000" w:themeColor="text1"/>
                      <w:szCs w:val="21"/>
                      <w14:textFill>
                        <w14:solidFill>
                          <w14:schemeClr w14:val="tx1"/>
                        </w14:solidFill>
                      </w14:textFill>
                    </w:rPr>
                  </w:pPr>
                </w:p>
              </w:tc>
            </w:tr>
            <w:tr w14:paraId="57C634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 w:type="pct"/>
                  <w:noWrap/>
                  <w:tcMar>
                    <w:left w:w="28" w:type="dxa"/>
                    <w:right w:w="28" w:type="dxa"/>
                  </w:tcMar>
                  <w:vAlign w:val="center"/>
                </w:tcPr>
                <w:p w14:paraId="6C96E39A">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533" w:type="pct"/>
                  <w:noWrap/>
                  <w:tcMar>
                    <w:left w:w="28" w:type="dxa"/>
                    <w:right w:w="28" w:type="dxa"/>
                  </w:tcMar>
                  <w:vAlign w:val="center"/>
                </w:tcPr>
                <w:p w14:paraId="6C9CC8EC">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废液压油</w:t>
                  </w:r>
                </w:p>
              </w:tc>
              <w:tc>
                <w:tcPr>
                  <w:tcW w:w="812" w:type="pct"/>
                  <w:noWrap/>
                  <w:tcMar>
                    <w:left w:w="28" w:type="dxa"/>
                    <w:right w:w="28" w:type="dxa"/>
                  </w:tcMar>
                  <w:vAlign w:val="center"/>
                </w:tcPr>
                <w:p w14:paraId="568C0B16">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设备维护</w:t>
                  </w:r>
                </w:p>
              </w:tc>
              <w:tc>
                <w:tcPr>
                  <w:tcW w:w="437" w:type="pct"/>
                  <w:noWrap/>
                  <w:tcMar>
                    <w:left w:w="28" w:type="dxa"/>
                    <w:right w:w="28" w:type="dxa"/>
                  </w:tcMar>
                  <w:vAlign w:val="center"/>
                </w:tcPr>
                <w:p w14:paraId="389A3EA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721" w:type="pct"/>
                  <w:noWrap/>
                  <w:tcMar>
                    <w:left w:w="28" w:type="dxa"/>
                    <w:right w:w="28" w:type="dxa"/>
                  </w:tcMar>
                  <w:vAlign w:val="center"/>
                </w:tcPr>
                <w:p w14:paraId="01185D69">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矿物油</w:t>
                  </w:r>
                </w:p>
              </w:tc>
              <w:tc>
                <w:tcPr>
                  <w:tcW w:w="752" w:type="pct"/>
                  <w:noWrap/>
                  <w:tcMar>
                    <w:left w:w="28" w:type="dxa"/>
                    <w:right w:w="28" w:type="dxa"/>
                  </w:tcMar>
                  <w:vAlign w:val="center"/>
                </w:tcPr>
                <w:p w14:paraId="6CCD5BE6">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0.34/5a</w:t>
                  </w:r>
                </w:p>
              </w:tc>
              <w:tc>
                <w:tcPr>
                  <w:tcW w:w="560" w:type="pct"/>
                  <w:noWrap/>
                  <w:tcMar>
                    <w:left w:w="28" w:type="dxa"/>
                    <w:right w:w="28" w:type="dxa"/>
                  </w:tcMar>
                  <w:vAlign w:val="center"/>
                </w:tcPr>
                <w:p w14:paraId="04A0CDB0">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28" w:type="pct"/>
                  <w:noWrap/>
                  <w:tcMar>
                    <w:left w:w="28" w:type="dxa"/>
                    <w:right w:w="28" w:type="dxa"/>
                  </w:tcMar>
                  <w:vAlign w:val="center"/>
                </w:tcPr>
                <w:p w14:paraId="3FAA5F8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99" w:type="pct"/>
                  <w:vMerge w:val="continue"/>
                  <w:noWrap/>
                  <w:tcMar>
                    <w:left w:w="28" w:type="dxa"/>
                    <w:right w:w="28" w:type="dxa"/>
                  </w:tcMar>
                  <w:vAlign w:val="center"/>
                </w:tcPr>
                <w:p w14:paraId="4E45B93A">
                  <w:pPr>
                    <w:jc w:val="center"/>
                    <w:rPr>
                      <w:color w:val="000000" w:themeColor="text1"/>
                      <w:szCs w:val="21"/>
                      <w14:textFill>
                        <w14:solidFill>
                          <w14:schemeClr w14:val="tx1"/>
                        </w14:solidFill>
                      </w14:textFill>
                    </w:rPr>
                  </w:pPr>
                </w:p>
              </w:tc>
            </w:tr>
            <w:tr w14:paraId="577FB6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 w:type="pct"/>
                  <w:noWrap/>
                  <w:tcMar>
                    <w:left w:w="28" w:type="dxa"/>
                    <w:right w:w="28" w:type="dxa"/>
                  </w:tcMar>
                  <w:vAlign w:val="center"/>
                </w:tcPr>
                <w:p w14:paraId="20A37E8C">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533" w:type="pct"/>
                  <w:noWrap/>
                  <w:tcMar>
                    <w:left w:w="28" w:type="dxa"/>
                    <w:right w:w="28" w:type="dxa"/>
                  </w:tcMar>
                  <w:vAlign w:val="center"/>
                </w:tcPr>
                <w:p w14:paraId="2488E8A4">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废抹布</w:t>
                  </w:r>
                </w:p>
              </w:tc>
              <w:tc>
                <w:tcPr>
                  <w:tcW w:w="812" w:type="pct"/>
                  <w:noWrap/>
                  <w:tcMar>
                    <w:left w:w="28" w:type="dxa"/>
                    <w:right w:w="28" w:type="dxa"/>
                  </w:tcMar>
                  <w:vAlign w:val="center"/>
                </w:tcPr>
                <w:p w14:paraId="23268F2D">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印刷机清理</w:t>
                  </w:r>
                </w:p>
              </w:tc>
              <w:tc>
                <w:tcPr>
                  <w:tcW w:w="437" w:type="pct"/>
                  <w:noWrap/>
                  <w:tcMar>
                    <w:left w:w="28" w:type="dxa"/>
                    <w:right w:w="28" w:type="dxa"/>
                  </w:tcMar>
                  <w:vAlign w:val="center"/>
                </w:tcPr>
                <w:p w14:paraId="7F24209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721" w:type="pct"/>
                  <w:noWrap/>
                  <w:tcMar>
                    <w:left w:w="28" w:type="dxa"/>
                    <w:right w:w="28" w:type="dxa"/>
                  </w:tcMar>
                  <w:vAlign w:val="center"/>
                </w:tcPr>
                <w:p w14:paraId="3B3E7284">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布、矿物油</w:t>
                  </w:r>
                </w:p>
              </w:tc>
              <w:tc>
                <w:tcPr>
                  <w:tcW w:w="752" w:type="pct"/>
                  <w:noWrap/>
                  <w:tcMar>
                    <w:left w:w="28" w:type="dxa"/>
                    <w:right w:w="28" w:type="dxa"/>
                  </w:tcMar>
                  <w:vAlign w:val="center"/>
                </w:tcPr>
                <w:p w14:paraId="478ED94F">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0.28</w:t>
                  </w:r>
                </w:p>
              </w:tc>
              <w:tc>
                <w:tcPr>
                  <w:tcW w:w="560" w:type="pct"/>
                  <w:noWrap/>
                  <w:tcMar>
                    <w:left w:w="28" w:type="dxa"/>
                    <w:right w:w="28" w:type="dxa"/>
                  </w:tcMar>
                  <w:vAlign w:val="center"/>
                </w:tcPr>
                <w:p w14:paraId="2F4EE570">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28" w:type="pct"/>
                  <w:noWrap/>
                  <w:tcMar>
                    <w:left w:w="28" w:type="dxa"/>
                    <w:right w:w="28" w:type="dxa"/>
                  </w:tcMar>
                  <w:vAlign w:val="center"/>
                </w:tcPr>
                <w:p w14:paraId="5DCC1E7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99" w:type="pct"/>
                  <w:vMerge w:val="continue"/>
                  <w:noWrap/>
                  <w:tcMar>
                    <w:left w:w="28" w:type="dxa"/>
                    <w:right w:w="28" w:type="dxa"/>
                  </w:tcMar>
                  <w:vAlign w:val="center"/>
                </w:tcPr>
                <w:p w14:paraId="54EA4D80">
                  <w:pPr>
                    <w:jc w:val="center"/>
                    <w:rPr>
                      <w:color w:val="000000" w:themeColor="text1"/>
                      <w:szCs w:val="21"/>
                      <w14:textFill>
                        <w14:solidFill>
                          <w14:schemeClr w14:val="tx1"/>
                        </w14:solidFill>
                      </w14:textFill>
                    </w:rPr>
                  </w:pPr>
                </w:p>
              </w:tc>
            </w:tr>
            <w:tr w14:paraId="0B841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 w:type="pct"/>
                  <w:noWrap/>
                  <w:tcMar>
                    <w:left w:w="28" w:type="dxa"/>
                    <w:right w:w="28" w:type="dxa"/>
                  </w:tcMar>
                  <w:vAlign w:val="center"/>
                </w:tcPr>
                <w:p w14:paraId="54E1BE62">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533" w:type="pct"/>
                  <w:noWrap/>
                  <w:tcMar>
                    <w:left w:w="28" w:type="dxa"/>
                    <w:right w:w="28" w:type="dxa"/>
                  </w:tcMar>
                  <w:vAlign w:val="center"/>
                </w:tcPr>
                <w:p w14:paraId="5896C655">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废包装桶</w:t>
                  </w:r>
                </w:p>
              </w:tc>
              <w:tc>
                <w:tcPr>
                  <w:tcW w:w="812" w:type="pct"/>
                  <w:noWrap/>
                  <w:tcMar>
                    <w:left w:w="28" w:type="dxa"/>
                    <w:right w:w="28" w:type="dxa"/>
                  </w:tcMar>
                  <w:vAlign w:val="center"/>
                </w:tcPr>
                <w:p w14:paraId="3F2A2B0A">
                  <w:pPr>
                    <w:jc w:val="center"/>
                    <w:rPr>
                      <w:color w:val="000000" w:themeColor="text1"/>
                      <w:szCs w:val="21"/>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原料使用</w:t>
                  </w:r>
                </w:p>
              </w:tc>
              <w:tc>
                <w:tcPr>
                  <w:tcW w:w="437" w:type="pct"/>
                  <w:noWrap/>
                  <w:tcMar>
                    <w:left w:w="28" w:type="dxa"/>
                    <w:right w:w="28" w:type="dxa"/>
                  </w:tcMar>
                  <w:vAlign w:val="center"/>
                </w:tcPr>
                <w:p w14:paraId="4C2BFF8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721" w:type="pct"/>
                  <w:noWrap/>
                  <w:tcMar>
                    <w:left w:w="28" w:type="dxa"/>
                    <w:right w:w="28" w:type="dxa"/>
                  </w:tcMar>
                  <w:vAlign w:val="center"/>
                </w:tcPr>
                <w:p w14:paraId="0D6774F8">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油墨、清洗剂、塑料桶</w:t>
                  </w:r>
                </w:p>
              </w:tc>
              <w:tc>
                <w:tcPr>
                  <w:tcW w:w="752" w:type="pct"/>
                  <w:noWrap/>
                  <w:tcMar>
                    <w:left w:w="28" w:type="dxa"/>
                    <w:right w:w="28" w:type="dxa"/>
                  </w:tcMar>
                  <w:vAlign w:val="center"/>
                </w:tcPr>
                <w:p w14:paraId="396DE9DF">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0.02</w:t>
                  </w:r>
                </w:p>
              </w:tc>
              <w:tc>
                <w:tcPr>
                  <w:tcW w:w="560" w:type="pct"/>
                  <w:noWrap/>
                  <w:tcMar>
                    <w:left w:w="28" w:type="dxa"/>
                    <w:right w:w="28" w:type="dxa"/>
                  </w:tcMar>
                  <w:vAlign w:val="center"/>
                </w:tcPr>
                <w:p w14:paraId="6035070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28" w:type="pct"/>
                  <w:noWrap/>
                  <w:tcMar>
                    <w:left w:w="28" w:type="dxa"/>
                    <w:right w:w="28" w:type="dxa"/>
                  </w:tcMar>
                  <w:vAlign w:val="center"/>
                </w:tcPr>
                <w:p w14:paraId="08FE1B4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99" w:type="pct"/>
                  <w:vMerge w:val="continue"/>
                  <w:noWrap/>
                  <w:tcMar>
                    <w:left w:w="28" w:type="dxa"/>
                    <w:right w:w="28" w:type="dxa"/>
                  </w:tcMar>
                  <w:vAlign w:val="center"/>
                </w:tcPr>
                <w:p w14:paraId="387FEDE6">
                  <w:pPr>
                    <w:jc w:val="center"/>
                    <w:rPr>
                      <w:color w:val="000000" w:themeColor="text1"/>
                      <w:szCs w:val="21"/>
                      <w14:textFill>
                        <w14:solidFill>
                          <w14:schemeClr w14:val="tx1"/>
                        </w14:solidFill>
                      </w14:textFill>
                    </w:rPr>
                  </w:pPr>
                </w:p>
              </w:tc>
            </w:tr>
            <w:tr w14:paraId="3DC172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 w:type="pct"/>
                  <w:noWrap/>
                  <w:tcMar>
                    <w:left w:w="28" w:type="dxa"/>
                    <w:right w:w="28" w:type="dxa"/>
                  </w:tcMar>
                  <w:vAlign w:val="center"/>
                </w:tcPr>
                <w:p w14:paraId="64D5200E">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c>
                <w:tcPr>
                  <w:tcW w:w="533" w:type="pct"/>
                  <w:noWrap/>
                  <w:tcMar>
                    <w:left w:w="28" w:type="dxa"/>
                    <w:right w:w="28" w:type="dxa"/>
                  </w:tcMar>
                  <w:vAlign w:val="center"/>
                </w:tcPr>
                <w:p w14:paraId="32802B8B">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废油桶</w:t>
                  </w:r>
                </w:p>
              </w:tc>
              <w:tc>
                <w:tcPr>
                  <w:tcW w:w="812" w:type="pct"/>
                  <w:noWrap/>
                  <w:tcMar>
                    <w:left w:w="28" w:type="dxa"/>
                    <w:right w:w="28" w:type="dxa"/>
                  </w:tcMar>
                  <w:vAlign w:val="center"/>
                </w:tcPr>
                <w:p w14:paraId="7C640822">
                  <w:pPr>
                    <w:jc w:val="center"/>
                    <w:rPr>
                      <w:color w:val="000000" w:themeColor="text1"/>
                      <w:szCs w:val="21"/>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原料使用</w:t>
                  </w:r>
                </w:p>
              </w:tc>
              <w:tc>
                <w:tcPr>
                  <w:tcW w:w="437" w:type="pct"/>
                  <w:noWrap/>
                  <w:tcMar>
                    <w:left w:w="28" w:type="dxa"/>
                    <w:right w:w="28" w:type="dxa"/>
                  </w:tcMar>
                  <w:vAlign w:val="center"/>
                </w:tcPr>
                <w:p w14:paraId="106999A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721" w:type="pct"/>
                  <w:noWrap/>
                  <w:tcMar>
                    <w:left w:w="28" w:type="dxa"/>
                    <w:right w:w="28" w:type="dxa"/>
                  </w:tcMar>
                  <w:vAlign w:val="center"/>
                </w:tcPr>
                <w:p w14:paraId="07BD72D2">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矿物油、</w:t>
                  </w:r>
                  <w:r>
                    <w:rPr>
                      <w:rFonts w:hint="eastAsia"/>
                      <w:bCs/>
                      <w:color w:val="000000" w:themeColor="text1"/>
                      <w:szCs w:val="21"/>
                      <w:lang w:val="en-US" w:eastAsia="zh-CN"/>
                      <w14:textFill>
                        <w14:solidFill>
                          <w14:schemeClr w14:val="tx1"/>
                        </w14:solidFill>
                      </w14:textFill>
                    </w:rPr>
                    <w:t>铁</w:t>
                  </w:r>
                  <w:r>
                    <w:rPr>
                      <w:rFonts w:hint="eastAsia"/>
                      <w:bCs/>
                      <w:color w:val="000000" w:themeColor="text1"/>
                      <w:szCs w:val="21"/>
                      <w14:textFill>
                        <w14:solidFill>
                          <w14:schemeClr w14:val="tx1"/>
                        </w14:solidFill>
                      </w14:textFill>
                    </w:rPr>
                    <w:t>桶</w:t>
                  </w:r>
                </w:p>
              </w:tc>
              <w:tc>
                <w:tcPr>
                  <w:tcW w:w="752" w:type="pct"/>
                  <w:noWrap/>
                  <w:tcMar>
                    <w:left w:w="28" w:type="dxa"/>
                    <w:right w:w="28" w:type="dxa"/>
                  </w:tcMar>
                  <w:vAlign w:val="center"/>
                </w:tcPr>
                <w:p w14:paraId="458E257C">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0.03/5a</w:t>
                  </w:r>
                </w:p>
              </w:tc>
              <w:tc>
                <w:tcPr>
                  <w:tcW w:w="560" w:type="pct"/>
                  <w:noWrap/>
                  <w:tcMar>
                    <w:left w:w="28" w:type="dxa"/>
                    <w:right w:w="28" w:type="dxa"/>
                  </w:tcMar>
                  <w:vAlign w:val="center"/>
                </w:tcPr>
                <w:p w14:paraId="148803ED">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28" w:type="pct"/>
                  <w:noWrap/>
                  <w:tcMar>
                    <w:left w:w="28" w:type="dxa"/>
                    <w:right w:w="28" w:type="dxa"/>
                  </w:tcMar>
                  <w:vAlign w:val="center"/>
                </w:tcPr>
                <w:p w14:paraId="11D3E83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99" w:type="pct"/>
                  <w:vMerge w:val="continue"/>
                  <w:noWrap/>
                  <w:tcMar>
                    <w:left w:w="28" w:type="dxa"/>
                    <w:right w:w="28" w:type="dxa"/>
                  </w:tcMar>
                  <w:vAlign w:val="center"/>
                </w:tcPr>
                <w:p w14:paraId="0A4CD3F0">
                  <w:pPr>
                    <w:jc w:val="center"/>
                    <w:rPr>
                      <w:color w:val="000000" w:themeColor="text1"/>
                      <w:szCs w:val="21"/>
                      <w14:textFill>
                        <w14:solidFill>
                          <w14:schemeClr w14:val="tx1"/>
                        </w14:solidFill>
                      </w14:textFill>
                    </w:rPr>
                  </w:pPr>
                </w:p>
              </w:tc>
            </w:tr>
            <w:tr w14:paraId="42659B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 w:type="pct"/>
                  <w:noWrap/>
                  <w:tcMar>
                    <w:left w:w="28" w:type="dxa"/>
                    <w:right w:w="28" w:type="dxa"/>
                  </w:tcMar>
                  <w:vAlign w:val="center"/>
                </w:tcPr>
                <w:p w14:paraId="5CD707BE">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c>
                <w:tcPr>
                  <w:tcW w:w="533" w:type="pct"/>
                  <w:noWrap/>
                  <w:tcMar>
                    <w:left w:w="28" w:type="dxa"/>
                    <w:right w:w="28" w:type="dxa"/>
                  </w:tcMar>
                  <w:vAlign w:val="center"/>
                </w:tcPr>
                <w:p w14:paraId="0F566A26">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废活性炭</w:t>
                  </w:r>
                </w:p>
              </w:tc>
              <w:tc>
                <w:tcPr>
                  <w:tcW w:w="812" w:type="pct"/>
                  <w:noWrap/>
                  <w:tcMar>
                    <w:left w:w="28" w:type="dxa"/>
                    <w:right w:w="28" w:type="dxa"/>
                  </w:tcMar>
                  <w:vAlign w:val="center"/>
                </w:tcPr>
                <w:p w14:paraId="5334B077">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废气处理</w:t>
                  </w:r>
                </w:p>
              </w:tc>
              <w:tc>
                <w:tcPr>
                  <w:tcW w:w="437" w:type="pct"/>
                  <w:noWrap/>
                  <w:tcMar>
                    <w:left w:w="28" w:type="dxa"/>
                    <w:right w:w="28" w:type="dxa"/>
                  </w:tcMar>
                  <w:vAlign w:val="center"/>
                </w:tcPr>
                <w:p w14:paraId="089DFAA2">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固态</w:t>
                  </w:r>
                </w:p>
              </w:tc>
              <w:tc>
                <w:tcPr>
                  <w:tcW w:w="721" w:type="pct"/>
                  <w:noWrap/>
                  <w:tcMar>
                    <w:left w:w="28" w:type="dxa"/>
                    <w:right w:w="28" w:type="dxa"/>
                  </w:tcMar>
                  <w:vAlign w:val="center"/>
                </w:tcPr>
                <w:p w14:paraId="24C8B090">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活性炭、有机物</w:t>
                  </w:r>
                </w:p>
              </w:tc>
              <w:tc>
                <w:tcPr>
                  <w:tcW w:w="752" w:type="pct"/>
                  <w:noWrap/>
                  <w:tcMar>
                    <w:left w:w="28" w:type="dxa"/>
                    <w:right w:w="28" w:type="dxa"/>
                  </w:tcMar>
                  <w:vAlign w:val="center"/>
                </w:tcPr>
                <w:p w14:paraId="6AC31B6E">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6.85</w:t>
                  </w:r>
                </w:p>
              </w:tc>
              <w:tc>
                <w:tcPr>
                  <w:tcW w:w="560" w:type="pct"/>
                  <w:noWrap/>
                  <w:tcMar>
                    <w:left w:w="28" w:type="dxa"/>
                    <w:right w:w="28" w:type="dxa"/>
                  </w:tcMar>
                  <w:vAlign w:val="center"/>
                </w:tcPr>
                <w:p w14:paraId="671EB39B">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28" w:type="pct"/>
                  <w:noWrap/>
                  <w:tcMar>
                    <w:left w:w="28" w:type="dxa"/>
                    <w:right w:w="28" w:type="dxa"/>
                  </w:tcMar>
                  <w:vAlign w:val="center"/>
                </w:tcPr>
                <w:p w14:paraId="0C8CEB8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99" w:type="pct"/>
                  <w:vMerge w:val="continue"/>
                  <w:noWrap/>
                  <w:tcMar>
                    <w:left w:w="28" w:type="dxa"/>
                    <w:right w:w="28" w:type="dxa"/>
                  </w:tcMar>
                  <w:vAlign w:val="center"/>
                </w:tcPr>
                <w:p w14:paraId="41E901C1">
                  <w:pPr>
                    <w:jc w:val="center"/>
                    <w:rPr>
                      <w:color w:val="000000" w:themeColor="text1"/>
                      <w:szCs w:val="21"/>
                      <w14:textFill>
                        <w14:solidFill>
                          <w14:schemeClr w14:val="tx1"/>
                        </w14:solidFill>
                      </w14:textFill>
                    </w:rPr>
                  </w:pPr>
                </w:p>
              </w:tc>
            </w:tr>
            <w:tr w14:paraId="1962FB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 w:type="pct"/>
                  <w:noWrap/>
                  <w:tcMar>
                    <w:left w:w="28" w:type="dxa"/>
                    <w:right w:w="28" w:type="dxa"/>
                  </w:tcMar>
                  <w:vAlign w:val="center"/>
                </w:tcPr>
                <w:p w14:paraId="77E4FFFC">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w:t>
                  </w:r>
                </w:p>
              </w:tc>
              <w:tc>
                <w:tcPr>
                  <w:tcW w:w="533" w:type="pct"/>
                  <w:noWrap/>
                  <w:tcMar>
                    <w:left w:w="28" w:type="dxa"/>
                    <w:right w:w="28" w:type="dxa"/>
                  </w:tcMar>
                  <w:vAlign w:val="center"/>
                </w:tcPr>
                <w:p w14:paraId="2692E0B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812" w:type="pct"/>
                  <w:noWrap/>
                  <w:tcMar>
                    <w:left w:w="28" w:type="dxa"/>
                    <w:right w:w="28" w:type="dxa"/>
                  </w:tcMar>
                  <w:vAlign w:val="center"/>
                </w:tcPr>
                <w:p w14:paraId="63A191A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职工办公</w:t>
                  </w:r>
                </w:p>
              </w:tc>
              <w:tc>
                <w:tcPr>
                  <w:tcW w:w="437" w:type="pct"/>
                  <w:noWrap/>
                  <w:tcMar>
                    <w:left w:w="28" w:type="dxa"/>
                    <w:right w:w="28" w:type="dxa"/>
                  </w:tcMar>
                  <w:vAlign w:val="center"/>
                </w:tcPr>
                <w:p w14:paraId="704A8EB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721" w:type="pct"/>
                  <w:noWrap/>
                  <w:tcMar>
                    <w:left w:w="28" w:type="dxa"/>
                    <w:right w:w="28" w:type="dxa"/>
                  </w:tcMar>
                  <w:vAlign w:val="center"/>
                </w:tcPr>
                <w:p w14:paraId="0F6ED30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752" w:type="pct"/>
                  <w:noWrap/>
                  <w:tcMar>
                    <w:left w:w="28" w:type="dxa"/>
                    <w:right w:w="28" w:type="dxa"/>
                  </w:tcMar>
                  <w:vAlign w:val="center"/>
                </w:tcPr>
                <w:p w14:paraId="14F6AAA9">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6.75</w:t>
                  </w:r>
                </w:p>
              </w:tc>
              <w:tc>
                <w:tcPr>
                  <w:tcW w:w="560" w:type="pct"/>
                  <w:noWrap/>
                  <w:tcMar>
                    <w:left w:w="28" w:type="dxa"/>
                    <w:right w:w="28" w:type="dxa"/>
                  </w:tcMar>
                  <w:vAlign w:val="center"/>
                </w:tcPr>
                <w:p w14:paraId="3D30BF3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28" w:type="pct"/>
                  <w:noWrap/>
                  <w:tcMar>
                    <w:left w:w="28" w:type="dxa"/>
                    <w:right w:w="28" w:type="dxa"/>
                  </w:tcMar>
                  <w:vAlign w:val="center"/>
                </w:tcPr>
                <w:p w14:paraId="224DF90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99" w:type="pct"/>
                  <w:vMerge w:val="continue"/>
                  <w:noWrap/>
                  <w:tcMar>
                    <w:left w:w="28" w:type="dxa"/>
                    <w:right w:w="28" w:type="dxa"/>
                  </w:tcMar>
                  <w:vAlign w:val="center"/>
                </w:tcPr>
                <w:p w14:paraId="537C1208">
                  <w:pPr>
                    <w:jc w:val="center"/>
                    <w:rPr>
                      <w:color w:val="000000" w:themeColor="text1"/>
                      <w:szCs w:val="21"/>
                      <w14:textFill>
                        <w14:solidFill>
                          <w14:schemeClr w14:val="tx1"/>
                        </w14:solidFill>
                      </w14:textFill>
                    </w:rPr>
                  </w:pPr>
                </w:p>
              </w:tc>
            </w:tr>
          </w:tbl>
          <w:p w14:paraId="6B3911BB">
            <w:pPr>
              <w:spacing w:beforeLines="40"/>
              <w:jc w:val="center"/>
              <w:rPr>
                <w:b/>
                <w:color w:val="000000" w:themeColor="text1"/>
                <w:sz w:val="24"/>
                <w14:textFill>
                  <w14:solidFill>
                    <w14:schemeClr w14:val="tx1"/>
                  </w14:solidFill>
                </w14:textFill>
              </w:rPr>
            </w:pPr>
            <w:r>
              <w:rPr>
                <w:b/>
                <w:color w:val="000000" w:themeColor="text1"/>
                <w:szCs w:val="21"/>
                <w14:textFill>
                  <w14:solidFill>
                    <w14:schemeClr w14:val="tx1"/>
                  </w14:solidFill>
                </w14:textFill>
              </w:rPr>
              <w:t>表4.4-2  固体废物分析结果汇总表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01"/>
              <w:gridCol w:w="602"/>
              <w:gridCol w:w="895"/>
              <w:gridCol w:w="747"/>
              <w:gridCol w:w="306"/>
              <w:gridCol w:w="1484"/>
              <w:gridCol w:w="1484"/>
              <w:gridCol w:w="306"/>
              <w:gridCol w:w="403"/>
              <w:gridCol w:w="781"/>
              <w:gridCol w:w="1206"/>
            </w:tblGrid>
            <w:tr w14:paraId="3CB3D0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 w:type="pct"/>
                  <w:noWrap/>
                  <w:vAlign w:val="center"/>
                </w:tcPr>
                <w:p w14:paraId="288223DD">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353" w:type="pct"/>
                  <w:noWrap/>
                  <w:vAlign w:val="center"/>
                </w:tcPr>
                <w:p w14:paraId="2442B82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固体废物</w:t>
                  </w:r>
                </w:p>
                <w:p w14:paraId="5599C1A5">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525" w:type="pct"/>
                  <w:noWrap/>
                  <w:vAlign w:val="center"/>
                </w:tcPr>
                <w:p w14:paraId="2747D74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属性</w:t>
                  </w:r>
                </w:p>
              </w:tc>
              <w:tc>
                <w:tcPr>
                  <w:tcW w:w="438" w:type="pct"/>
                  <w:noWrap/>
                  <w:vAlign w:val="center"/>
                </w:tcPr>
                <w:p w14:paraId="721B87D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产生工序</w:t>
                  </w:r>
                </w:p>
              </w:tc>
              <w:tc>
                <w:tcPr>
                  <w:tcW w:w="178" w:type="pct"/>
                  <w:noWrap/>
                  <w:vAlign w:val="center"/>
                </w:tcPr>
                <w:p w14:paraId="1950A960">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形态</w:t>
                  </w:r>
                </w:p>
              </w:tc>
              <w:tc>
                <w:tcPr>
                  <w:tcW w:w="872" w:type="pct"/>
                  <w:noWrap/>
                  <w:vAlign w:val="center"/>
                </w:tcPr>
                <w:p w14:paraId="1CD7D26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主要</w:t>
                  </w:r>
                </w:p>
                <w:p w14:paraId="067EB885">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成分</w:t>
                  </w:r>
                </w:p>
              </w:tc>
              <w:tc>
                <w:tcPr>
                  <w:tcW w:w="467" w:type="pct"/>
                  <w:noWrap/>
                  <w:vAlign w:val="center"/>
                </w:tcPr>
                <w:p w14:paraId="3044726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危险特性鉴别方法</w:t>
                  </w:r>
                </w:p>
              </w:tc>
              <w:tc>
                <w:tcPr>
                  <w:tcW w:w="368" w:type="pct"/>
                  <w:noWrap/>
                  <w:vAlign w:val="center"/>
                </w:tcPr>
                <w:p w14:paraId="7AF0351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w:t>
                  </w:r>
                </w:p>
                <w:p w14:paraId="651B341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特性</w:t>
                  </w:r>
                </w:p>
              </w:tc>
              <w:tc>
                <w:tcPr>
                  <w:tcW w:w="451" w:type="pct"/>
                  <w:noWrap/>
                  <w:vAlign w:val="center"/>
                </w:tcPr>
                <w:p w14:paraId="30A85F9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废物</w:t>
                  </w:r>
                </w:p>
                <w:p w14:paraId="44EF9AB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类别</w:t>
                  </w:r>
                </w:p>
              </w:tc>
              <w:tc>
                <w:tcPr>
                  <w:tcW w:w="458" w:type="pct"/>
                  <w:noWrap/>
                  <w:vAlign w:val="center"/>
                </w:tcPr>
                <w:p w14:paraId="6333D8E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废物</w:t>
                  </w:r>
                </w:p>
                <w:p w14:paraId="47BF122C">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代码</w:t>
                  </w:r>
                </w:p>
              </w:tc>
              <w:tc>
                <w:tcPr>
                  <w:tcW w:w="709" w:type="pct"/>
                  <w:noWrap/>
                  <w:vAlign w:val="center"/>
                </w:tcPr>
                <w:p w14:paraId="6173EC5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估算产生量（t/a）</w:t>
                  </w:r>
                </w:p>
              </w:tc>
            </w:tr>
            <w:tr w14:paraId="6A7927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 w:type="pct"/>
                  <w:noWrap/>
                  <w:vAlign w:val="center"/>
                </w:tcPr>
                <w:p w14:paraId="50FA6652">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353" w:type="pct"/>
                  <w:noWrap/>
                  <w:vAlign w:val="center"/>
                </w:tcPr>
                <w:p w14:paraId="150E85C6">
                  <w:pPr>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废模具</w:t>
                  </w:r>
                </w:p>
              </w:tc>
              <w:tc>
                <w:tcPr>
                  <w:tcW w:w="525" w:type="pct"/>
                  <w:vMerge w:val="restart"/>
                  <w:noWrap/>
                  <w:vAlign w:val="center"/>
                </w:tcPr>
                <w:p w14:paraId="02575E0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一般工业固废</w:t>
                  </w:r>
                </w:p>
              </w:tc>
              <w:tc>
                <w:tcPr>
                  <w:tcW w:w="438" w:type="pct"/>
                  <w:noWrap/>
                  <w:vAlign w:val="center"/>
                </w:tcPr>
                <w:p w14:paraId="252566DC">
                  <w:pPr>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设备维护</w:t>
                  </w:r>
                </w:p>
              </w:tc>
              <w:tc>
                <w:tcPr>
                  <w:tcW w:w="178" w:type="pct"/>
                  <w:noWrap/>
                  <w:vAlign w:val="center"/>
                </w:tcPr>
                <w:p w14:paraId="74C8C7C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872" w:type="pct"/>
                  <w:noWrap/>
                  <w:vAlign w:val="center"/>
                </w:tcPr>
                <w:p w14:paraId="338D9921">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金属</w:t>
                  </w:r>
                </w:p>
              </w:tc>
              <w:tc>
                <w:tcPr>
                  <w:tcW w:w="467" w:type="pct"/>
                  <w:vMerge w:val="restart"/>
                  <w:noWrap/>
                  <w:vAlign w:val="center"/>
                </w:tcPr>
                <w:p w14:paraId="4FEE5E3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《国家危险废物名录》</w:t>
                  </w:r>
                </w:p>
                <w:p w14:paraId="684BBE2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202</w:t>
                  </w:r>
                  <w:r>
                    <w:rPr>
                      <w:rFonts w:hint="eastAsia"/>
                      <w:color w:val="000000" w:themeColor="text1"/>
                      <w:szCs w:val="21"/>
                      <w:lang w:val="en-US" w:eastAsia="zh-CN"/>
                      <w14:textFill>
                        <w14:solidFill>
                          <w14:schemeClr w14:val="tx1"/>
                        </w14:solidFill>
                      </w14:textFill>
                    </w:rPr>
                    <w:t>5年</w:t>
                  </w:r>
                  <w:r>
                    <w:rPr>
                      <w:rFonts w:hint="eastAsia"/>
                      <w:color w:val="000000" w:themeColor="text1"/>
                      <w:szCs w:val="21"/>
                      <w14:textFill>
                        <w14:solidFill>
                          <w14:schemeClr w14:val="tx1"/>
                        </w14:solidFill>
                      </w14:textFill>
                    </w:rPr>
                    <w:t>版</w:t>
                  </w:r>
                  <w:r>
                    <w:rPr>
                      <w:color w:val="000000" w:themeColor="text1"/>
                      <w:szCs w:val="21"/>
                      <w14:textFill>
                        <w14:solidFill>
                          <w14:schemeClr w14:val="tx1"/>
                        </w14:solidFill>
                      </w14:textFill>
                    </w:rPr>
                    <w:t>）</w:t>
                  </w:r>
                </w:p>
              </w:tc>
              <w:tc>
                <w:tcPr>
                  <w:tcW w:w="368" w:type="pct"/>
                  <w:noWrap/>
                  <w:vAlign w:val="center"/>
                </w:tcPr>
                <w:p w14:paraId="08057E1D">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51" w:type="pct"/>
                  <w:noWrap/>
                  <w:vAlign w:val="center"/>
                </w:tcPr>
                <w:p w14:paraId="6F0178EF">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SW17</w:t>
                  </w:r>
                </w:p>
              </w:tc>
              <w:tc>
                <w:tcPr>
                  <w:tcW w:w="458" w:type="pct"/>
                  <w:noWrap/>
                  <w:vAlign w:val="center"/>
                </w:tcPr>
                <w:p w14:paraId="04935819">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900-002-S17</w:t>
                  </w:r>
                </w:p>
              </w:tc>
              <w:tc>
                <w:tcPr>
                  <w:tcW w:w="709" w:type="pct"/>
                  <w:noWrap/>
                  <w:vAlign w:val="center"/>
                </w:tcPr>
                <w:p w14:paraId="551D2771">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r>
            <w:tr w14:paraId="46133F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 w:type="pct"/>
                  <w:noWrap/>
                  <w:vAlign w:val="center"/>
                </w:tcPr>
                <w:p w14:paraId="00B6031C">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353" w:type="pct"/>
                  <w:noWrap/>
                  <w:vAlign w:val="center"/>
                </w:tcPr>
                <w:p w14:paraId="69E454E5">
                  <w:pPr>
                    <w:jc w:val="center"/>
                    <w:rPr>
                      <w:color w:val="000000" w:themeColor="text1"/>
                      <w:szCs w:val="21"/>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废包装袋</w:t>
                  </w:r>
                </w:p>
              </w:tc>
              <w:tc>
                <w:tcPr>
                  <w:tcW w:w="525" w:type="pct"/>
                  <w:vMerge w:val="continue"/>
                  <w:noWrap/>
                  <w:vAlign w:val="center"/>
                </w:tcPr>
                <w:p w14:paraId="33775AB8">
                  <w:pPr>
                    <w:jc w:val="center"/>
                    <w:rPr>
                      <w:color w:val="000000" w:themeColor="text1"/>
                      <w:szCs w:val="21"/>
                      <w14:textFill>
                        <w14:solidFill>
                          <w14:schemeClr w14:val="tx1"/>
                        </w14:solidFill>
                      </w14:textFill>
                    </w:rPr>
                  </w:pPr>
                </w:p>
              </w:tc>
              <w:tc>
                <w:tcPr>
                  <w:tcW w:w="438" w:type="pct"/>
                  <w:noWrap/>
                  <w:vAlign w:val="center"/>
                </w:tcPr>
                <w:p w14:paraId="5EF23B88">
                  <w:pPr>
                    <w:jc w:val="center"/>
                    <w:rPr>
                      <w:color w:val="000000" w:themeColor="text1"/>
                      <w:szCs w:val="21"/>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原料使用</w:t>
                  </w:r>
                </w:p>
              </w:tc>
              <w:tc>
                <w:tcPr>
                  <w:tcW w:w="178" w:type="pct"/>
                  <w:noWrap/>
                  <w:vAlign w:val="center"/>
                </w:tcPr>
                <w:p w14:paraId="0A3AADD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872" w:type="pct"/>
                  <w:noWrap/>
                  <w:vAlign w:val="center"/>
                </w:tcPr>
                <w:p w14:paraId="7C1F8F99">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塑料</w:t>
                  </w:r>
                </w:p>
              </w:tc>
              <w:tc>
                <w:tcPr>
                  <w:tcW w:w="467" w:type="pct"/>
                  <w:vMerge w:val="continue"/>
                  <w:noWrap/>
                  <w:vAlign w:val="center"/>
                </w:tcPr>
                <w:p w14:paraId="6221D8EE">
                  <w:pPr>
                    <w:jc w:val="center"/>
                    <w:rPr>
                      <w:color w:val="000000" w:themeColor="text1"/>
                      <w:szCs w:val="21"/>
                      <w14:textFill>
                        <w14:solidFill>
                          <w14:schemeClr w14:val="tx1"/>
                        </w14:solidFill>
                      </w14:textFill>
                    </w:rPr>
                  </w:pPr>
                </w:p>
              </w:tc>
              <w:tc>
                <w:tcPr>
                  <w:tcW w:w="368" w:type="pct"/>
                  <w:noWrap/>
                  <w:vAlign w:val="center"/>
                </w:tcPr>
                <w:p w14:paraId="2D72570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51" w:type="pct"/>
                  <w:noWrap/>
                  <w:vAlign w:val="center"/>
                </w:tcPr>
                <w:p w14:paraId="5D4B4C45">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SW17</w:t>
                  </w:r>
                </w:p>
              </w:tc>
              <w:tc>
                <w:tcPr>
                  <w:tcW w:w="458" w:type="pct"/>
                  <w:noWrap/>
                  <w:vAlign w:val="center"/>
                </w:tcPr>
                <w:p w14:paraId="364E3A82">
                  <w:pPr>
                    <w:jc w:val="center"/>
                    <w:rPr>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900-003-S17</w:t>
                  </w:r>
                </w:p>
              </w:tc>
              <w:tc>
                <w:tcPr>
                  <w:tcW w:w="709" w:type="pct"/>
                  <w:noWrap/>
                  <w:vAlign w:val="center"/>
                </w:tcPr>
                <w:p w14:paraId="13197AF6">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0.32</w:t>
                  </w:r>
                </w:p>
              </w:tc>
            </w:tr>
            <w:tr w14:paraId="078633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 w:type="pct"/>
                  <w:noWrap/>
                  <w:vAlign w:val="center"/>
                </w:tcPr>
                <w:p w14:paraId="4BFC8E36">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353" w:type="pct"/>
                  <w:noWrap/>
                  <w:vAlign w:val="center"/>
                </w:tcPr>
                <w:p w14:paraId="2A8871B2">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废液压油</w:t>
                  </w:r>
                </w:p>
              </w:tc>
              <w:tc>
                <w:tcPr>
                  <w:tcW w:w="525" w:type="pct"/>
                  <w:vMerge w:val="restart"/>
                  <w:noWrap/>
                  <w:vAlign w:val="center"/>
                </w:tcPr>
                <w:p w14:paraId="1186181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危险废物</w:t>
                  </w:r>
                </w:p>
              </w:tc>
              <w:tc>
                <w:tcPr>
                  <w:tcW w:w="438" w:type="pct"/>
                  <w:noWrap/>
                  <w:vAlign w:val="center"/>
                </w:tcPr>
                <w:p w14:paraId="78A781EC">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设备维护</w:t>
                  </w:r>
                </w:p>
              </w:tc>
              <w:tc>
                <w:tcPr>
                  <w:tcW w:w="178" w:type="pct"/>
                  <w:noWrap/>
                  <w:vAlign w:val="center"/>
                </w:tcPr>
                <w:p w14:paraId="79C1EF9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872" w:type="pct"/>
                  <w:noWrap/>
                  <w:vAlign w:val="center"/>
                </w:tcPr>
                <w:p w14:paraId="57040E54">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矿物油</w:t>
                  </w:r>
                </w:p>
              </w:tc>
              <w:tc>
                <w:tcPr>
                  <w:tcW w:w="467" w:type="pct"/>
                  <w:vMerge w:val="continue"/>
                  <w:noWrap/>
                  <w:vAlign w:val="center"/>
                </w:tcPr>
                <w:p w14:paraId="7353D4C5">
                  <w:pPr>
                    <w:jc w:val="center"/>
                    <w:rPr>
                      <w:color w:val="000000" w:themeColor="text1"/>
                      <w:szCs w:val="21"/>
                      <w14:textFill>
                        <w14:solidFill>
                          <w14:schemeClr w14:val="tx1"/>
                        </w14:solidFill>
                      </w14:textFill>
                    </w:rPr>
                  </w:pPr>
                </w:p>
              </w:tc>
              <w:tc>
                <w:tcPr>
                  <w:tcW w:w="368" w:type="pct"/>
                  <w:noWrap/>
                  <w:vAlign w:val="center"/>
                </w:tcPr>
                <w:p w14:paraId="34F1EBB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T/I</w:t>
                  </w:r>
                </w:p>
              </w:tc>
              <w:tc>
                <w:tcPr>
                  <w:tcW w:w="451" w:type="pct"/>
                  <w:noWrap/>
                  <w:vAlign w:val="center"/>
                </w:tcPr>
                <w:p w14:paraId="7120B5F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HW08</w:t>
                  </w:r>
                </w:p>
              </w:tc>
              <w:tc>
                <w:tcPr>
                  <w:tcW w:w="458" w:type="pct"/>
                  <w:noWrap/>
                  <w:vAlign w:val="center"/>
                </w:tcPr>
                <w:p w14:paraId="5013FE7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900-218-08</w:t>
                  </w:r>
                </w:p>
              </w:tc>
              <w:tc>
                <w:tcPr>
                  <w:tcW w:w="709" w:type="pct"/>
                  <w:noWrap/>
                  <w:vAlign w:val="center"/>
                </w:tcPr>
                <w:p w14:paraId="767CC388">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0.34/5a</w:t>
                  </w:r>
                </w:p>
              </w:tc>
            </w:tr>
            <w:tr w14:paraId="155F4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 w:type="pct"/>
                  <w:noWrap/>
                  <w:vAlign w:val="center"/>
                </w:tcPr>
                <w:p w14:paraId="2B368DD3">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353" w:type="pct"/>
                  <w:noWrap/>
                  <w:vAlign w:val="center"/>
                </w:tcPr>
                <w:p w14:paraId="736A827D">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废抹布</w:t>
                  </w:r>
                </w:p>
              </w:tc>
              <w:tc>
                <w:tcPr>
                  <w:tcW w:w="525" w:type="pct"/>
                  <w:vMerge w:val="continue"/>
                  <w:noWrap/>
                  <w:vAlign w:val="center"/>
                </w:tcPr>
                <w:p w14:paraId="50805783">
                  <w:pPr>
                    <w:jc w:val="center"/>
                    <w:rPr>
                      <w:color w:val="000000" w:themeColor="text1"/>
                      <w:szCs w:val="21"/>
                      <w14:textFill>
                        <w14:solidFill>
                          <w14:schemeClr w14:val="tx1"/>
                        </w14:solidFill>
                      </w14:textFill>
                    </w:rPr>
                  </w:pPr>
                </w:p>
              </w:tc>
              <w:tc>
                <w:tcPr>
                  <w:tcW w:w="438" w:type="pct"/>
                  <w:noWrap/>
                  <w:vAlign w:val="center"/>
                </w:tcPr>
                <w:p w14:paraId="13FC0A69">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印刷机清理</w:t>
                  </w:r>
                </w:p>
              </w:tc>
              <w:tc>
                <w:tcPr>
                  <w:tcW w:w="178" w:type="pct"/>
                  <w:noWrap/>
                  <w:vAlign w:val="center"/>
                </w:tcPr>
                <w:p w14:paraId="6CAC109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872" w:type="pct"/>
                  <w:noWrap/>
                  <w:vAlign w:val="center"/>
                </w:tcPr>
                <w:p w14:paraId="36F99CEB">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布、矿物油</w:t>
                  </w:r>
                </w:p>
              </w:tc>
              <w:tc>
                <w:tcPr>
                  <w:tcW w:w="467" w:type="pct"/>
                  <w:vMerge w:val="continue"/>
                  <w:noWrap/>
                  <w:vAlign w:val="center"/>
                </w:tcPr>
                <w:p w14:paraId="302D8926">
                  <w:pPr>
                    <w:jc w:val="center"/>
                    <w:rPr>
                      <w:color w:val="000000" w:themeColor="text1"/>
                      <w:szCs w:val="21"/>
                      <w14:textFill>
                        <w14:solidFill>
                          <w14:schemeClr w14:val="tx1"/>
                        </w14:solidFill>
                      </w14:textFill>
                    </w:rPr>
                  </w:pPr>
                </w:p>
              </w:tc>
              <w:tc>
                <w:tcPr>
                  <w:tcW w:w="368" w:type="pct"/>
                  <w:noWrap/>
                  <w:vAlign w:val="center"/>
                </w:tcPr>
                <w:p w14:paraId="5B7544C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T/I</w:t>
                  </w:r>
                  <w:r>
                    <w:rPr>
                      <w:rFonts w:hint="eastAsia"/>
                      <w:color w:val="000000" w:themeColor="text1"/>
                      <w:szCs w:val="21"/>
                      <w14:textFill>
                        <w14:solidFill>
                          <w14:schemeClr w14:val="tx1"/>
                        </w14:solidFill>
                      </w14:textFill>
                    </w:rPr>
                    <w:t>n</w:t>
                  </w:r>
                </w:p>
              </w:tc>
              <w:tc>
                <w:tcPr>
                  <w:tcW w:w="451" w:type="pct"/>
                  <w:noWrap/>
                  <w:vAlign w:val="center"/>
                </w:tcPr>
                <w:p w14:paraId="5AD851D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HW49</w:t>
                  </w:r>
                </w:p>
              </w:tc>
              <w:tc>
                <w:tcPr>
                  <w:tcW w:w="458" w:type="pct"/>
                  <w:noWrap/>
                  <w:vAlign w:val="center"/>
                </w:tcPr>
                <w:p w14:paraId="24EC1865">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900-</w:t>
                  </w:r>
                  <w:r>
                    <w:rPr>
                      <w:rFonts w:hint="eastAsia"/>
                      <w:color w:val="000000" w:themeColor="text1"/>
                      <w14:textFill>
                        <w14:solidFill>
                          <w14:schemeClr w14:val="tx1"/>
                        </w14:solidFill>
                      </w14:textFill>
                    </w:rPr>
                    <w:t>041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49</w:t>
                  </w:r>
                </w:p>
              </w:tc>
              <w:tc>
                <w:tcPr>
                  <w:tcW w:w="709" w:type="pct"/>
                  <w:noWrap/>
                  <w:vAlign w:val="center"/>
                </w:tcPr>
                <w:p w14:paraId="44133546">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0.28</w:t>
                  </w:r>
                </w:p>
              </w:tc>
            </w:tr>
            <w:tr w14:paraId="32FEE7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 w:type="pct"/>
                  <w:noWrap/>
                  <w:vAlign w:val="center"/>
                </w:tcPr>
                <w:p w14:paraId="48F48EDF">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353" w:type="pct"/>
                  <w:noWrap/>
                  <w:vAlign w:val="center"/>
                </w:tcPr>
                <w:p w14:paraId="7810BD61">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废包装桶</w:t>
                  </w:r>
                </w:p>
              </w:tc>
              <w:tc>
                <w:tcPr>
                  <w:tcW w:w="525" w:type="pct"/>
                  <w:vMerge w:val="continue"/>
                  <w:noWrap/>
                  <w:vAlign w:val="center"/>
                </w:tcPr>
                <w:p w14:paraId="7842114A">
                  <w:pPr>
                    <w:jc w:val="center"/>
                    <w:rPr>
                      <w:color w:val="000000" w:themeColor="text1"/>
                      <w:szCs w:val="21"/>
                      <w14:textFill>
                        <w14:solidFill>
                          <w14:schemeClr w14:val="tx1"/>
                        </w14:solidFill>
                      </w14:textFill>
                    </w:rPr>
                  </w:pPr>
                </w:p>
              </w:tc>
              <w:tc>
                <w:tcPr>
                  <w:tcW w:w="438" w:type="pct"/>
                  <w:noWrap/>
                  <w:vAlign w:val="center"/>
                </w:tcPr>
                <w:p w14:paraId="6DFB52C1">
                  <w:pPr>
                    <w:jc w:val="center"/>
                    <w:rPr>
                      <w:color w:val="000000" w:themeColor="text1"/>
                      <w:szCs w:val="21"/>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原料使用</w:t>
                  </w:r>
                </w:p>
              </w:tc>
              <w:tc>
                <w:tcPr>
                  <w:tcW w:w="178" w:type="pct"/>
                  <w:noWrap/>
                  <w:vAlign w:val="center"/>
                </w:tcPr>
                <w:p w14:paraId="70C2849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872" w:type="pct"/>
                  <w:noWrap/>
                  <w:vAlign w:val="center"/>
                </w:tcPr>
                <w:p w14:paraId="581A6088">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油墨、清洗剂、塑料桶</w:t>
                  </w:r>
                </w:p>
              </w:tc>
              <w:tc>
                <w:tcPr>
                  <w:tcW w:w="467" w:type="pct"/>
                  <w:vMerge w:val="continue"/>
                  <w:noWrap/>
                  <w:vAlign w:val="center"/>
                </w:tcPr>
                <w:p w14:paraId="1B34F35B">
                  <w:pPr>
                    <w:jc w:val="center"/>
                    <w:rPr>
                      <w:color w:val="000000" w:themeColor="text1"/>
                      <w:szCs w:val="21"/>
                      <w14:textFill>
                        <w14:solidFill>
                          <w14:schemeClr w14:val="tx1"/>
                        </w14:solidFill>
                      </w14:textFill>
                    </w:rPr>
                  </w:pPr>
                </w:p>
              </w:tc>
              <w:tc>
                <w:tcPr>
                  <w:tcW w:w="368" w:type="pct"/>
                  <w:noWrap/>
                  <w:vAlign w:val="center"/>
                </w:tcPr>
                <w:p w14:paraId="2F1B0E7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T/I</w:t>
                  </w:r>
                  <w:r>
                    <w:rPr>
                      <w:rFonts w:hint="eastAsia"/>
                      <w:color w:val="000000" w:themeColor="text1"/>
                      <w:szCs w:val="21"/>
                      <w14:textFill>
                        <w14:solidFill>
                          <w14:schemeClr w14:val="tx1"/>
                        </w14:solidFill>
                      </w14:textFill>
                    </w:rPr>
                    <w:t>n</w:t>
                  </w:r>
                </w:p>
              </w:tc>
              <w:tc>
                <w:tcPr>
                  <w:tcW w:w="451" w:type="pct"/>
                  <w:noWrap/>
                  <w:vAlign w:val="center"/>
                </w:tcPr>
                <w:p w14:paraId="3CD1569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HW49</w:t>
                  </w:r>
                </w:p>
              </w:tc>
              <w:tc>
                <w:tcPr>
                  <w:tcW w:w="458" w:type="pct"/>
                  <w:noWrap/>
                  <w:vAlign w:val="center"/>
                </w:tcPr>
                <w:p w14:paraId="705ABDCD">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900-</w:t>
                  </w:r>
                  <w:r>
                    <w:rPr>
                      <w:rFonts w:hint="eastAsia"/>
                      <w:color w:val="000000" w:themeColor="text1"/>
                      <w14:textFill>
                        <w14:solidFill>
                          <w14:schemeClr w14:val="tx1"/>
                        </w14:solidFill>
                      </w14:textFill>
                    </w:rPr>
                    <w:t>041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49</w:t>
                  </w:r>
                </w:p>
              </w:tc>
              <w:tc>
                <w:tcPr>
                  <w:tcW w:w="709" w:type="pct"/>
                  <w:noWrap/>
                  <w:vAlign w:val="center"/>
                </w:tcPr>
                <w:p w14:paraId="6CB8040F">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0.02</w:t>
                  </w:r>
                </w:p>
              </w:tc>
            </w:tr>
            <w:tr w14:paraId="121687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 w:type="pct"/>
                  <w:noWrap/>
                  <w:vAlign w:val="center"/>
                </w:tcPr>
                <w:p w14:paraId="7AA700C7">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c>
                <w:tcPr>
                  <w:tcW w:w="353" w:type="pct"/>
                  <w:noWrap/>
                  <w:vAlign w:val="center"/>
                </w:tcPr>
                <w:p w14:paraId="6578EE0F">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废油桶</w:t>
                  </w:r>
                </w:p>
              </w:tc>
              <w:tc>
                <w:tcPr>
                  <w:tcW w:w="525" w:type="pct"/>
                  <w:vMerge w:val="continue"/>
                  <w:noWrap/>
                  <w:vAlign w:val="center"/>
                </w:tcPr>
                <w:p w14:paraId="3E41332A">
                  <w:pPr>
                    <w:jc w:val="center"/>
                    <w:rPr>
                      <w:color w:val="000000" w:themeColor="text1"/>
                      <w:szCs w:val="21"/>
                      <w14:textFill>
                        <w14:solidFill>
                          <w14:schemeClr w14:val="tx1"/>
                        </w14:solidFill>
                      </w14:textFill>
                    </w:rPr>
                  </w:pPr>
                </w:p>
              </w:tc>
              <w:tc>
                <w:tcPr>
                  <w:tcW w:w="438" w:type="pct"/>
                  <w:noWrap/>
                  <w:vAlign w:val="center"/>
                </w:tcPr>
                <w:p w14:paraId="69A205F2">
                  <w:pPr>
                    <w:jc w:val="center"/>
                    <w:rPr>
                      <w:color w:val="000000" w:themeColor="text1"/>
                      <w:szCs w:val="21"/>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原料使用</w:t>
                  </w:r>
                </w:p>
              </w:tc>
              <w:tc>
                <w:tcPr>
                  <w:tcW w:w="178" w:type="pct"/>
                  <w:noWrap/>
                  <w:vAlign w:val="center"/>
                </w:tcPr>
                <w:p w14:paraId="3F5D497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872" w:type="pct"/>
                  <w:noWrap/>
                  <w:vAlign w:val="center"/>
                </w:tcPr>
                <w:p w14:paraId="1437010D">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矿物油、</w:t>
                  </w:r>
                  <w:r>
                    <w:rPr>
                      <w:rFonts w:hint="eastAsia"/>
                      <w:bCs/>
                      <w:color w:val="000000" w:themeColor="text1"/>
                      <w:szCs w:val="21"/>
                      <w:lang w:val="en-US" w:eastAsia="zh-CN"/>
                      <w14:textFill>
                        <w14:solidFill>
                          <w14:schemeClr w14:val="tx1"/>
                        </w14:solidFill>
                      </w14:textFill>
                    </w:rPr>
                    <w:t>铁</w:t>
                  </w:r>
                  <w:r>
                    <w:rPr>
                      <w:rFonts w:hint="eastAsia"/>
                      <w:bCs/>
                      <w:color w:val="000000" w:themeColor="text1"/>
                      <w:szCs w:val="21"/>
                      <w14:textFill>
                        <w14:solidFill>
                          <w14:schemeClr w14:val="tx1"/>
                        </w14:solidFill>
                      </w14:textFill>
                    </w:rPr>
                    <w:t>桶</w:t>
                  </w:r>
                </w:p>
              </w:tc>
              <w:tc>
                <w:tcPr>
                  <w:tcW w:w="467" w:type="pct"/>
                  <w:vMerge w:val="continue"/>
                  <w:noWrap/>
                  <w:vAlign w:val="center"/>
                </w:tcPr>
                <w:p w14:paraId="6975C7A1">
                  <w:pPr>
                    <w:jc w:val="center"/>
                    <w:rPr>
                      <w:color w:val="000000" w:themeColor="text1"/>
                      <w:szCs w:val="21"/>
                      <w14:textFill>
                        <w14:solidFill>
                          <w14:schemeClr w14:val="tx1"/>
                        </w14:solidFill>
                      </w14:textFill>
                    </w:rPr>
                  </w:pPr>
                </w:p>
              </w:tc>
              <w:tc>
                <w:tcPr>
                  <w:tcW w:w="368" w:type="pct"/>
                  <w:noWrap/>
                  <w:vAlign w:val="center"/>
                </w:tcPr>
                <w:p w14:paraId="1338C63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T/In</w:t>
                  </w:r>
                </w:p>
              </w:tc>
              <w:tc>
                <w:tcPr>
                  <w:tcW w:w="451" w:type="pct"/>
                  <w:noWrap/>
                  <w:vAlign w:val="center"/>
                </w:tcPr>
                <w:p w14:paraId="217C6B6B">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HW08</w:t>
                  </w:r>
                </w:p>
              </w:tc>
              <w:tc>
                <w:tcPr>
                  <w:tcW w:w="458" w:type="pct"/>
                  <w:noWrap/>
                  <w:vAlign w:val="center"/>
                </w:tcPr>
                <w:p w14:paraId="7A057450">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900-249-08</w:t>
                  </w:r>
                </w:p>
              </w:tc>
              <w:tc>
                <w:tcPr>
                  <w:tcW w:w="709" w:type="pct"/>
                  <w:noWrap/>
                  <w:vAlign w:val="center"/>
                </w:tcPr>
                <w:p w14:paraId="1956C1CB">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0.03/5a</w:t>
                  </w:r>
                </w:p>
              </w:tc>
            </w:tr>
            <w:tr w14:paraId="498B64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 w:type="pct"/>
                  <w:noWrap/>
                  <w:vAlign w:val="center"/>
                </w:tcPr>
                <w:p w14:paraId="155CF196">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c>
                <w:tcPr>
                  <w:tcW w:w="353" w:type="pct"/>
                  <w:noWrap/>
                  <w:vAlign w:val="center"/>
                </w:tcPr>
                <w:p w14:paraId="127E8499">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废活性炭</w:t>
                  </w:r>
                </w:p>
              </w:tc>
              <w:tc>
                <w:tcPr>
                  <w:tcW w:w="525" w:type="pct"/>
                  <w:vMerge w:val="continue"/>
                  <w:noWrap/>
                  <w:vAlign w:val="center"/>
                </w:tcPr>
                <w:p w14:paraId="1AD48DA4">
                  <w:pPr>
                    <w:jc w:val="center"/>
                    <w:rPr>
                      <w:color w:val="000000" w:themeColor="text1"/>
                      <w:szCs w:val="21"/>
                      <w:highlight w:val="none"/>
                      <w14:textFill>
                        <w14:solidFill>
                          <w14:schemeClr w14:val="tx1"/>
                        </w14:solidFill>
                      </w14:textFill>
                    </w:rPr>
                  </w:pPr>
                </w:p>
              </w:tc>
              <w:tc>
                <w:tcPr>
                  <w:tcW w:w="438" w:type="pct"/>
                  <w:noWrap/>
                  <w:vAlign w:val="center"/>
                </w:tcPr>
                <w:p w14:paraId="63CAEC1A">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废气处理</w:t>
                  </w:r>
                </w:p>
              </w:tc>
              <w:tc>
                <w:tcPr>
                  <w:tcW w:w="178" w:type="pct"/>
                  <w:noWrap/>
                  <w:vAlign w:val="center"/>
                </w:tcPr>
                <w:p w14:paraId="7EF24730">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固态</w:t>
                  </w:r>
                </w:p>
              </w:tc>
              <w:tc>
                <w:tcPr>
                  <w:tcW w:w="872" w:type="pct"/>
                  <w:noWrap/>
                  <w:vAlign w:val="center"/>
                </w:tcPr>
                <w:p w14:paraId="4D0BA248">
                  <w:pPr>
                    <w:jc w:val="center"/>
                    <w:rPr>
                      <w:color w:val="000000" w:themeColor="text1"/>
                      <w:szCs w:val="21"/>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活性炭、有机物</w:t>
                  </w:r>
                </w:p>
              </w:tc>
              <w:tc>
                <w:tcPr>
                  <w:tcW w:w="467" w:type="pct"/>
                  <w:vMerge w:val="continue"/>
                  <w:noWrap/>
                  <w:vAlign w:val="center"/>
                </w:tcPr>
                <w:p w14:paraId="234B993D">
                  <w:pPr>
                    <w:jc w:val="center"/>
                    <w:rPr>
                      <w:color w:val="000000" w:themeColor="text1"/>
                      <w:szCs w:val="21"/>
                      <w14:textFill>
                        <w14:solidFill>
                          <w14:schemeClr w14:val="tx1"/>
                        </w14:solidFill>
                      </w14:textFill>
                    </w:rPr>
                  </w:pPr>
                </w:p>
              </w:tc>
              <w:tc>
                <w:tcPr>
                  <w:tcW w:w="368" w:type="pct"/>
                  <w:noWrap/>
                  <w:vAlign w:val="center"/>
                </w:tcPr>
                <w:p w14:paraId="587E5DA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w:t>
                  </w:r>
                </w:p>
              </w:tc>
              <w:tc>
                <w:tcPr>
                  <w:tcW w:w="451" w:type="pct"/>
                  <w:noWrap/>
                  <w:vAlign w:val="center"/>
                </w:tcPr>
                <w:p w14:paraId="7C5208C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HW49</w:t>
                  </w:r>
                </w:p>
              </w:tc>
              <w:tc>
                <w:tcPr>
                  <w:tcW w:w="458" w:type="pct"/>
                  <w:noWrap/>
                  <w:vAlign w:val="center"/>
                </w:tcPr>
                <w:p w14:paraId="37D50F7C">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900-</w:t>
                  </w:r>
                  <w:r>
                    <w:rPr>
                      <w:rFonts w:hint="eastAsia"/>
                      <w:color w:val="000000" w:themeColor="text1"/>
                      <w14:textFill>
                        <w14:solidFill>
                          <w14:schemeClr w14:val="tx1"/>
                        </w14:solidFill>
                      </w14:textFill>
                    </w:rPr>
                    <w:t>039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49</w:t>
                  </w:r>
                </w:p>
              </w:tc>
              <w:tc>
                <w:tcPr>
                  <w:tcW w:w="709" w:type="pct"/>
                  <w:noWrap/>
                  <w:vAlign w:val="center"/>
                </w:tcPr>
                <w:p w14:paraId="4636A62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6.85</w:t>
                  </w:r>
                </w:p>
              </w:tc>
            </w:tr>
            <w:tr w14:paraId="380A0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 w:type="pct"/>
                  <w:noWrap/>
                  <w:vAlign w:val="center"/>
                </w:tcPr>
                <w:p w14:paraId="7D027AAD">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8</w:t>
                  </w:r>
                </w:p>
              </w:tc>
              <w:tc>
                <w:tcPr>
                  <w:tcW w:w="353" w:type="pct"/>
                  <w:noWrap/>
                  <w:vAlign w:val="center"/>
                </w:tcPr>
                <w:p w14:paraId="078CEC0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525" w:type="pct"/>
                  <w:noWrap/>
                  <w:vAlign w:val="center"/>
                </w:tcPr>
                <w:p w14:paraId="0F8B7BB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438" w:type="pct"/>
                  <w:noWrap/>
                  <w:vAlign w:val="center"/>
                </w:tcPr>
                <w:p w14:paraId="60E214F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职工办公</w:t>
                  </w:r>
                </w:p>
              </w:tc>
              <w:tc>
                <w:tcPr>
                  <w:tcW w:w="178" w:type="pct"/>
                  <w:noWrap/>
                  <w:vAlign w:val="center"/>
                </w:tcPr>
                <w:p w14:paraId="63A28A7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872" w:type="pct"/>
                  <w:noWrap/>
                  <w:vAlign w:val="center"/>
                </w:tcPr>
                <w:p w14:paraId="16024DD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467" w:type="pct"/>
                  <w:vMerge w:val="continue"/>
                  <w:noWrap/>
                  <w:vAlign w:val="center"/>
                </w:tcPr>
                <w:p w14:paraId="537C074E">
                  <w:pPr>
                    <w:jc w:val="center"/>
                    <w:rPr>
                      <w:color w:val="000000" w:themeColor="text1"/>
                      <w:szCs w:val="21"/>
                      <w14:textFill>
                        <w14:solidFill>
                          <w14:schemeClr w14:val="tx1"/>
                        </w14:solidFill>
                      </w14:textFill>
                    </w:rPr>
                  </w:pPr>
                </w:p>
              </w:tc>
              <w:tc>
                <w:tcPr>
                  <w:tcW w:w="368" w:type="pct"/>
                  <w:noWrap/>
                  <w:vAlign w:val="center"/>
                </w:tcPr>
                <w:p w14:paraId="6663D33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51" w:type="pct"/>
                  <w:noWrap/>
                  <w:vAlign w:val="center"/>
                </w:tcPr>
                <w:p w14:paraId="11AC85A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SW64</w:t>
                  </w:r>
                </w:p>
              </w:tc>
              <w:tc>
                <w:tcPr>
                  <w:tcW w:w="458" w:type="pct"/>
                  <w:noWrap/>
                  <w:vAlign w:val="center"/>
                </w:tcPr>
                <w:p w14:paraId="7E18550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900-099-S64</w:t>
                  </w:r>
                </w:p>
              </w:tc>
              <w:tc>
                <w:tcPr>
                  <w:tcW w:w="709" w:type="pct"/>
                  <w:noWrap/>
                  <w:vAlign w:val="center"/>
                </w:tcPr>
                <w:p w14:paraId="52EE9437">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6.75</w:t>
                  </w:r>
                </w:p>
              </w:tc>
            </w:tr>
          </w:tbl>
          <w:p w14:paraId="78E3AB31">
            <w:pPr>
              <w:snapToGrid w:val="0"/>
              <w:spacing w:beforeLines="30"/>
              <w:jc w:val="center"/>
              <w:rPr>
                <w:b/>
                <w:color w:val="000000" w:themeColor="text1"/>
                <w:sz w:val="24"/>
                <w14:textFill>
                  <w14:solidFill>
                    <w14:schemeClr w14:val="tx1"/>
                  </w14:solidFill>
                </w14:textFill>
              </w:rPr>
            </w:pPr>
            <w:r>
              <w:rPr>
                <w:b/>
                <w:color w:val="000000" w:themeColor="text1"/>
                <w:szCs w:val="21"/>
                <w14:textFill>
                  <w14:solidFill>
                    <w14:schemeClr w14:val="tx1"/>
                  </w14:solidFill>
                </w14:textFill>
              </w:rPr>
              <w:t>表4.4-3  本项目危险废物利用处置方式汇总表</w:t>
            </w:r>
          </w:p>
          <w:tbl>
            <w:tblPr>
              <w:tblStyle w:val="22"/>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1"/>
              <w:gridCol w:w="478"/>
              <w:gridCol w:w="487"/>
              <w:gridCol w:w="670"/>
              <w:gridCol w:w="641"/>
              <w:gridCol w:w="899"/>
              <w:gridCol w:w="442"/>
              <w:gridCol w:w="432"/>
              <w:gridCol w:w="607"/>
              <w:gridCol w:w="607"/>
              <w:gridCol w:w="2841"/>
            </w:tblGrid>
            <w:tr w14:paraId="7385E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noWrap/>
                  <w:vAlign w:val="center"/>
                </w:tcPr>
                <w:p w14:paraId="3195FA22">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465" w:type="pct"/>
                  <w:noWrap/>
                  <w:vAlign w:val="center"/>
                </w:tcPr>
                <w:p w14:paraId="46CDF023">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476" w:type="pct"/>
                  <w:noWrap/>
                  <w:vAlign w:val="center"/>
                </w:tcPr>
                <w:p w14:paraId="656FAA24">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类别</w:t>
                  </w:r>
                </w:p>
              </w:tc>
              <w:tc>
                <w:tcPr>
                  <w:tcW w:w="610" w:type="pct"/>
                  <w:noWrap/>
                  <w:vAlign w:val="center"/>
                </w:tcPr>
                <w:p w14:paraId="4D629BF9">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代码</w:t>
                  </w:r>
                </w:p>
              </w:tc>
              <w:tc>
                <w:tcPr>
                  <w:tcW w:w="460" w:type="pct"/>
                  <w:noWrap/>
                  <w:vAlign w:val="center"/>
                </w:tcPr>
                <w:p w14:paraId="2DCA6E5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产生量t/a</w:t>
                  </w:r>
                </w:p>
              </w:tc>
              <w:tc>
                <w:tcPr>
                  <w:tcW w:w="640" w:type="pct"/>
                  <w:noWrap/>
                  <w:vAlign w:val="center"/>
                </w:tcPr>
                <w:p w14:paraId="2AAD4CF7">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产生工序及装置</w:t>
                  </w:r>
                </w:p>
              </w:tc>
              <w:tc>
                <w:tcPr>
                  <w:tcW w:w="418" w:type="pct"/>
                  <w:noWrap/>
                  <w:vAlign w:val="center"/>
                </w:tcPr>
                <w:p w14:paraId="387CE395">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形态</w:t>
                  </w:r>
                </w:p>
              </w:tc>
              <w:tc>
                <w:tcPr>
                  <w:tcW w:w="406" w:type="pct"/>
                  <w:noWrap/>
                  <w:vAlign w:val="center"/>
                </w:tcPr>
                <w:p w14:paraId="4C0C0849">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有害</w:t>
                  </w:r>
                </w:p>
                <w:p w14:paraId="7E865E7D">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成分</w:t>
                  </w:r>
                </w:p>
              </w:tc>
              <w:tc>
                <w:tcPr>
                  <w:tcW w:w="385" w:type="pct"/>
                  <w:noWrap/>
                  <w:vAlign w:val="center"/>
                </w:tcPr>
                <w:p w14:paraId="3CE12597">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产废周期</w:t>
                  </w:r>
                </w:p>
              </w:tc>
              <w:tc>
                <w:tcPr>
                  <w:tcW w:w="406" w:type="pct"/>
                  <w:noWrap/>
                  <w:vAlign w:val="center"/>
                </w:tcPr>
                <w:p w14:paraId="03F3B60E">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危险特性</w:t>
                  </w:r>
                </w:p>
              </w:tc>
              <w:tc>
                <w:tcPr>
                  <w:tcW w:w="515" w:type="pct"/>
                  <w:noWrap/>
                  <w:vAlign w:val="center"/>
                </w:tcPr>
                <w:p w14:paraId="55345B33">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污染防治措施</w:t>
                  </w:r>
                </w:p>
              </w:tc>
            </w:tr>
            <w:tr w14:paraId="661F7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213" w:type="pct"/>
                  <w:noWrap/>
                  <w:vAlign w:val="center"/>
                </w:tcPr>
                <w:p w14:paraId="381EFDC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82" w:type="dxa"/>
                  <w:noWrap/>
                  <w:vAlign w:val="center"/>
                </w:tcPr>
                <w:p w14:paraId="76ADBFCC">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废液压油</w:t>
                  </w:r>
                </w:p>
              </w:tc>
              <w:tc>
                <w:tcPr>
                  <w:tcW w:w="801" w:type="dxa"/>
                  <w:noWrap/>
                  <w:vAlign w:val="center"/>
                </w:tcPr>
                <w:p w14:paraId="6EC6BFA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HW08</w:t>
                  </w:r>
                </w:p>
              </w:tc>
              <w:tc>
                <w:tcPr>
                  <w:tcW w:w="1026" w:type="dxa"/>
                  <w:noWrap/>
                  <w:vAlign w:val="center"/>
                </w:tcPr>
                <w:p w14:paraId="270EA25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900-218-08</w:t>
                  </w:r>
                </w:p>
              </w:tc>
              <w:tc>
                <w:tcPr>
                  <w:tcW w:w="774" w:type="dxa"/>
                  <w:noWrap/>
                  <w:vAlign w:val="center"/>
                </w:tcPr>
                <w:p w14:paraId="28FA6D35">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0.34/5a</w:t>
                  </w:r>
                </w:p>
              </w:tc>
              <w:tc>
                <w:tcPr>
                  <w:tcW w:w="1076" w:type="dxa"/>
                  <w:noWrap/>
                  <w:vAlign w:val="center"/>
                </w:tcPr>
                <w:p w14:paraId="7EA5EE89">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设备维护</w:t>
                  </w:r>
                </w:p>
              </w:tc>
              <w:tc>
                <w:tcPr>
                  <w:tcW w:w="704" w:type="dxa"/>
                  <w:noWrap/>
                  <w:vAlign w:val="center"/>
                </w:tcPr>
                <w:p w14:paraId="297B48E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82" w:type="dxa"/>
                  <w:noWrap/>
                  <w:vAlign w:val="center"/>
                </w:tcPr>
                <w:p w14:paraId="350CC73A">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矿物油</w:t>
                  </w:r>
                </w:p>
              </w:tc>
              <w:tc>
                <w:tcPr>
                  <w:tcW w:w="385" w:type="pct"/>
                  <w:noWrap/>
                  <w:vAlign w:val="center"/>
                </w:tcPr>
                <w:p w14:paraId="6FFCF650">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5年</w:t>
                  </w:r>
                </w:p>
              </w:tc>
              <w:tc>
                <w:tcPr>
                  <w:tcW w:w="406" w:type="pct"/>
                  <w:noWrap/>
                  <w:vAlign w:val="center"/>
                </w:tcPr>
                <w:p w14:paraId="464A90B6">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T/I</w:t>
                  </w:r>
                  <w:r>
                    <w:rPr>
                      <w:rFonts w:hint="eastAsia"/>
                      <w:color w:val="000000" w:themeColor="text1"/>
                      <w:szCs w:val="21"/>
                      <w14:textFill>
                        <w14:solidFill>
                          <w14:schemeClr w14:val="tx1"/>
                        </w14:solidFill>
                      </w14:textFill>
                    </w:rPr>
                    <w:t>n</w:t>
                  </w:r>
                </w:p>
              </w:tc>
              <w:tc>
                <w:tcPr>
                  <w:tcW w:w="515" w:type="pct"/>
                  <w:vMerge w:val="restart"/>
                  <w:noWrap/>
                  <w:vAlign w:val="center"/>
                </w:tcPr>
                <w:p w14:paraId="6EAEBFBB">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使用密闭包装桶贮存于厂区危废仓库，交由危废资质单位处置</w:t>
                  </w:r>
                </w:p>
              </w:tc>
            </w:tr>
            <w:tr w14:paraId="64530A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213" w:type="pct"/>
                  <w:noWrap/>
                  <w:vAlign w:val="center"/>
                </w:tcPr>
                <w:p w14:paraId="23AAFBE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782" w:type="dxa"/>
                  <w:noWrap/>
                  <w:vAlign w:val="center"/>
                </w:tcPr>
                <w:p w14:paraId="24C4F3AE">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废抹布</w:t>
                  </w:r>
                </w:p>
              </w:tc>
              <w:tc>
                <w:tcPr>
                  <w:tcW w:w="801" w:type="dxa"/>
                  <w:noWrap/>
                  <w:vAlign w:val="center"/>
                </w:tcPr>
                <w:p w14:paraId="47002A6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HW49</w:t>
                  </w:r>
                </w:p>
              </w:tc>
              <w:tc>
                <w:tcPr>
                  <w:tcW w:w="1026" w:type="dxa"/>
                  <w:noWrap/>
                  <w:vAlign w:val="center"/>
                </w:tcPr>
                <w:p w14:paraId="7A9FC17E">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900-</w:t>
                  </w:r>
                  <w:r>
                    <w:rPr>
                      <w:rFonts w:hint="eastAsia"/>
                      <w:color w:val="000000" w:themeColor="text1"/>
                      <w14:textFill>
                        <w14:solidFill>
                          <w14:schemeClr w14:val="tx1"/>
                        </w14:solidFill>
                      </w14:textFill>
                    </w:rPr>
                    <w:t>041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49</w:t>
                  </w:r>
                </w:p>
              </w:tc>
              <w:tc>
                <w:tcPr>
                  <w:tcW w:w="774" w:type="dxa"/>
                  <w:noWrap/>
                  <w:vAlign w:val="center"/>
                </w:tcPr>
                <w:p w14:paraId="24E7F653">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0.28</w:t>
                  </w:r>
                </w:p>
              </w:tc>
              <w:tc>
                <w:tcPr>
                  <w:tcW w:w="1076" w:type="dxa"/>
                  <w:noWrap/>
                  <w:vAlign w:val="center"/>
                </w:tcPr>
                <w:p w14:paraId="3A8E7E87">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印刷机清理</w:t>
                  </w:r>
                </w:p>
              </w:tc>
              <w:tc>
                <w:tcPr>
                  <w:tcW w:w="704" w:type="dxa"/>
                  <w:noWrap/>
                  <w:vAlign w:val="center"/>
                </w:tcPr>
                <w:p w14:paraId="5D7CE7F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682" w:type="dxa"/>
                  <w:noWrap/>
                  <w:vAlign w:val="center"/>
                </w:tcPr>
                <w:p w14:paraId="24EF1688">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矿物油</w:t>
                  </w:r>
                </w:p>
              </w:tc>
              <w:tc>
                <w:tcPr>
                  <w:tcW w:w="385" w:type="pct"/>
                  <w:noWrap/>
                  <w:vAlign w:val="center"/>
                </w:tcPr>
                <w:p w14:paraId="46501142">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1个月</w:t>
                  </w:r>
                </w:p>
              </w:tc>
              <w:tc>
                <w:tcPr>
                  <w:tcW w:w="406" w:type="pct"/>
                  <w:noWrap/>
                  <w:vAlign w:val="center"/>
                </w:tcPr>
                <w:p w14:paraId="7773A635">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T/I</w:t>
                  </w:r>
                  <w:r>
                    <w:rPr>
                      <w:rFonts w:hint="eastAsia"/>
                      <w:color w:val="000000" w:themeColor="text1"/>
                      <w:szCs w:val="21"/>
                      <w14:textFill>
                        <w14:solidFill>
                          <w14:schemeClr w14:val="tx1"/>
                        </w14:solidFill>
                      </w14:textFill>
                    </w:rPr>
                    <w:t>n</w:t>
                  </w:r>
                </w:p>
              </w:tc>
              <w:tc>
                <w:tcPr>
                  <w:tcW w:w="515" w:type="pct"/>
                  <w:vMerge w:val="continue"/>
                  <w:noWrap/>
                  <w:vAlign w:val="center"/>
                </w:tcPr>
                <w:p w14:paraId="16F8925D">
                  <w:pPr>
                    <w:snapToGrid w:val="0"/>
                    <w:jc w:val="center"/>
                    <w:rPr>
                      <w:color w:val="000000" w:themeColor="text1"/>
                      <w:szCs w:val="21"/>
                      <w14:textFill>
                        <w14:solidFill>
                          <w14:schemeClr w14:val="tx1"/>
                        </w14:solidFill>
                      </w14:textFill>
                    </w:rPr>
                  </w:pPr>
                </w:p>
              </w:tc>
            </w:tr>
            <w:tr w14:paraId="2FC4BD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213" w:type="pct"/>
                  <w:noWrap/>
                  <w:vAlign w:val="center"/>
                </w:tcPr>
                <w:p w14:paraId="42B393A9">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782" w:type="dxa"/>
                  <w:noWrap/>
                  <w:vAlign w:val="center"/>
                </w:tcPr>
                <w:p w14:paraId="351AF2F8">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废包装桶</w:t>
                  </w:r>
                </w:p>
              </w:tc>
              <w:tc>
                <w:tcPr>
                  <w:tcW w:w="801" w:type="dxa"/>
                  <w:noWrap/>
                  <w:vAlign w:val="center"/>
                </w:tcPr>
                <w:p w14:paraId="08D535A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HW49</w:t>
                  </w:r>
                </w:p>
              </w:tc>
              <w:tc>
                <w:tcPr>
                  <w:tcW w:w="1026" w:type="dxa"/>
                  <w:noWrap/>
                  <w:vAlign w:val="center"/>
                </w:tcPr>
                <w:p w14:paraId="35232DAC">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900-</w:t>
                  </w:r>
                  <w:r>
                    <w:rPr>
                      <w:rFonts w:hint="eastAsia"/>
                      <w:color w:val="000000" w:themeColor="text1"/>
                      <w14:textFill>
                        <w14:solidFill>
                          <w14:schemeClr w14:val="tx1"/>
                        </w14:solidFill>
                      </w14:textFill>
                    </w:rPr>
                    <w:t>041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49</w:t>
                  </w:r>
                </w:p>
              </w:tc>
              <w:tc>
                <w:tcPr>
                  <w:tcW w:w="774" w:type="dxa"/>
                  <w:noWrap/>
                  <w:vAlign w:val="center"/>
                </w:tcPr>
                <w:p w14:paraId="05BE8BA3">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0.02</w:t>
                  </w:r>
                </w:p>
              </w:tc>
              <w:tc>
                <w:tcPr>
                  <w:tcW w:w="1076" w:type="dxa"/>
                  <w:noWrap/>
                  <w:vAlign w:val="center"/>
                </w:tcPr>
                <w:p w14:paraId="09C72DDE">
                  <w:pPr>
                    <w:jc w:val="center"/>
                    <w:rPr>
                      <w:color w:val="000000" w:themeColor="text1"/>
                      <w:szCs w:val="21"/>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原料使用</w:t>
                  </w:r>
                </w:p>
              </w:tc>
              <w:tc>
                <w:tcPr>
                  <w:tcW w:w="704" w:type="dxa"/>
                  <w:noWrap/>
                  <w:vAlign w:val="center"/>
                </w:tcPr>
                <w:p w14:paraId="6F215B7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682" w:type="dxa"/>
                  <w:noWrap/>
                  <w:vAlign w:val="center"/>
                </w:tcPr>
                <w:p w14:paraId="18CA3957">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油墨、清洗剂</w:t>
                  </w:r>
                </w:p>
              </w:tc>
              <w:tc>
                <w:tcPr>
                  <w:tcW w:w="385" w:type="pct"/>
                  <w:noWrap/>
                  <w:vAlign w:val="center"/>
                </w:tcPr>
                <w:p w14:paraId="1104C71A">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个月</w:t>
                  </w:r>
                </w:p>
              </w:tc>
              <w:tc>
                <w:tcPr>
                  <w:tcW w:w="406" w:type="pct"/>
                  <w:noWrap/>
                  <w:vAlign w:val="center"/>
                </w:tcPr>
                <w:p w14:paraId="0FD4DB7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w:t>
                  </w:r>
                </w:p>
              </w:tc>
              <w:tc>
                <w:tcPr>
                  <w:tcW w:w="515" w:type="pct"/>
                  <w:vMerge w:val="continue"/>
                  <w:noWrap/>
                  <w:vAlign w:val="center"/>
                </w:tcPr>
                <w:p w14:paraId="55DF2B9B">
                  <w:pPr>
                    <w:snapToGrid w:val="0"/>
                    <w:jc w:val="center"/>
                    <w:rPr>
                      <w:color w:val="000000" w:themeColor="text1"/>
                      <w:szCs w:val="21"/>
                      <w14:textFill>
                        <w14:solidFill>
                          <w14:schemeClr w14:val="tx1"/>
                        </w14:solidFill>
                      </w14:textFill>
                    </w:rPr>
                  </w:pPr>
                </w:p>
              </w:tc>
            </w:tr>
            <w:tr w14:paraId="1225CF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213" w:type="pct"/>
                  <w:noWrap/>
                  <w:vAlign w:val="center"/>
                </w:tcPr>
                <w:p w14:paraId="0A9AD460">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782" w:type="dxa"/>
                  <w:noWrap/>
                  <w:vAlign w:val="center"/>
                </w:tcPr>
                <w:p w14:paraId="0040A57B">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废油桶</w:t>
                  </w:r>
                </w:p>
              </w:tc>
              <w:tc>
                <w:tcPr>
                  <w:tcW w:w="801" w:type="dxa"/>
                  <w:noWrap/>
                  <w:vAlign w:val="center"/>
                </w:tcPr>
                <w:p w14:paraId="32C19E16">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HW08</w:t>
                  </w:r>
                </w:p>
              </w:tc>
              <w:tc>
                <w:tcPr>
                  <w:tcW w:w="1026" w:type="dxa"/>
                  <w:noWrap/>
                  <w:vAlign w:val="center"/>
                </w:tcPr>
                <w:p w14:paraId="2A73ACC2">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900-249-08</w:t>
                  </w:r>
                </w:p>
              </w:tc>
              <w:tc>
                <w:tcPr>
                  <w:tcW w:w="774" w:type="dxa"/>
                  <w:noWrap/>
                  <w:vAlign w:val="center"/>
                </w:tcPr>
                <w:p w14:paraId="3DA19587">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0.03/5a</w:t>
                  </w:r>
                </w:p>
              </w:tc>
              <w:tc>
                <w:tcPr>
                  <w:tcW w:w="1076" w:type="dxa"/>
                  <w:noWrap/>
                  <w:vAlign w:val="center"/>
                </w:tcPr>
                <w:p w14:paraId="2CAE5B40">
                  <w:pPr>
                    <w:jc w:val="center"/>
                    <w:rPr>
                      <w:color w:val="000000" w:themeColor="text1"/>
                      <w:szCs w:val="21"/>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原料使用</w:t>
                  </w:r>
                </w:p>
              </w:tc>
              <w:tc>
                <w:tcPr>
                  <w:tcW w:w="704" w:type="dxa"/>
                  <w:noWrap/>
                  <w:vAlign w:val="center"/>
                </w:tcPr>
                <w:p w14:paraId="4823C0D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682" w:type="dxa"/>
                  <w:noWrap/>
                  <w:vAlign w:val="center"/>
                </w:tcPr>
                <w:p w14:paraId="4DDE625E">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矿物油</w:t>
                  </w:r>
                </w:p>
              </w:tc>
              <w:tc>
                <w:tcPr>
                  <w:tcW w:w="385" w:type="pct"/>
                  <w:noWrap/>
                  <w:vAlign w:val="center"/>
                </w:tcPr>
                <w:p w14:paraId="04238897">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半</w:t>
                  </w:r>
                  <w:r>
                    <w:rPr>
                      <w:rFonts w:hint="eastAsia"/>
                      <w:color w:val="000000" w:themeColor="text1"/>
                      <w:szCs w:val="21"/>
                      <w14:textFill>
                        <w14:solidFill>
                          <w14:schemeClr w14:val="tx1"/>
                        </w14:solidFill>
                      </w14:textFill>
                    </w:rPr>
                    <w:t>年</w:t>
                  </w:r>
                </w:p>
              </w:tc>
              <w:tc>
                <w:tcPr>
                  <w:tcW w:w="406" w:type="pct"/>
                  <w:noWrap/>
                  <w:vAlign w:val="center"/>
                </w:tcPr>
                <w:p w14:paraId="11B8D5C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w:t>
                  </w:r>
                </w:p>
              </w:tc>
              <w:tc>
                <w:tcPr>
                  <w:tcW w:w="515" w:type="pct"/>
                  <w:vMerge w:val="continue"/>
                  <w:noWrap/>
                  <w:vAlign w:val="center"/>
                </w:tcPr>
                <w:p w14:paraId="6C3FAE74">
                  <w:pPr>
                    <w:snapToGrid w:val="0"/>
                    <w:jc w:val="center"/>
                    <w:rPr>
                      <w:color w:val="000000" w:themeColor="text1"/>
                      <w:szCs w:val="21"/>
                      <w14:textFill>
                        <w14:solidFill>
                          <w14:schemeClr w14:val="tx1"/>
                        </w14:solidFill>
                      </w14:textFill>
                    </w:rPr>
                  </w:pPr>
                </w:p>
              </w:tc>
            </w:tr>
            <w:tr w14:paraId="66D3E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noWrap/>
                  <w:vAlign w:val="center"/>
                </w:tcPr>
                <w:p w14:paraId="187433A6">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782" w:type="dxa"/>
                  <w:noWrap/>
                  <w:vAlign w:val="center"/>
                </w:tcPr>
                <w:p w14:paraId="68B10F69">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废活性炭</w:t>
                  </w:r>
                </w:p>
              </w:tc>
              <w:tc>
                <w:tcPr>
                  <w:tcW w:w="801" w:type="dxa"/>
                  <w:noWrap/>
                  <w:vAlign w:val="center"/>
                </w:tcPr>
                <w:p w14:paraId="380BDF4E">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HW49</w:t>
                  </w:r>
                </w:p>
              </w:tc>
              <w:tc>
                <w:tcPr>
                  <w:tcW w:w="1026" w:type="dxa"/>
                  <w:noWrap/>
                  <w:vAlign w:val="center"/>
                </w:tcPr>
                <w:p w14:paraId="78A0EA50">
                  <w:pPr>
                    <w:jc w:val="center"/>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900-</w:t>
                  </w:r>
                  <w:r>
                    <w:rPr>
                      <w:rFonts w:hint="eastAsia"/>
                      <w:color w:val="000000" w:themeColor="text1"/>
                      <w:highlight w:val="none"/>
                      <w14:textFill>
                        <w14:solidFill>
                          <w14:schemeClr w14:val="tx1"/>
                        </w14:solidFill>
                      </w14:textFill>
                    </w:rPr>
                    <w:t>039</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49</w:t>
                  </w:r>
                </w:p>
              </w:tc>
              <w:tc>
                <w:tcPr>
                  <w:tcW w:w="774" w:type="dxa"/>
                  <w:noWrap/>
                  <w:vAlign w:val="center"/>
                </w:tcPr>
                <w:p w14:paraId="24846A4C">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6.85</w:t>
                  </w:r>
                </w:p>
              </w:tc>
              <w:tc>
                <w:tcPr>
                  <w:tcW w:w="1076" w:type="dxa"/>
                  <w:noWrap/>
                  <w:vAlign w:val="center"/>
                </w:tcPr>
                <w:p w14:paraId="5413996E">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废气处理</w:t>
                  </w:r>
                </w:p>
              </w:tc>
              <w:tc>
                <w:tcPr>
                  <w:tcW w:w="704" w:type="dxa"/>
                  <w:noWrap/>
                  <w:vAlign w:val="center"/>
                </w:tcPr>
                <w:p w14:paraId="1404EF29">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固态</w:t>
                  </w:r>
                </w:p>
              </w:tc>
              <w:tc>
                <w:tcPr>
                  <w:tcW w:w="682" w:type="dxa"/>
                  <w:noWrap/>
                  <w:vAlign w:val="center"/>
                </w:tcPr>
                <w:p w14:paraId="4CDE0041">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有机物</w:t>
                  </w:r>
                </w:p>
              </w:tc>
              <w:tc>
                <w:tcPr>
                  <w:tcW w:w="385" w:type="pct"/>
                  <w:noWrap/>
                  <w:vAlign w:val="center"/>
                </w:tcPr>
                <w:p w14:paraId="6ED6A7A3">
                  <w:pPr>
                    <w:jc w:val="center"/>
                    <w:rPr>
                      <w:rFonts w:hint="default"/>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每73天</w:t>
                  </w:r>
                </w:p>
              </w:tc>
              <w:tc>
                <w:tcPr>
                  <w:tcW w:w="406" w:type="pct"/>
                  <w:noWrap/>
                  <w:vAlign w:val="center"/>
                </w:tcPr>
                <w:p w14:paraId="41B92BB8">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T</w:t>
                  </w:r>
                </w:p>
              </w:tc>
              <w:tc>
                <w:tcPr>
                  <w:tcW w:w="515" w:type="pct"/>
                  <w:vMerge w:val="continue"/>
                  <w:noWrap/>
                  <w:vAlign w:val="center"/>
                </w:tcPr>
                <w:p w14:paraId="36A261AA">
                  <w:pPr>
                    <w:snapToGrid w:val="0"/>
                    <w:jc w:val="center"/>
                    <w:rPr>
                      <w:color w:val="000000" w:themeColor="text1"/>
                      <w:szCs w:val="21"/>
                      <w14:textFill>
                        <w14:solidFill>
                          <w14:schemeClr w14:val="tx1"/>
                        </w14:solidFill>
                      </w14:textFill>
                    </w:rPr>
                  </w:pPr>
                </w:p>
              </w:tc>
            </w:tr>
          </w:tbl>
          <w:p w14:paraId="4B4CC107">
            <w:pPr>
              <w:pStyle w:val="2"/>
              <w:spacing w:before="0" w:after="0" w:line="420" w:lineRule="exact"/>
              <w:ind w:right="0" w:firstLine="422" w:firstLineChars="200"/>
              <w:rPr>
                <w:b/>
                <w:bCs/>
                <w:color w:val="000000" w:themeColor="text1"/>
                <w:sz w:val="21"/>
                <w:szCs w:val="21"/>
                <w:highlight w:val="yellow"/>
                <w14:textFill>
                  <w14:solidFill>
                    <w14:schemeClr w14:val="tx1"/>
                  </w14:solidFill>
                </w14:textFill>
              </w:rPr>
            </w:pPr>
            <w:r>
              <w:rPr>
                <w:b/>
                <w:bCs/>
                <w:color w:val="000000" w:themeColor="text1"/>
                <w:sz w:val="21"/>
                <w:szCs w:val="21"/>
                <w14:textFill>
                  <w14:solidFill>
                    <w14:schemeClr w14:val="tx1"/>
                  </w14:solidFill>
                </w14:textFill>
              </w:rPr>
              <w:t>4.4.2固体废物处置情况</w:t>
            </w:r>
          </w:p>
          <w:p w14:paraId="158D956D">
            <w:pPr>
              <w:pStyle w:val="9"/>
              <w:spacing w:after="0"/>
              <w:ind w:left="0" w:leftChars="0"/>
              <w:jc w:val="center"/>
              <w:rPr>
                <w:b/>
                <w:color w:val="000000" w:themeColor="text1"/>
                <w14:textFill>
                  <w14:solidFill>
                    <w14:schemeClr w14:val="tx1"/>
                  </w14:solidFill>
                </w14:textFill>
              </w:rPr>
            </w:pPr>
            <w:r>
              <w:rPr>
                <w:b/>
                <w:color w:val="000000" w:themeColor="text1"/>
                <w:sz w:val="21"/>
                <w:szCs w:val="16"/>
                <w14:textFill>
                  <w14:solidFill>
                    <w14:schemeClr w14:val="tx1"/>
                  </w14:solidFill>
                </w14:textFill>
              </w:rPr>
              <w:t>表4.4-</w:t>
            </w:r>
            <w:r>
              <w:rPr>
                <w:rFonts w:hint="eastAsia"/>
                <w:b/>
                <w:color w:val="000000" w:themeColor="text1"/>
                <w:sz w:val="21"/>
                <w:szCs w:val="16"/>
                <w14:textFill>
                  <w14:solidFill>
                    <w14:schemeClr w14:val="tx1"/>
                  </w14:solidFill>
                </w14:textFill>
              </w:rPr>
              <w:t>4</w:t>
            </w:r>
            <w:r>
              <w:rPr>
                <w:b/>
                <w:color w:val="000000" w:themeColor="text1"/>
                <w:sz w:val="21"/>
                <w:szCs w:val="16"/>
                <w14:textFill>
                  <w14:solidFill>
                    <w14:schemeClr w14:val="tx1"/>
                  </w14:solidFill>
                </w14:textFill>
              </w:rPr>
              <w:t xml:space="preserve">  建设项目固体废物利用处置方式评价表</w:t>
            </w:r>
          </w:p>
          <w:tbl>
            <w:tblPr>
              <w:tblStyle w:val="22"/>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1061"/>
              <w:gridCol w:w="917"/>
              <w:gridCol w:w="1058"/>
              <w:gridCol w:w="949"/>
              <w:gridCol w:w="654"/>
              <w:gridCol w:w="1479"/>
              <w:gridCol w:w="1900"/>
            </w:tblGrid>
            <w:tr w14:paraId="205088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noWrap/>
                  <w:vAlign w:val="center"/>
                </w:tcPr>
                <w:p w14:paraId="78802E50">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853" w:type="pct"/>
                  <w:noWrap/>
                  <w:vAlign w:val="center"/>
                </w:tcPr>
                <w:p w14:paraId="4282C11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固体废物名称</w:t>
                  </w:r>
                </w:p>
              </w:tc>
              <w:tc>
                <w:tcPr>
                  <w:tcW w:w="819" w:type="pct"/>
                  <w:noWrap/>
                  <w:vAlign w:val="center"/>
                </w:tcPr>
                <w:p w14:paraId="1E5192A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产生工序</w:t>
                  </w:r>
                </w:p>
              </w:tc>
              <w:tc>
                <w:tcPr>
                  <w:tcW w:w="572" w:type="pct"/>
                  <w:noWrap/>
                  <w:vAlign w:val="center"/>
                </w:tcPr>
                <w:p w14:paraId="42C8BA5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属性</w:t>
                  </w:r>
                </w:p>
              </w:tc>
              <w:tc>
                <w:tcPr>
                  <w:tcW w:w="815" w:type="pct"/>
                  <w:noWrap/>
                  <w:vAlign w:val="center"/>
                </w:tcPr>
                <w:p w14:paraId="532E7DB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废物</w:t>
                  </w:r>
                </w:p>
                <w:p w14:paraId="4B90575C">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代码</w:t>
                  </w:r>
                </w:p>
              </w:tc>
              <w:tc>
                <w:tcPr>
                  <w:tcW w:w="544" w:type="pct"/>
                  <w:noWrap/>
                  <w:vAlign w:val="center"/>
                </w:tcPr>
                <w:p w14:paraId="22D035D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产生量</w:t>
                  </w:r>
                </w:p>
                <w:p w14:paraId="66B2BAA0">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（t/a）</w:t>
                  </w:r>
                </w:p>
              </w:tc>
              <w:tc>
                <w:tcPr>
                  <w:tcW w:w="540" w:type="pct"/>
                  <w:noWrap/>
                  <w:vAlign w:val="center"/>
                </w:tcPr>
                <w:p w14:paraId="3A919742">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利用处置方式</w:t>
                  </w:r>
                </w:p>
              </w:tc>
              <w:tc>
                <w:tcPr>
                  <w:tcW w:w="593" w:type="pct"/>
                  <w:noWrap/>
                  <w:vAlign w:val="center"/>
                </w:tcPr>
                <w:p w14:paraId="742BEF97">
                  <w:pPr>
                    <w:widowControl/>
                    <w:jc w:val="center"/>
                    <w:rPr>
                      <w:b/>
                      <w:bCs/>
                      <w:color w:val="000000" w:themeColor="text1"/>
                      <w:spacing w:val="-4"/>
                      <w:szCs w:val="21"/>
                      <w14:textFill>
                        <w14:solidFill>
                          <w14:schemeClr w14:val="tx1"/>
                        </w14:solidFill>
                      </w14:textFill>
                    </w:rPr>
                  </w:pPr>
                  <w:r>
                    <w:rPr>
                      <w:b/>
                      <w:bCs/>
                      <w:color w:val="000000" w:themeColor="text1"/>
                      <w:spacing w:val="-4"/>
                      <w:szCs w:val="21"/>
                      <w14:textFill>
                        <w14:solidFill>
                          <w14:schemeClr w14:val="tx1"/>
                        </w14:solidFill>
                      </w14:textFill>
                    </w:rPr>
                    <w:t>利用处置</w:t>
                  </w:r>
                </w:p>
                <w:p w14:paraId="74084225">
                  <w:pPr>
                    <w:widowControl/>
                    <w:jc w:val="center"/>
                    <w:rPr>
                      <w:b/>
                      <w:bCs/>
                      <w:color w:val="000000" w:themeColor="text1"/>
                      <w:spacing w:val="-4"/>
                      <w:szCs w:val="21"/>
                      <w14:textFill>
                        <w14:solidFill>
                          <w14:schemeClr w14:val="tx1"/>
                        </w14:solidFill>
                      </w14:textFill>
                    </w:rPr>
                  </w:pPr>
                  <w:r>
                    <w:rPr>
                      <w:b/>
                      <w:bCs/>
                      <w:color w:val="000000" w:themeColor="text1"/>
                      <w:spacing w:val="-4"/>
                      <w:szCs w:val="21"/>
                      <w14:textFill>
                        <w14:solidFill>
                          <w14:schemeClr w14:val="tx1"/>
                        </w14:solidFill>
                      </w14:textFill>
                    </w:rPr>
                    <w:t>单位</w:t>
                  </w:r>
                </w:p>
              </w:tc>
            </w:tr>
            <w:tr w14:paraId="678E3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noWrap/>
                  <w:vAlign w:val="center"/>
                </w:tcPr>
                <w:p w14:paraId="4F34DEEF">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853" w:type="pct"/>
                  <w:noWrap/>
                  <w:vAlign w:val="center"/>
                </w:tcPr>
                <w:p w14:paraId="36FEEB9F">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废模具</w:t>
                  </w:r>
                </w:p>
              </w:tc>
              <w:tc>
                <w:tcPr>
                  <w:tcW w:w="819" w:type="pct"/>
                  <w:noWrap/>
                  <w:vAlign w:val="center"/>
                </w:tcPr>
                <w:p w14:paraId="3697A6B9">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设备维护</w:t>
                  </w:r>
                </w:p>
              </w:tc>
              <w:tc>
                <w:tcPr>
                  <w:tcW w:w="572" w:type="pct"/>
                  <w:vMerge w:val="restart"/>
                  <w:noWrap/>
                  <w:vAlign w:val="center"/>
                </w:tcPr>
                <w:p w14:paraId="0DB602E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一般工业固废</w:t>
                  </w:r>
                </w:p>
              </w:tc>
              <w:tc>
                <w:tcPr>
                  <w:tcW w:w="815" w:type="pct"/>
                  <w:noWrap/>
                  <w:vAlign w:val="center"/>
                </w:tcPr>
                <w:p w14:paraId="080012CE">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900-002-S17</w:t>
                  </w:r>
                </w:p>
              </w:tc>
              <w:tc>
                <w:tcPr>
                  <w:tcW w:w="544" w:type="pct"/>
                  <w:noWrap/>
                  <w:vAlign w:val="center"/>
                </w:tcPr>
                <w:p w14:paraId="568E9EAB">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540" w:type="pct"/>
                  <w:vMerge w:val="restart"/>
                  <w:noWrap/>
                  <w:vAlign w:val="center"/>
                </w:tcPr>
                <w:p w14:paraId="2758E1F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收集外售</w:t>
                  </w:r>
                </w:p>
              </w:tc>
              <w:tc>
                <w:tcPr>
                  <w:tcW w:w="593" w:type="pct"/>
                  <w:vMerge w:val="restart"/>
                  <w:noWrap/>
                  <w:vAlign w:val="center"/>
                </w:tcPr>
                <w:p w14:paraId="5C6B855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物资回收单位</w:t>
                  </w:r>
                </w:p>
              </w:tc>
            </w:tr>
            <w:tr w14:paraId="220540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noWrap/>
                  <w:vAlign w:val="center"/>
                </w:tcPr>
                <w:p w14:paraId="3D8F9D57">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853" w:type="pct"/>
                  <w:noWrap/>
                  <w:vAlign w:val="center"/>
                </w:tcPr>
                <w:p w14:paraId="76EE1544">
                  <w:pPr>
                    <w:jc w:val="center"/>
                    <w:rPr>
                      <w:color w:val="000000" w:themeColor="text1"/>
                      <w:szCs w:val="21"/>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废包装袋</w:t>
                  </w:r>
                </w:p>
              </w:tc>
              <w:tc>
                <w:tcPr>
                  <w:tcW w:w="819" w:type="pct"/>
                  <w:noWrap/>
                  <w:vAlign w:val="center"/>
                </w:tcPr>
                <w:p w14:paraId="3728D4EF">
                  <w:pPr>
                    <w:jc w:val="center"/>
                    <w:rPr>
                      <w:color w:val="000000" w:themeColor="text1"/>
                      <w:szCs w:val="21"/>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原料使用</w:t>
                  </w:r>
                </w:p>
              </w:tc>
              <w:tc>
                <w:tcPr>
                  <w:tcW w:w="572" w:type="pct"/>
                  <w:vMerge w:val="continue"/>
                  <w:noWrap/>
                  <w:vAlign w:val="center"/>
                </w:tcPr>
                <w:p w14:paraId="046931B8">
                  <w:pPr>
                    <w:jc w:val="center"/>
                    <w:rPr>
                      <w:color w:val="000000" w:themeColor="text1"/>
                      <w:szCs w:val="21"/>
                      <w14:textFill>
                        <w14:solidFill>
                          <w14:schemeClr w14:val="tx1"/>
                        </w14:solidFill>
                      </w14:textFill>
                    </w:rPr>
                  </w:pPr>
                </w:p>
              </w:tc>
              <w:tc>
                <w:tcPr>
                  <w:tcW w:w="815" w:type="pct"/>
                  <w:noWrap/>
                  <w:vAlign w:val="center"/>
                </w:tcPr>
                <w:p w14:paraId="28E6FABD">
                  <w:pPr>
                    <w:jc w:val="center"/>
                    <w:rPr>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900-003-S17</w:t>
                  </w:r>
                </w:p>
              </w:tc>
              <w:tc>
                <w:tcPr>
                  <w:tcW w:w="544" w:type="pct"/>
                  <w:noWrap/>
                  <w:vAlign w:val="center"/>
                </w:tcPr>
                <w:p w14:paraId="44CA01B2">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0.32</w:t>
                  </w:r>
                </w:p>
              </w:tc>
              <w:tc>
                <w:tcPr>
                  <w:tcW w:w="540" w:type="pct"/>
                  <w:vMerge w:val="continue"/>
                  <w:noWrap/>
                  <w:vAlign w:val="center"/>
                </w:tcPr>
                <w:p w14:paraId="227004F3">
                  <w:pPr>
                    <w:jc w:val="center"/>
                    <w:rPr>
                      <w:color w:val="000000" w:themeColor="text1"/>
                      <w:szCs w:val="21"/>
                      <w14:textFill>
                        <w14:solidFill>
                          <w14:schemeClr w14:val="tx1"/>
                        </w14:solidFill>
                      </w14:textFill>
                    </w:rPr>
                  </w:pPr>
                </w:p>
              </w:tc>
              <w:tc>
                <w:tcPr>
                  <w:tcW w:w="593" w:type="pct"/>
                  <w:vMerge w:val="continue"/>
                  <w:noWrap/>
                  <w:vAlign w:val="center"/>
                </w:tcPr>
                <w:p w14:paraId="6FC8DD83">
                  <w:pPr>
                    <w:jc w:val="center"/>
                    <w:rPr>
                      <w:color w:val="000000" w:themeColor="text1"/>
                      <w:szCs w:val="21"/>
                      <w14:textFill>
                        <w14:solidFill>
                          <w14:schemeClr w14:val="tx1"/>
                        </w14:solidFill>
                      </w14:textFill>
                    </w:rPr>
                  </w:pPr>
                </w:p>
              </w:tc>
            </w:tr>
            <w:tr w14:paraId="623AF7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noWrap/>
                  <w:vAlign w:val="center"/>
                </w:tcPr>
                <w:p w14:paraId="26D16E0A">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853" w:type="pct"/>
                  <w:noWrap/>
                  <w:vAlign w:val="center"/>
                </w:tcPr>
                <w:p w14:paraId="053B3ED0">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废液压油</w:t>
                  </w:r>
                </w:p>
              </w:tc>
              <w:tc>
                <w:tcPr>
                  <w:tcW w:w="819" w:type="pct"/>
                  <w:noWrap/>
                  <w:vAlign w:val="center"/>
                </w:tcPr>
                <w:p w14:paraId="47F790C9">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设备维护</w:t>
                  </w:r>
                </w:p>
              </w:tc>
              <w:tc>
                <w:tcPr>
                  <w:tcW w:w="572" w:type="pct"/>
                  <w:vMerge w:val="restart"/>
                  <w:noWrap/>
                  <w:vAlign w:val="center"/>
                </w:tcPr>
                <w:p w14:paraId="5890BF3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危险废物</w:t>
                  </w:r>
                </w:p>
              </w:tc>
              <w:tc>
                <w:tcPr>
                  <w:tcW w:w="815" w:type="pct"/>
                  <w:noWrap/>
                  <w:vAlign w:val="center"/>
                </w:tcPr>
                <w:p w14:paraId="6051C15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900-218-08</w:t>
                  </w:r>
                </w:p>
              </w:tc>
              <w:tc>
                <w:tcPr>
                  <w:tcW w:w="544" w:type="pct"/>
                  <w:noWrap/>
                  <w:vAlign w:val="center"/>
                </w:tcPr>
                <w:p w14:paraId="5C6CFE83">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0.34/5a</w:t>
                  </w:r>
                </w:p>
              </w:tc>
              <w:tc>
                <w:tcPr>
                  <w:tcW w:w="540" w:type="pct"/>
                  <w:vMerge w:val="restart"/>
                  <w:noWrap/>
                  <w:vAlign w:val="center"/>
                </w:tcPr>
                <w:p w14:paraId="1830A93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委托有资质单位处置</w:t>
                  </w:r>
                </w:p>
              </w:tc>
              <w:tc>
                <w:tcPr>
                  <w:tcW w:w="593" w:type="pct"/>
                  <w:vMerge w:val="restart"/>
                  <w:noWrap/>
                  <w:vAlign w:val="center"/>
                </w:tcPr>
                <w:p w14:paraId="03204E3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高邮康博环境资源有限公司</w:t>
                  </w:r>
                </w:p>
              </w:tc>
            </w:tr>
            <w:tr w14:paraId="4AE8C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noWrap/>
                  <w:vAlign w:val="center"/>
                </w:tcPr>
                <w:p w14:paraId="0D26C41E">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853" w:type="pct"/>
                  <w:noWrap/>
                  <w:vAlign w:val="center"/>
                </w:tcPr>
                <w:p w14:paraId="24B05116">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废抹布</w:t>
                  </w:r>
                </w:p>
              </w:tc>
              <w:tc>
                <w:tcPr>
                  <w:tcW w:w="819" w:type="pct"/>
                  <w:noWrap/>
                  <w:vAlign w:val="center"/>
                </w:tcPr>
                <w:p w14:paraId="3BC9BA8E">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印刷机清理</w:t>
                  </w:r>
                </w:p>
              </w:tc>
              <w:tc>
                <w:tcPr>
                  <w:tcW w:w="572" w:type="pct"/>
                  <w:vMerge w:val="continue"/>
                  <w:noWrap/>
                  <w:vAlign w:val="center"/>
                </w:tcPr>
                <w:p w14:paraId="4EA17B30">
                  <w:pPr>
                    <w:jc w:val="center"/>
                    <w:rPr>
                      <w:color w:val="000000" w:themeColor="text1"/>
                      <w:szCs w:val="21"/>
                      <w14:textFill>
                        <w14:solidFill>
                          <w14:schemeClr w14:val="tx1"/>
                        </w14:solidFill>
                      </w14:textFill>
                    </w:rPr>
                  </w:pPr>
                </w:p>
              </w:tc>
              <w:tc>
                <w:tcPr>
                  <w:tcW w:w="815" w:type="pct"/>
                  <w:noWrap/>
                  <w:vAlign w:val="center"/>
                </w:tcPr>
                <w:p w14:paraId="119D0B5A">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900-</w:t>
                  </w:r>
                  <w:r>
                    <w:rPr>
                      <w:rFonts w:hint="eastAsia"/>
                      <w:color w:val="000000" w:themeColor="text1"/>
                      <w14:textFill>
                        <w14:solidFill>
                          <w14:schemeClr w14:val="tx1"/>
                        </w14:solidFill>
                      </w14:textFill>
                    </w:rPr>
                    <w:t>041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49</w:t>
                  </w:r>
                </w:p>
              </w:tc>
              <w:tc>
                <w:tcPr>
                  <w:tcW w:w="544" w:type="pct"/>
                  <w:noWrap/>
                  <w:vAlign w:val="center"/>
                </w:tcPr>
                <w:p w14:paraId="563FC16B">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0.28</w:t>
                  </w:r>
                </w:p>
              </w:tc>
              <w:tc>
                <w:tcPr>
                  <w:tcW w:w="540" w:type="pct"/>
                  <w:vMerge w:val="continue"/>
                  <w:noWrap/>
                  <w:vAlign w:val="center"/>
                </w:tcPr>
                <w:p w14:paraId="3426C8B2">
                  <w:pPr>
                    <w:jc w:val="center"/>
                    <w:rPr>
                      <w:color w:val="000000" w:themeColor="text1"/>
                      <w:szCs w:val="21"/>
                      <w14:textFill>
                        <w14:solidFill>
                          <w14:schemeClr w14:val="tx1"/>
                        </w14:solidFill>
                      </w14:textFill>
                    </w:rPr>
                  </w:pPr>
                </w:p>
              </w:tc>
              <w:tc>
                <w:tcPr>
                  <w:tcW w:w="593" w:type="pct"/>
                  <w:vMerge w:val="continue"/>
                  <w:noWrap/>
                  <w:vAlign w:val="center"/>
                </w:tcPr>
                <w:p w14:paraId="13046EE2">
                  <w:pPr>
                    <w:jc w:val="center"/>
                    <w:rPr>
                      <w:color w:val="000000" w:themeColor="text1"/>
                      <w:szCs w:val="21"/>
                      <w14:textFill>
                        <w14:solidFill>
                          <w14:schemeClr w14:val="tx1"/>
                        </w14:solidFill>
                      </w14:textFill>
                    </w:rPr>
                  </w:pPr>
                </w:p>
              </w:tc>
            </w:tr>
            <w:tr w14:paraId="37DA90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noWrap/>
                  <w:vAlign w:val="center"/>
                </w:tcPr>
                <w:p w14:paraId="49FD791B">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853" w:type="pct"/>
                  <w:noWrap/>
                  <w:vAlign w:val="center"/>
                </w:tcPr>
                <w:p w14:paraId="6BB8CA56">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废包装桶</w:t>
                  </w:r>
                </w:p>
              </w:tc>
              <w:tc>
                <w:tcPr>
                  <w:tcW w:w="819" w:type="pct"/>
                  <w:noWrap/>
                  <w:vAlign w:val="center"/>
                </w:tcPr>
                <w:p w14:paraId="00F3A82C">
                  <w:pPr>
                    <w:jc w:val="center"/>
                    <w:rPr>
                      <w:color w:val="000000" w:themeColor="text1"/>
                      <w:szCs w:val="21"/>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原料使用</w:t>
                  </w:r>
                </w:p>
              </w:tc>
              <w:tc>
                <w:tcPr>
                  <w:tcW w:w="572" w:type="pct"/>
                  <w:vMerge w:val="continue"/>
                  <w:noWrap/>
                  <w:vAlign w:val="center"/>
                </w:tcPr>
                <w:p w14:paraId="21221FD5">
                  <w:pPr>
                    <w:jc w:val="center"/>
                    <w:rPr>
                      <w:color w:val="000000" w:themeColor="text1"/>
                      <w:szCs w:val="21"/>
                      <w14:textFill>
                        <w14:solidFill>
                          <w14:schemeClr w14:val="tx1"/>
                        </w14:solidFill>
                      </w14:textFill>
                    </w:rPr>
                  </w:pPr>
                </w:p>
              </w:tc>
              <w:tc>
                <w:tcPr>
                  <w:tcW w:w="815" w:type="pct"/>
                  <w:noWrap/>
                  <w:vAlign w:val="center"/>
                </w:tcPr>
                <w:p w14:paraId="05AEEB2D">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900-</w:t>
                  </w:r>
                  <w:r>
                    <w:rPr>
                      <w:rFonts w:hint="eastAsia"/>
                      <w:color w:val="000000" w:themeColor="text1"/>
                      <w14:textFill>
                        <w14:solidFill>
                          <w14:schemeClr w14:val="tx1"/>
                        </w14:solidFill>
                      </w14:textFill>
                    </w:rPr>
                    <w:t>041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49</w:t>
                  </w:r>
                </w:p>
              </w:tc>
              <w:tc>
                <w:tcPr>
                  <w:tcW w:w="544" w:type="pct"/>
                  <w:noWrap/>
                  <w:vAlign w:val="center"/>
                </w:tcPr>
                <w:p w14:paraId="407E4EB7">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0.02</w:t>
                  </w:r>
                </w:p>
              </w:tc>
              <w:tc>
                <w:tcPr>
                  <w:tcW w:w="540" w:type="pct"/>
                  <w:vMerge w:val="continue"/>
                  <w:noWrap/>
                  <w:vAlign w:val="center"/>
                </w:tcPr>
                <w:p w14:paraId="6E70ABE8">
                  <w:pPr>
                    <w:jc w:val="center"/>
                    <w:rPr>
                      <w:color w:val="000000" w:themeColor="text1"/>
                      <w:szCs w:val="21"/>
                      <w14:textFill>
                        <w14:solidFill>
                          <w14:schemeClr w14:val="tx1"/>
                        </w14:solidFill>
                      </w14:textFill>
                    </w:rPr>
                  </w:pPr>
                </w:p>
              </w:tc>
              <w:tc>
                <w:tcPr>
                  <w:tcW w:w="593" w:type="pct"/>
                  <w:vMerge w:val="continue"/>
                  <w:noWrap/>
                  <w:vAlign w:val="center"/>
                </w:tcPr>
                <w:p w14:paraId="68E0D062">
                  <w:pPr>
                    <w:jc w:val="center"/>
                    <w:rPr>
                      <w:color w:val="000000" w:themeColor="text1"/>
                      <w:szCs w:val="21"/>
                      <w14:textFill>
                        <w14:solidFill>
                          <w14:schemeClr w14:val="tx1"/>
                        </w14:solidFill>
                      </w14:textFill>
                    </w:rPr>
                  </w:pPr>
                </w:p>
              </w:tc>
            </w:tr>
            <w:tr w14:paraId="39127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noWrap/>
                  <w:vAlign w:val="center"/>
                </w:tcPr>
                <w:p w14:paraId="6E2F7FEB">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c>
                <w:tcPr>
                  <w:tcW w:w="853" w:type="pct"/>
                  <w:noWrap/>
                  <w:vAlign w:val="center"/>
                </w:tcPr>
                <w:p w14:paraId="018EB3F5">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废油桶</w:t>
                  </w:r>
                </w:p>
              </w:tc>
              <w:tc>
                <w:tcPr>
                  <w:tcW w:w="819" w:type="pct"/>
                  <w:noWrap/>
                  <w:vAlign w:val="center"/>
                </w:tcPr>
                <w:p w14:paraId="5795F014">
                  <w:pPr>
                    <w:jc w:val="center"/>
                    <w:rPr>
                      <w:color w:val="000000" w:themeColor="text1"/>
                      <w:szCs w:val="21"/>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原料使用</w:t>
                  </w:r>
                </w:p>
              </w:tc>
              <w:tc>
                <w:tcPr>
                  <w:tcW w:w="572" w:type="pct"/>
                  <w:vMerge w:val="continue"/>
                  <w:noWrap/>
                  <w:vAlign w:val="center"/>
                </w:tcPr>
                <w:p w14:paraId="386A5D53">
                  <w:pPr>
                    <w:jc w:val="center"/>
                    <w:rPr>
                      <w:color w:val="000000" w:themeColor="text1"/>
                      <w:szCs w:val="21"/>
                      <w14:textFill>
                        <w14:solidFill>
                          <w14:schemeClr w14:val="tx1"/>
                        </w14:solidFill>
                      </w14:textFill>
                    </w:rPr>
                  </w:pPr>
                </w:p>
              </w:tc>
              <w:tc>
                <w:tcPr>
                  <w:tcW w:w="815" w:type="pct"/>
                  <w:noWrap/>
                  <w:vAlign w:val="center"/>
                </w:tcPr>
                <w:p w14:paraId="3964D4D5">
                  <w:pPr>
                    <w:jc w:val="center"/>
                    <w:rPr>
                      <w:color w:val="000000" w:themeColor="text1"/>
                      <w14:textFill>
                        <w14:solidFill>
                          <w14:schemeClr w14:val="tx1"/>
                        </w14:solidFill>
                      </w14:textFill>
                    </w:rPr>
                  </w:pPr>
                  <w:r>
                    <w:rPr>
                      <w:color w:val="000000" w:themeColor="text1"/>
                      <w14:textFill>
                        <w14:solidFill>
                          <w14:schemeClr w14:val="tx1"/>
                        </w14:solidFill>
                      </w14:textFill>
                    </w:rPr>
                    <w:t>900-249-08</w:t>
                  </w:r>
                </w:p>
              </w:tc>
              <w:tc>
                <w:tcPr>
                  <w:tcW w:w="544" w:type="pct"/>
                  <w:noWrap/>
                  <w:vAlign w:val="center"/>
                </w:tcPr>
                <w:p w14:paraId="6B4BBE1D">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0.03/5a</w:t>
                  </w:r>
                </w:p>
              </w:tc>
              <w:tc>
                <w:tcPr>
                  <w:tcW w:w="540" w:type="pct"/>
                  <w:vMerge w:val="continue"/>
                  <w:noWrap/>
                  <w:vAlign w:val="center"/>
                </w:tcPr>
                <w:p w14:paraId="0C51F015">
                  <w:pPr>
                    <w:jc w:val="center"/>
                    <w:rPr>
                      <w:color w:val="000000" w:themeColor="text1"/>
                      <w:szCs w:val="21"/>
                      <w14:textFill>
                        <w14:solidFill>
                          <w14:schemeClr w14:val="tx1"/>
                        </w14:solidFill>
                      </w14:textFill>
                    </w:rPr>
                  </w:pPr>
                </w:p>
              </w:tc>
              <w:tc>
                <w:tcPr>
                  <w:tcW w:w="593" w:type="pct"/>
                  <w:vMerge w:val="continue"/>
                  <w:noWrap/>
                  <w:vAlign w:val="center"/>
                </w:tcPr>
                <w:p w14:paraId="3CE66C49">
                  <w:pPr>
                    <w:jc w:val="center"/>
                    <w:rPr>
                      <w:color w:val="000000" w:themeColor="text1"/>
                      <w:szCs w:val="21"/>
                      <w14:textFill>
                        <w14:solidFill>
                          <w14:schemeClr w14:val="tx1"/>
                        </w14:solidFill>
                      </w14:textFill>
                    </w:rPr>
                  </w:pPr>
                </w:p>
              </w:tc>
            </w:tr>
            <w:tr w14:paraId="7509A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noWrap/>
                  <w:vAlign w:val="center"/>
                </w:tcPr>
                <w:p w14:paraId="681F3785">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c>
                <w:tcPr>
                  <w:tcW w:w="853" w:type="pct"/>
                  <w:noWrap/>
                  <w:vAlign w:val="center"/>
                </w:tcPr>
                <w:p w14:paraId="7787E66D">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废活性炭</w:t>
                  </w:r>
                </w:p>
              </w:tc>
              <w:tc>
                <w:tcPr>
                  <w:tcW w:w="819" w:type="pct"/>
                  <w:noWrap/>
                  <w:vAlign w:val="center"/>
                </w:tcPr>
                <w:p w14:paraId="38A5F2C7">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废气处理</w:t>
                  </w:r>
                </w:p>
              </w:tc>
              <w:tc>
                <w:tcPr>
                  <w:tcW w:w="572" w:type="pct"/>
                  <w:vMerge w:val="continue"/>
                  <w:noWrap/>
                  <w:vAlign w:val="center"/>
                </w:tcPr>
                <w:p w14:paraId="143CEC7D">
                  <w:pPr>
                    <w:jc w:val="center"/>
                    <w:rPr>
                      <w:color w:val="000000" w:themeColor="text1"/>
                      <w:szCs w:val="21"/>
                      <w14:textFill>
                        <w14:solidFill>
                          <w14:schemeClr w14:val="tx1"/>
                        </w14:solidFill>
                      </w14:textFill>
                    </w:rPr>
                  </w:pPr>
                </w:p>
              </w:tc>
              <w:tc>
                <w:tcPr>
                  <w:tcW w:w="815" w:type="pct"/>
                  <w:noWrap/>
                  <w:vAlign w:val="center"/>
                </w:tcPr>
                <w:p w14:paraId="452056C3">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900-</w:t>
                  </w:r>
                  <w:r>
                    <w:rPr>
                      <w:rFonts w:hint="eastAsia"/>
                      <w:color w:val="000000" w:themeColor="text1"/>
                      <w14:textFill>
                        <w14:solidFill>
                          <w14:schemeClr w14:val="tx1"/>
                        </w14:solidFill>
                      </w14:textFill>
                    </w:rPr>
                    <w:t>039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49</w:t>
                  </w:r>
                </w:p>
              </w:tc>
              <w:tc>
                <w:tcPr>
                  <w:tcW w:w="544" w:type="pct"/>
                  <w:noWrap/>
                  <w:vAlign w:val="center"/>
                </w:tcPr>
                <w:p w14:paraId="1D0DD42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6.85</w:t>
                  </w:r>
                </w:p>
              </w:tc>
              <w:tc>
                <w:tcPr>
                  <w:tcW w:w="540" w:type="pct"/>
                  <w:vMerge w:val="continue"/>
                  <w:noWrap/>
                  <w:vAlign w:val="center"/>
                </w:tcPr>
                <w:p w14:paraId="6EAE1F75">
                  <w:pPr>
                    <w:jc w:val="center"/>
                    <w:rPr>
                      <w:color w:val="000000" w:themeColor="text1"/>
                      <w:szCs w:val="21"/>
                      <w14:textFill>
                        <w14:solidFill>
                          <w14:schemeClr w14:val="tx1"/>
                        </w14:solidFill>
                      </w14:textFill>
                    </w:rPr>
                  </w:pPr>
                </w:p>
              </w:tc>
              <w:tc>
                <w:tcPr>
                  <w:tcW w:w="593" w:type="pct"/>
                  <w:vMerge w:val="continue"/>
                  <w:noWrap/>
                  <w:vAlign w:val="center"/>
                </w:tcPr>
                <w:p w14:paraId="01BFDF75">
                  <w:pPr>
                    <w:jc w:val="center"/>
                    <w:rPr>
                      <w:color w:val="000000" w:themeColor="text1"/>
                      <w:szCs w:val="21"/>
                      <w14:textFill>
                        <w14:solidFill>
                          <w14:schemeClr w14:val="tx1"/>
                        </w14:solidFill>
                      </w14:textFill>
                    </w:rPr>
                  </w:pPr>
                </w:p>
              </w:tc>
            </w:tr>
            <w:tr w14:paraId="7FDA6F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noWrap/>
                  <w:vAlign w:val="center"/>
                </w:tcPr>
                <w:p w14:paraId="0588B4F5">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8</w:t>
                  </w:r>
                </w:p>
              </w:tc>
              <w:tc>
                <w:tcPr>
                  <w:tcW w:w="853" w:type="pct"/>
                  <w:noWrap/>
                  <w:vAlign w:val="center"/>
                </w:tcPr>
                <w:p w14:paraId="487254A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819" w:type="pct"/>
                  <w:noWrap/>
                  <w:vAlign w:val="center"/>
                </w:tcPr>
                <w:p w14:paraId="44155E1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职工办公</w:t>
                  </w:r>
                </w:p>
              </w:tc>
              <w:tc>
                <w:tcPr>
                  <w:tcW w:w="572" w:type="pct"/>
                  <w:noWrap/>
                  <w:vAlign w:val="center"/>
                </w:tcPr>
                <w:p w14:paraId="55F8C7C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815" w:type="pct"/>
                  <w:noWrap/>
                  <w:vAlign w:val="center"/>
                </w:tcPr>
                <w:p w14:paraId="4BEBD94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900-099-S64</w:t>
                  </w:r>
                </w:p>
              </w:tc>
              <w:tc>
                <w:tcPr>
                  <w:tcW w:w="544" w:type="pct"/>
                  <w:noWrap/>
                  <w:vAlign w:val="center"/>
                </w:tcPr>
                <w:p w14:paraId="1C6D611F">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6.75</w:t>
                  </w:r>
                </w:p>
              </w:tc>
              <w:tc>
                <w:tcPr>
                  <w:tcW w:w="540" w:type="pct"/>
                  <w:noWrap/>
                  <w:vAlign w:val="center"/>
                </w:tcPr>
                <w:p w14:paraId="5E67AB8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环卫清运</w:t>
                  </w:r>
                </w:p>
              </w:tc>
              <w:tc>
                <w:tcPr>
                  <w:tcW w:w="593" w:type="pct"/>
                  <w:noWrap/>
                  <w:vAlign w:val="center"/>
                </w:tcPr>
                <w:p w14:paraId="69E71A1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环卫</w:t>
                  </w:r>
                </w:p>
                <w:p w14:paraId="7F4C4AF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部门</w:t>
                  </w:r>
                </w:p>
              </w:tc>
            </w:tr>
          </w:tbl>
          <w:p w14:paraId="63C36271">
            <w:pPr>
              <w:pStyle w:val="2"/>
              <w:spacing w:before="0" w:after="0" w:line="420" w:lineRule="exact"/>
              <w:ind w:right="0" w:firstLine="420" w:firstLineChars="200"/>
              <w:rPr>
                <w:b/>
                <w:bCs/>
                <w:color w:val="000000" w:themeColor="text1"/>
                <w:sz w:val="21"/>
                <w:szCs w:val="22"/>
                <w14:textFill>
                  <w14:solidFill>
                    <w14:schemeClr w14:val="tx1"/>
                  </w14:solidFill>
                </w14:textFill>
              </w:rPr>
            </w:pPr>
            <w:r>
              <w:rPr>
                <w:color w:val="000000" w:themeColor="text1"/>
                <w:sz w:val="21"/>
                <w:szCs w:val="21"/>
                <w14:textFill>
                  <w14:solidFill>
                    <w14:schemeClr w14:val="tx1"/>
                  </w14:solidFill>
                </w14:textFill>
              </w:rPr>
              <w:t>本项目</w:t>
            </w:r>
            <w:r>
              <w:rPr>
                <w:rFonts w:hint="eastAsia"/>
                <w:color w:val="000000" w:themeColor="text1"/>
                <w:sz w:val="21"/>
                <w:szCs w:val="21"/>
                <w:lang w:val="en-US" w:eastAsia="zh-CN"/>
                <w14:textFill>
                  <w14:solidFill>
                    <w14:schemeClr w14:val="tx1"/>
                  </w14:solidFill>
                </w14:textFill>
              </w:rPr>
              <w:t>新</w:t>
            </w:r>
            <w:r>
              <w:rPr>
                <w:rFonts w:hint="eastAsia"/>
                <w:color w:val="000000" w:themeColor="text1"/>
                <w:sz w:val="21"/>
                <w:szCs w:val="21"/>
                <w:highlight w:val="none"/>
                <w:lang w:val="en-US" w:eastAsia="zh-CN"/>
                <w14:textFill>
                  <w14:solidFill>
                    <w14:schemeClr w14:val="tx1"/>
                  </w14:solidFill>
                </w14:textFill>
              </w:rPr>
              <w:t>建</w:t>
            </w:r>
            <w:r>
              <w:rPr>
                <w:rFonts w:hint="eastAsia"/>
                <w:color w:val="000000" w:themeColor="text1"/>
                <w:sz w:val="21"/>
                <w:szCs w:val="21"/>
                <w:highlight w:val="none"/>
                <w14:textFill>
                  <w14:solidFill>
                    <w14:schemeClr w14:val="tx1"/>
                  </w14:solidFill>
                </w14:textFill>
              </w:rPr>
              <w:t>建筑面积</w:t>
            </w:r>
            <w:r>
              <w:rPr>
                <w:rFonts w:hint="eastAsia"/>
                <w:color w:val="000000" w:themeColor="text1"/>
                <w:sz w:val="21"/>
                <w:szCs w:val="21"/>
                <w:highlight w:val="none"/>
                <w:lang w:val="en-US" w:eastAsia="zh-CN"/>
                <w14:textFill>
                  <w14:solidFill>
                    <w14:schemeClr w14:val="tx1"/>
                  </w14:solidFill>
                </w14:textFill>
              </w:rPr>
              <w:t>15</w:t>
            </w: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2</w:t>
            </w:r>
            <w:r>
              <w:rPr>
                <w:rFonts w:hint="eastAsia"/>
                <w:color w:val="000000" w:themeColor="text1"/>
                <w:sz w:val="21"/>
                <w:szCs w:val="21"/>
                <w:highlight w:val="none"/>
                <w14:textFill>
                  <w14:solidFill>
                    <w14:schemeClr w14:val="tx1"/>
                  </w14:solidFill>
                </w14:textFill>
              </w:rPr>
              <w:t>的一般工业固废仓库以及建筑面积10</w:t>
            </w: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2</w:t>
            </w:r>
            <w:r>
              <w:rPr>
                <w:rFonts w:hint="eastAsia"/>
                <w:color w:val="000000" w:themeColor="text1"/>
                <w:sz w:val="21"/>
                <w:szCs w:val="21"/>
                <w:highlight w:val="none"/>
                <w14:textFill>
                  <w14:solidFill>
                    <w14:schemeClr w14:val="tx1"/>
                  </w14:solidFill>
                </w14:textFill>
              </w:rPr>
              <w:t>的</w:t>
            </w:r>
            <w:r>
              <w:rPr>
                <w:color w:val="000000" w:themeColor="text1"/>
                <w:sz w:val="21"/>
                <w:szCs w:val="21"/>
                <w:highlight w:val="none"/>
                <w14:textFill>
                  <w14:solidFill>
                    <w14:schemeClr w14:val="tx1"/>
                  </w14:solidFill>
                </w14:textFill>
              </w:rPr>
              <w:t>危</w:t>
            </w:r>
            <w:r>
              <w:rPr>
                <w:color w:val="000000" w:themeColor="text1"/>
                <w:sz w:val="21"/>
                <w:szCs w:val="21"/>
                <w14:textFill>
                  <w14:solidFill>
                    <w14:schemeClr w14:val="tx1"/>
                  </w14:solidFill>
                </w14:textFill>
              </w:rPr>
              <w:t>废仓库。</w:t>
            </w:r>
            <w:r>
              <w:rPr>
                <w:rFonts w:hint="eastAsia"/>
                <w:color w:val="000000" w:themeColor="text1"/>
                <w:sz w:val="21"/>
                <w:szCs w:val="21"/>
                <w14:textFill>
                  <w14:solidFill>
                    <w14:schemeClr w14:val="tx1"/>
                  </w14:solidFill>
                </w14:textFill>
              </w:rPr>
              <w:t>一般工业固废每周清理；</w:t>
            </w:r>
            <w:r>
              <w:rPr>
                <w:color w:val="000000" w:themeColor="text1"/>
                <w:sz w:val="21"/>
                <w:szCs w:val="21"/>
                <w14:textFill>
                  <w14:solidFill>
                    <w14:schemeClr w14:val="tx1"/>
                  </w14:solidFill>
                </w14:textFill>
              </w:rPr>
              <w:t>危险废物定期</w:t>
            </w:r>
            <w:r>
              <w:rPr>
                <w:rFonts w:hint="eastAsia"/>
                <w:color w:val="000000" w:themeColor="text1"/>
                <w:sz w:val="21"/>
                <w:szCs w:val="21"/>
                <w:lang w:val="en-US" w:eastAsia="zh-CN"/>
                <w14:textFill>
                  <w14:solidFill>
                    <w14:schemeClr w14:val="tx1"/>
                  </w14:solidFill>
                </w14:textFill>
              </w:rPr>
              <w:t>委托高邮康博环境资源有限公司</w:t>
            </w:r>
            <w:r>
              <w:rPr>
                <w:color w:val="000000" w:themeColor="text1"/>
                <w:sz w:val="21"/>
                <w:szCs w:val="21"/>
                <w14:textFill>
                  <w14:solidFill>
                    <w14:schemeClr w14:val="tx1"/>
                  </w14:solidFill>
                </w14:textFill>
              </w:rPr>
              <w:t>处置；生活垃圾日产日清</w:t>
            </w:r>
            <w:r>
              <w:rPr>
                <w:rFonts w:hint="eastAsia"/>
                <w:color w:val="000000" w:themeColor="text1"/>
                <w:sz w:val="21"/>
                <w:szCs w:val="21"/>
                <w14:textFill>
                  <w14:solidFill>
                    <w14:schemeClr w14:val="tx1"/>
                  </w14:solidFill>
                </w14:textFill>
              </w:rPr>
              <w:t>。</w:t>
            </w:r>
          </w:p>
          <w:p w14:paraId="3EB765E0">
            <w:pPr>
              <w:pStyle w:val="2"/>
              <w:spacing w:before="0" w:after="0" w:line="420" w:lineRule="exact"/>
              <w:ind w:right="0" w:firstLine="422" w:firstLineChars="200"/>
              <w:rPr>
                <w:b/>
                <w:bCs/>
                <w:color w:val="000000" w:themeColor="text1"/>
                <w:sz w:val="21"/>
                <w:szCs w:val="22"/>
                <w14:textFill>
                  <w14:solidFill>
                    <w14:schemeClr w14:val="tx1"/>
                  </w14:solidFill>
                </w14:textFill>
              </w:rPr>
            </w:pPr>
            <w:r>
              <w:rPr>
                <w:b/>
                <w:bCs/>
                <w:color w:val="000000" w:themeColor="text1"/>
                <w:sz w:val="21"/>
                <w:szCs w:val="22"/>
                <w14:textFill>
                  <w14:solidFill>
                    <w14:schemeClr w14:val="tx1"/>
                  </w14:solidFill>
                </w14:textFill>
              </w:rPr>
              <w:t>4.4.3环境管理要求</w:t>
            </w:r>
          </w:p>
          <w:p w14:paraId="23E65917">
            <w:pPr>
              <w:pStyle w:val="2"/>
              <w:spacing w:before="0" w:after="0" w:line="420" w:lineRule="exact"/>
              <w:ind w:right="0"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（1）一般工业固体废物环境管理要求</w:t>
            </w:r>
          </w:p>
          <w:p w14:paraId="36A4C5A6">
            <w:pPr>
              <w:spacing w:line="42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本项目生产过程中产生的</w:t>
            </w:r>
            <w:r>
              <w:rPr>
                <w:rFonts w:hint="eastAsia"/>
                <w:color w:val="000000" w:themeColor="text1"/>
                <w:szCs w:val="21"/>
                <w14:textFill>
                  <w14:solidFill>
                    <w14:schemeClr w14:val="tx1"/>
                  </w14:solidFill>
                </w14:textFill>
              </w:rPr>
              <w:t>废模具</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废包装</w:t>
            </w:r>
            <w:r>
              <w:rPr>
                <w:rFonts w:hint="eastAsia"/>
                <w:color w:val="000000" w:themeColor="text1"/>
                <w:szCs w:val="21"/>
                <w:lang w:val="en-US" w:eastAsia="zh-CN"/>
                <w14:textFill>
                  <w14:solidFill>
                    <w14:schemeClr w14:val="tx1"/>
                  </w14:solidFill>
                </w14:textFill>
              </w:rPr>
              <w:t>袋</w:t>
            </w:r>
            <w:r>
              <w:rPr>
                <w:color w:val="000000" w:themeColor="text1"/>
                <w:szCs w:val="21"/>
                <w14:textFill>
                  <w14:solidFill>
                    <w14:schemeClr w14:val="tx1"/>
                  </w14:solidFill>
                </w14:textFill>
              </w:rPr>
              <w:t>属于一般工业固废，形态为固态，收集后外售。一般工业固</w:t>
            </w:r>
            <w:r>
              <w:rPr>
                <w:rFonts w:hint="eastAsia"/>
                <w:color w:val="000000" w:themeColor="text1"/>
                <w:szCs w:val="21"/>
                <w:lang w:val="en-US" w:eastAsia="zh-CN"/>
                <w14:textFill>
                  <w14:solidFill>
                    <w14:schemeClr w14:val="tx1"/>
                  </w14:solidFill>
                </w14:textFill>
              </w:rPr>
              <w:t>废</w:t>
            </w:r>
            <w:r>
              <w:rPr>
                <w:color w:val="000000" w:themeColor="text1"/>
                <w:szCs w:val="21"/>
                <w14:textFill>
                  <w14:solidFill>
                    <w14:schemeClr w14:val="tx1"/>
                  </w14:solidFill>
                </w14:textFill>
              </w:rPr>
              <w:t>存放在室内一般</w:t>
            </w:r>
            <w:r>
              <w:rPr>
                <w:rFonts w:hint="eastAsia"/>
                <w:color w:val="000000" w:themeColor="text1"/>
                <w:szCs w:val="21"/>
                <w14:textFill>
                  <w14:solidFill>
                    <w14:schemeClr w14:val="tx1"/>
                  </w14:solidFill>
                </w14:textFill>
              </w:rPr>
              <w:t>工业固废仓库</w:t>
            </w:r>
            <w:r>
              <w:rPr>
                <w:color w:val="000000" w:themeColor="text1"/>
                <w:szCs w:val="21"/>
                <w14:textFill>
                  <w14:solidFill>
                    <w14:schemeClr w14:val="tx1"/>
                  </w14:solidFill>
                </w14:textFill>
              </w:rPr>
              <w:t>，无渗滤液产生，不会对周围土壤和地下水环境产生污染，不会产生二次污染。</w:t>
            </w:r>
          </w:p>
          <w:p w14:paraId="22769411">
            <w:pPr>
              <w:spacing w:line="42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本项目一般</w:t>
            </w:r>
            <w:r>
              <w:rPr>
                <w:rFonts w:hint="eastAsia"/>
                <w:color w:val="000000" w:themeColor="text1"/>
                <w:szCs w:val="21"/>
                <w14:textFill>
                  <w14:solidFill>
                    <w14:schemeClr w14:val="tx1"/>
                  </w14:solidFill>
                </w14:textFill>
              </w:rPr>
              <w:t>工业</w:t>
            </w:r>
            <w:r>
              <w:rPr>
                <w:color w:val="000000" w:themeColor="text1"/>
                <w:szCs w:val="21"/>
                <w14:textFill>
                  <w14:solidFill>
                    <w14:schemeClr w14:val="tx1"/>
                  </w14:solidFill>
                </w14:textFill>
              </w:rPr>
              <w:t>固废</w:t>
            </w:r>
            <w:r>
              <w:rPr>
                <w:rFonts w:hint="eastAsia"/>
                <w:color w:val="000000" w:themeColor="text1"/>
                <w:szCs w:val="21"/>
                <w14:textFill>
                  <w14:solidFill>
                    <w14:schemeClr w14:val="tx1"/>
                  </w14:solidFill>
                </w14:textFill>
              </w:rPr>
              <w:t>仓库</w:t>
            </w:r>
            <w:r>
              <w:rPr>
                <w:color w:val="000000" w:themeColor="text1"/>
                <w:szCs w:val="21"/>
                <w14:textFill>
                  <w14:solidFill>
                    <w14:schemeClr w14:val="tx1"/>
                  </w14:solidFill>
                </w14:textFill>
              </w:rPr>
              <w:t>需符合《一般工业固体废物贮存和填埋污染控制标准》（GB18599-2020）的要求，具体要求如下：</w:t>
            </w:r>
          </w:p>
          <w:p w14:paraId="3F89DD31">
            <w:pPr>
              <w:spacing w:line="42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①贮存、处置场的建设类型，必须与将要堆放的一般工业固体废物的类别相一致。</w:t>
            </w:r>
          </w:p>
          <w:p w14:paraId="1C3FA685">
            <w:pPr>
              <w:spacing w:line="42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②为保障设施正常运营，必要时应采取措施防止地基下沉，尤其是防止局部下沉。</w:t>
            </w:r>
          </w:p>
          <w:p w14:paraId="2073E4A8">
            <w:pPr>
              <w:spacing w:line="42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依据固体废物的种类、产生量及其管理的全过程可能造成的环境影响进行分析：</w:t>
            </w:r>
          </w:p>
          <w:p w14:paraId="5350B579">
            <w:pPr>
              <w:spacing w:line="42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①全厂固废分类收集与贮存，不混放，固废相互间不影响。</w:t>
            </w:r>
          </w:p>
          <w:p w14:paraId="54CA3D59">
            <w:pPr>
              <w:spacing w:line="42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②全厂固废运输由专业的运输单位负责，在运输过程中采用封闭运输，运输过程中不易散落，对环境影响较小。</w:t>
            </w:r>
          </w:p>
          <w:p w14:paraId="51B22A67">
            <w:pPr>
              <w:spacing w:line="42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③固废的贮存场所地面采用防渗地面，对土壤、地下水产生的影响较小。</w:t>
            </w:r>
          </w:p>
          <w:p w14:paraId="7C867346">
            <w:pPr>
              <w:spacing w:line="42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④全厂的固废通过环卫清运、许可单位处理、外售等方式处置或利用，均不在厂内处理，对大气、水体、土壤环境基本不产生影响。</w:t>
            </w:r>
          </w:p>
          <w:p w14:paraId="388C4CFA">
            <w:pPr>
              <w:pStyle w:val="2"/>
              <w:spacing w:before="0" w:after="0" w:line="420" w:lineRule="exact"/>
              <w:ind w:right="0"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本项目一般工业固废处理措施和处置方案满足《一般工业固体废物贮存和填埋污染控制标准》（GB18599-2020）要求，对周围环境影响较小。</w:t>
            </w:r>
          </w:p>
          <w:p w14:paraId="52CCD354">
            <w:pPr>
              <w:pStyle w:val="2"/>
              <w:spacing w:before="0" w:after="0" w:line="420" w:lineRule="exact"/>
              <w:ind w:right="0" w:firstLine="420" w:firstLineChars="200"/>
              <w:rPr>
                <w:color w:val="000000" w:themeColor="text1"/>
                <w:sz w:val="21"/>
                <w:szCs w:val="22"/>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2"/>
                <w14:textFill>
                  <w14:solidFill>
                    <w14:schemeClr w14:val="tx1"/>
                  </w14:solidFill>
                </w14:textFill>
              </w:rPr>
              <w:t>危险废物环境管理要求</w:t>
            </w:r>
          </w:p>
          <w:p w14:paraId="0AE5A864">
            <w:pPr>
              <w:pStyle w:val="2"/>
              <w:spacing w:before="0" w:after="0" w:line="420" w:lineRule="exact"/>
              <w:ind w:right="0"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本项目生产过程中产生的危险废物为</w:t>
            </w:r>
            <w:r>
              <w:rPr>
                <w:rFonts w:hint="eastAsia"/>
                <w:color w:val="000000" w:themeColor="text1"/>
                <w:sz w:val="21"/>
                <w:szCs w:val="21"/>
                <w14:textFill>
                  <w14:solidFill>
                    <w14:schemeClr w14:val="tx1"/>
                  </w14:solidFill>
                </w14:textFill>
              </w:rPr>
              <w:t>废液压油、废抹布、废包装桶、废油桶、废活性炭</w:t>
            </w:r>
            <w:r>
              <w:rPr>
                <w:color w:val="000000" w:themeColor="text1"/>
                <w:sz w:val="21"/>
                <w:szCs w:val="21"/>
                <w14:textFill>
                  <w14:solidFill>
                    <w14:schemeClr w14:val="tx1"/>
                  </w14:solidFill>
                </w14:textFill>
              </w:rPr>
              <w:t>，危险废物贮</w:t>
            </w:r>
            <w:r>
              <w:rPr>
                <w:color w:val="000000" w:themeColor="text1"/>
                <w:sz w:val="21"/>
                <w:szCs w:val="21"/>
                <w:highlight w:val="none"/>
                <w14:textFill>
                  <w14:solidFill>
                    <w14:schemeClr w14:val="tx1"/>
                  </w14:solidFill>
                </w14:textFill>
              </w:rPr>
              <w:t>存于</w:t>
            </w:r>
            <w:r>
              <w:rPr>
                <w:rFonts w:hint="eastAsia"/>
                <w:color w:val="000000" w:themeColor="text1"/>
                <w:sz w:val="21"/>
                <w:szCs w:val="21"/>
                <w:highlight w:val="none"/>
                <w:lang w:val="en-US" w:eastAsia="zh-CN"/>
                <w14:textFill>
                  <w14:solidFill>
                    <w14:schemeClr w14:val="tx1"/>
                  </w14:solidFill>
                </w14:textFill>
              </w:rPr>
              <w:t>新建</w:t>
            </w:r>
            <w:r>
              <w:rPr>
                <w:rFonts w:hint="eastAsia"/>
                <w:color w:val="000000" w:themeColor="text1"/>
                <w:sz w:val="21"/>
                <w:szCs w:val="21"/>
                <w:highlight w:val="none"/>
                <w14:textFill>
                  <w14:solidFill>
                    <w14:schemeClr w14:val="tx1"/>
                  </w14:solidFill>
                </w14:textFill>
              </w:rPr>
              <w:t>的建筑面积10</w:t>
            </w: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2</w:t>
            </w:r>
            <w:r>
              <w:rPr>
                <w:color w:val="000000" w:themeColor="text1"/>
                <w:sz w:val="21"/>
                <w:szCs w:val="21"/>
                <w:highlight w:val="none"/>
                <w14:textFill>
                  <w14:solidFill>
                    <w14:schemeClr w14:val="tx1"/>
                  </w14:solidFill>
                </w14:textFill>
              </w:rPr>
              <w:t>危废仓库内，产</w:t>
            </w:r>
            <w:r>
              <w:rPr>
                <w:color w:val="000000" w:themeColor="text1"/>
                <w:sz w:val="21"/>
                <w:szCs w:val="21"/>
                <w14:textFill>
                  <w14:solidFill>
                    <w14:schemeClr w14:val="tx1"/>
                  </w14:solidFill>
                </w14:textFill>
              </w:rPr>
              <w:t>生的危废委托</w:t>
            </w:r>
            <w:r>
              <w:rPr>
                <w:rFonts w:hint="eastAsia"/>
                <w:color w:val="000000" w:themeColor="text1"/>
                <w:sz w:val="21"/>
                <w:szCs w:val="21"/>
                <w14:textFill>
                  <w14:solidFill>
                    <w14:schemeClr w14:val="tx1"/>
                  </w14:solidFill>
                </w14:textFill>
              </w:rPr>
              <w:t>高邮康博环境资源有限公司</w:t>
            </w:r>
            <w:r>
              <w:rPr>
                <w:color w:val="000000" w:themeColor="text1"/>
                <w:sz w:val="21"/>
                <w:szCs w:val="21"/>
                <w14:textFill>
                  <w14:solidFill>
                    <w14:schemeClr w14:val="tx1"/>
                  </w14:solidFill>
                </w14:textFill>
              </w:rPr>
              <w:t>进行处理。</w:t>
            </w:r>
          </w:p>
          <w:p w14:paraId="1EDED3F0">
            <w:pPr>
              <w:pStyle w:val="2"/>
              <w:spacing w:before="0" w:after="0" w:line="420" w:lineRule="exact"/>
              <w:ind w:right="0"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①收集过程的环境管理要求</w:t>
            </w:r>
          </w:p>
          <w:p w14:paraId="5F98DF58">
            <w:pPr>
              <w:pStyle w:val="2"/>
              <w:spacing w:before="0" w:after="0" w:line="420" w:lineRule="exact"/>
              <w:ind w:right="0"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危险废物在收集时，应清楚废物的类别及</w:t>
            </w:r>
            <w:r>
              <w:rPr>
                <w:rFonts w:hint="eastAsia"/>
                <w:color w:val="000000" w:themeColor="text1"/>
                <w:sz w:val="21"/>
                <w:szCs w:val="21"/>
                <w14:textFill>
                  <w14:solidFill>
                    <w14:schemeClr w14:val="tx1"/>
                  </w14:solidFill>
                </w14:textFill>
              </w:rPr>
              <w:t>主要成分</w:t>
            </w:r>
            <w:r>
              <w:rPr>
                <w:color w:val="000000" w:themeColor="text1"/>
                <w:sz w:val="21"/>
                <w:szCs w:val="21"/>
                <w14:textFill>
                  <w14:solidFill>
                    <w14:schemeClr w14:val="tx1"/>
                  </w14:solidFill>
                </w14:textFill>
              </w:rPr>
              <w:t>，以方便委托处理单位处理，根据危险废物的性质和形态，可采用不同大小和不同材质的容器进行包装，所有包装容器应足够安全，并经过周密检查，严防在装载、搬移或运输途中出现渗漏、溢出、抛洒或挥发等情况。最后按照对危险废物交换和转移管理工作的有关要求，对危险废物进行安全包装，并在包装的明显位置附上危险废物标签。</w:t>
            </w:r>
          </w:p>
          <w:p w14:paraId="5901A5A6">
            <w:pPr>
              <w:pStyle w:val="2"/>
              <w:spacing w:before="0" w:after="0" w:line="420" w:lineRule="exact"/>
              <w:ind w:right="0"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②贮存过程的环境管理要求</w:t>
            </w:r>
          </w:p>
          <w:p w14:paraId="787CB70D">
            <w:pPr>
              <w:pStyle w:val="2"/>
              <w:spacing w:before="0" w:after="0" w:line="420" w:lineRule="exact"/>
              <w:ind w:right="0" w:firstLine="420" w:firstLineChars="200"/>
              <w:rPr>
                <w:b/>
                <w:bCs/>
                <w:color w:val="000000" w:themeColor="text1"/>
                <w:kern w:val="2"/>
                <w:sz w:val="21"/>
                <w:szCs w:val="16"/>
                <w14:textFill>
                  <w14:solidFill>
                    <w14:schemeClr w14:val="tx1"/>
                  </w14:solidFill>
                </w14:textFill>
              </w:rPr>
            </w:pPr>
            <w:r>
              <w:rPr>
                <w:color w:val="000000" w:themeColor="text1"/>
                <w:sz w:val="21"/>
                <w:szCs w:val="21"/>
                <w14:textFill>
                  <w14:solidFill>
                    <w14:schemeClr w14:val="tx1"/>
                  </w14:solidFill>
                </w14:textFill>
              </w:rPr>
              <w:t>本项目</w:t>
            </w:r>
            <w:r>
              <w:rPr>
                <w:rFonts w:hint="eastAsia"/>
                <w:color w:val="000000" w:themeColor="text1"/>
                <w:sz w:val="21"/>
                <w:szCs w:val="21"/>
                <w:lang w:val="en-US" w:eastAsia="zh-CN"/>
                <w14:textFill>
                  <w14:solidFill>
                    <w14:schemeClr w14:val="tx1"/>
                  </w14:solidFill>
                </w14:textFill>
              </w:rPr>
              <w:t>新建</w:t>
            </w:r>
            <w:r>
              <w:rPr>
                <w:rFonts w:hint="eastAsia"/>
                <w:color w:val="000000" w:themeColor="text1"/>
                <w:sz w:val="21"/>
                <w:szCs w:val="21"/>
                <w14:textFill>
                  <w14:solidFill>
                    <w14:schemeClr w14:val="tx1"/>
                  </w14:solidFill>
                </w14:textFill>
              </w:rPr>
              <w:t>建筑面</w:t>
            </w:r>
            <w:r>
              <w:rPr>
                <w:rFonts w:hint="eastAsia"/>
                <w:color w:val="000000" w:themeColor="text1"/>
                <w:sz w:val="21"/>
                <w:szCs w:val="21"/>
                <w:highlight w:val="none"/>
                <w14:textFill>
                  <w14:solidFill>
                    <w14:schemeClr w14:val="tx1"/>
                  </w14:solidFill>
                </w14:textFill>
              </w:rPr>
              <w:t>积10</w:t>
            </w: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2</w:t>
            </w:r>
            <w:r>
              <w:rPr>
                <w:color w:val="000000" w:themeColor="text1"/>
                <w:sz w:val="21"/>
                <w:szCs w:val="21"/>
                <w:highlight w:val="none"/>
                <w14:textFill>
                  <w14:solidFill>
                    <w14:schemeClr w14:val="tx1"/>
                  </w14:solidFill>
                </w14:textFill>
              </w:rPr>
              <w:t>的危</w:t>
            </w:r>
            <w:r>
              <w:rPr>
                <w:color w:val="000000" w:themeColor="text1"/>
                <w:sz w:val="21"/>
                <w:szCs w:val="21"/>
                <w14:textFill>
                  <w14:solidFill>
                    <w14:schemeClr w14:val="tx1"/>
                  </w14:solidFill>
                </w14:textFill>
              </w:rPr>
              <w:t>废仓库，用于存放本项目产生的各类危险废物</w:t>
            </w:r>
            <w:r>
              <w:rPr>
                <w:rFonts w:hint="eastAsia"/>
                <w:color w:val="000000" w:themeColor="text1"/>
                <w:sz w:val="21"/>
                <w:szCs w:val="21"/>
                <w14:textFill>
                  <w14:solidFill>
                    <w14:schemeClr w14:val="tx1"/>
                  </w14:solidFill>
                </w14:textFill>
              </w:rPr>
              <w:t>。</w:t>
            </w:r>
          </w:p>
          <w:p w14:paraId="386E484A">
            <w:pPr>
              <w:pStyle w:val="18"/>
              <w:spacing w:before="0" w:beforeAutospacing="0" w:after="0" w:afterAutospacing="0"/>
              <w:jc w:val="center"/>
              <w:rPr>
                <w:rFonts w:ascii="Times New Roman" w:hAnsi="Times New Roman"/>
                <w:b/>
                <w:bCs/>
                <w:color w:val="000000" w:themeColor="text1"/>
                <w:kern w:val="2"/>
                <w14:textFill>
                  <w14:solidFill>
                    <w14:schemeClr w14:val="tx1"/>
                  </w14:solidFill>
                </w14:textFill>
              </w:rPr>
            </w:pPr>
            <w:r>
              <w:rPr>
                <w:rFonts w:ascii="Times New Roman" w:hAnsi="Times New Roman"/>
                <w:b/>
                <w:bCs/>
                <w:color w:val="000000" w:themeColor="text1"/>
                <w:kern w:val="2"/>
                <w:sz w:val="21"/>
                <w:szCs w:val="16"/>
                <w14:textFill>
                  <w14:solidFill>
                    <w14:schemeClr w14:val="tx1"/>
                  </w14:solidFill>
                </w14:textFill>
              </w:rPr>
              <w:t>表4.4-</w:t>
            </w:r>
            <w:r>
              <w:rPr>
                <w:rFonts w:hint="eastAsia" w:ascii="Times New Roman" w:hAnsi="Times New Roman"/>
                <w:b/>
                <w:bCs/>
                <w:color w:val="000000" w:themeColor="text1"/>
                <w:kern w:val="2"/>
                <w:sz w:val="21"/>
                <w:szCs w:val="16"/>
                <w14:textFill>
                  <w14:solidFill>
                    <w14:schemeClr w14:val="tx1"/>
                  </w14:solidFill>
                </w14:textFill>
              </w:rPr>
              <w:t>5 本项目</w:t>
            </w:r>
            <w:r>
              <w:rPr>
                <w:rFonts w:ascii="Times New Roman" w:hAnsi="Times New Roman"/>
                <w:b/>
                <w:bCs/>
                <w:color w:val="000000" w:themeColor="text1"/>
                <w:kern w:val="2"/>
                <w:sz w:val="21"/>
                <w:szCs w:val="16"/>
                <w14:textFill>
                  <w14:solidFill>
                    <w14:schemeClr w14:val="tx1"/>
                  </w14:solidFill>
                </w14:textFill>
              </w:rPr>
              <w:t>危险废物贮存场所基本情况表</w:t>
            </w:r>
          </w:p>
          <w:tbl>
            <w:tblPr>
              <w:tblStyle w:val="22"/>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7"/>
              <w:gridCol w:w="758"/>
              <w:gridCol w:w="950"/>
              <w:gridCol w:w="603"/>
              <w:gridCol w:w="859"/>
              <w:gridCol w:w="1160"/>
              <w:gridCol w:w="758"/>
              <w:gridCol w:w="758"/>
              <w:gridCol w:w="758"/>
              <w:gridCol w:w="803"/>
              <w:gridCol w:w="621"/>
            </w:tblGrid>
            <w:tr w14:paraId="791F7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noWrap/>
                  <w:vAlign w:val="center"/>
                </w:tcPr>
                <w:p w14:paraId="4DDC13DD">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390" w:type="pct"/>
                  <w:noWrap/>
                  <w:vAlign w:val="center"/>
                </w:tcPr>
                <w:p w14:paraId="46B341FC">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贮存场所</w:t>
                  </w:r>
                </w:p>
              </w:tc>
              <w:tc>
                <w:tcPr>
                  <w:tcW w:w="807" w:type="pct"/>
                  <w:noWrap/>
                  <w:vAlign w:val="center"/>
                </w:tcPr>
                <w:p w14:paraId="4822F020">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危废名称</w:t>
                  </w:r>
                </w:p>
              </w:tc>
              <w:tc>
                <w:tcPr>
                  <w:tcW w:w="487" w:type="pct"/>
                  <w:noWrap/>
                  <w:vAlign w:val="center"/>
                </w:tcPr>
                <w:p w14:paraId="0E3A110F">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危废</w:t>
                  </w:r>
                </w:p>
                <w:p w14:paraId="2E7AFA1F">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类别</w:t>
                  </w:r>
                </w:p>
              </w:tc>
              <w:tc>
                <w:tcPr>
                  <w:tcW w:w="724" w:type="pct"/>
                  <w:noWrap/>
                  <w:vAlign w:val="center"/>
                </w:tcPr>
                <w:p w14:paraId="4AECE94E">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危废代码</w:t>
                  </w:r>
                </w:p>
              </w:tc>
              <w:tc>
                <w:tcPr>
                  <w:tcW w:w="278" w:type="pct"/>
                  <w:noWrap/>
                  <w:vAlign w:val="center"/>
                </w:tcPr>
                <w:p w14:paraId="48B47E2B">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位置</w:t>
                  </w:r>
                </w:p>
              </w:tc>
              <w:tc>
                <w:tcPr>
                  <w:tcW w:w="375" w:type="pct"/>
                  <w:noWrap/>
                  <w:vAlign w:val="center"/>
                </w:tcPr>
                <w:p w14:paraId="6790C850">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占地面积</w:t>
                  </w:r>
                </w:p>
              </w:tc>
              <w:tc>
                <w:tcPr>
                  <w:tcW w:w="431" w:type="pct"/>
                  <w:noWrap/>
                  <w:vAlign w:val="center"/>
                </w:tcPr>
                <w:p w14:paraId="4D3E0A9A">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贮存方式</w:t>
                  </w:r>
                </w:p>
              </w:tc>
              <w:tc>
                <w:tcPr>
                  <w:tcW w:w="384" w:type="pct"/>
                  <w:noWrap/>
                  <w:vAlign w:val="center"/>
                </w:tcPr>
                <w:p w14:paraId="584093EB">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贮存能力</w:t>
                  </w:r>
                </w:p>
              </w:tc>
              <w:tc>
                <w:tcPr>
                  <w:tcW w:w="456" w:type="pct"/>
                  <w:noWrap/>
                  <w:vAlign w:val="center"/>
                </w:tcPr>
                <w:p w14:paraId="5959013B">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贮存</w:t>
                  </w:r>
                </w:p>
                <w:p w14:paraId="25656950">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总量</w:t>
                  </w:r>
                  <w:r>
                    <w:rPr>
                      <w:rFonts w:hint="eastAsia"/>
                      <w:b/>
                      <w:bCs/>
                      <w:color w:val="000000" w:themeColor="text1"/>
                      <w:szCs w:val="21"/>
                      <w:lang w:eastAsia="zh-CN"/>
                      <w14:textFill>
                        <w14:solidFill>
                          <w14:schemeClr w14:val="tx1"/>
                        </w14:solidFill>
                      </w14:textFill>
                    </w:rPr>
                    <w:t>（</w:t>
                  </w:r>
                  <w:r>
                    <w:rPr>
                      <w:rFonts w:hint="eastAsia"/>
                      <w:b/>
                      <w:bCs/>
                      <w:color w:val="000000" w:themeColor="text1"/>
                      <w:szCs w:val="21"/>
                      <w:lang w:val="en-US" w:eastAsia="zh-CN"/>
                      <w14:textFill>
                        <w14:solidFill>
                          <w14:schemeClr w14:val="tx1"/>
                        </w14:solidFill>
                      </w14:textFill>
                    </w:rPr>
                    <w:t>t</w:t>
                  </w:r>
                  <w:r>
                    <w:rPr>
                      <w:rFonts w:hint="eastAsia"/>
                      <w:b/>
                      <w:bCs/>
                      <w:color w:val="000000" w:themeColor="text1"/>
                      <w:szCs w:val="21"/>
                      <w:lang w:eastAsia="zh-CN"/>
                      <w14:textFill>
                        <w14:solidFill>
                          <w14:schemeClr w14:val="tx1"/>
                        </w14:solidFill>
                      </w14:textFill>
                    </w:rPr>
                    <w:t>）</w:t>
                  </w:r>
                </w:p>
              </w:tc>
              <w:tc>
                <w:tcPr>
                  <w:tcW w:w="397" w:type="pct"/>
                  <w:noWrap/>
                  <w:vAlign w:val="center"/>
                </w:tcPr>
                <w:p w14:paraId="4764A09C">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贮存</w:t>
                  </w:r>
                </w:p>
                <w:p w14:paraId="58064D9B">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周期</w:t>
                  </w:r>
                </w:p>
              </w:tc>
            </w:tr>
            <w:tr w14:paraId="26A903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noWrap/>
                  <w:vAlign w:val="center"/>
                </w:tcPr>
                <w:p w14:paraId="0032C5E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390" w:type="pct"/>
                  <w:vMerge w:val="restart"/>
                  <w:noWrap/>
                  <w:vAlign w:val="center"/>
                </w:tcPr>
                <w:p w14:paraId="5C9AE45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危废仓库</w:t>
                  </w:r>
                </w:p>
              </w:tc>
              <w:tc>
                <w:tcPr>
                  <w:tcW w:w="1358" w:type="dxa"/>
                  <w:noWrap/>
                  <w:vAlign w:val="center"/>
                </w:tcPr>
                <w:p w14:paraId="038064D4">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废液压油</w:t>
                  </w:r>
                </w:p>
              </w:tc>
              <w:tc>
                <w:tcPr>
                  <w:tcW w:w="818" w:type="dxa"/>
                  <w:noWrap/>
                  <w:vAlign w:val="center"/>
                </w:tcPr>
                <w:p w14:paraId="3E93F6F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HW08</w:t>
                  </w:r>
                </w:p>
              </w:tc>
              <w:tc>
                <w:tcPr>
                  <w:tcW w:w="1217" w:type="dxa"/>
                  <w:noWrap/>
                  <w:vAlign w:val="center"/>
                </w:tcPr>
                <w:p w14:paraId="2EE9D21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900-218-08</w:t>
                  </w:r>
                </w:p>
              </w:tc>
              <w:tc>
                <w:tcPr>
                  <w:tcW w:w="278" w:type="pct"/>
                  <w:vMerge w:val="restart"/>
                  <w:noWrap/>
                  <w:vAlign w:val="center"/>
                </w:tcPr>
                <w:p w14:paraId="461686EA">
                  <w:pPr>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厂房3楼东南</w:t>
                  </w:r>
                  <w:r>
                    <w:rPr>
                      <w:rFonts w:hint="eastAsia"/>
                      <w:color w:val="000000" w:themeColor="text1"/>
                      <w:highlight w:val="none"/>
                      <w14:textFill>
                        <w14:solidFill>
                          <w14:schemeClr w14:val="tx1"/>
                        </w14:solidFill>
                      </w14:textFill>
                    </w:rPr>
                    <w:t>侧</w:t>
                  </w:r>
                </w:p>
              </w:tc>
              <w:tc>
                <w:tcPr>
                  <w:tcW w:w="375" w:type="pct"/>
                  <w:vMerge w:val="restart"/>
                  <w:noWrap/>
                  <w:vAlign w:val="center"/>
                </w:tcPr>
                <w:p w14:paraId="1490BDD5">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p>
              </w:tc>
              <w:tc>
                <w:tcPr>
                  <w:tcW w:w="431" w:type="pct"/>
                  <w:noWrap/>
                  <w:vAlign w:val="center"/>
                </w:tcPr>
                <w:p w14:paraId="1F79C54C">
                  <w:pPr>
                    <w:jc w:val="center"/>
                    <w:rPr>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170kg/桶</w:t>
                  </w:r>
                </w:p>
              </w:tc>
              <w:tc>
                <w:tcPr>
                  <w:tcW w:w="384" w:type="pct"/>
                  <w:noWrap/>
                  <w:vAlign w:val="center"/>
                </w:tcPr>
                <w:p w14:paraId="3C51F44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t</w:t>
                  </w:r>
                </w:p>
              </w:tc>
              <w:tc>
                <w:tcPr>
                  <w:tcW w:w="766" w:type="dxa"/>
                  <w:noWrap/>
                  <w:vAlign w:val="center"/>
                </w:tcPr>
                <w:p w14:paraId="08B532DE">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0.34</w:t>
                  </w:r>
                </w:p>
              </w:tc>
              <w:tc>
                <w:tcPr>
                  <w:tcW w:w="397" w:type="pct"/>
                  <w:noWrap/>
                  <w:vAlign w:val="center"/>
                </w:tcPr>
                <w:p w14:paraId="4D875546">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一</w:t>
                  </w:r>
                  <w:r>
                    <w:rPr>
                      <w:rFonts w:hint="eastAsia"/>
                      <w:color w:val="000000" w:themeColor="text1"/>
                      <w:szCs w:val="21"/>
                      <w14:textFill>
                        <w14:solidFill>
                          <w14:schemeClr w14:val="tx1"/>
                        </w14:solidFill>
                      </w14:textFill>
                    </w:rPr>
                    <w:t>年</w:t>
                  </w:r>
                </w:p>
              </w:tc>
            </w:tr>
            <w:tr w14:paraId="78F391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noWrap/>
                  <w:vAlign w:val="center"/>
                </w:tcPr>
                <w:p w14:paraId="5AA5467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90" w:type="pct"/>
                  <w:vMerge w:val="continue"/>
                  <w:noWrap/>
                  <w:vAlign w:val="center"/>
                </w:tcPr>
                <w:p w14:paraId="0144F6D9">
                  <w:pPr>
                    <w:jc w:val="center"/>
                    <w:rPr>
                      <w:color w:val="000000" w:themeColor="text1"/>
                      <w14:textFill>
                        <w14:solidFill>
                          <w14:schemeClr w14:val="tx1"/>
                        </w14:solidFill>
                      </w14:textFill>
                    </w:rPr>
                  </w:pPr>
                </w:p>
              </w:tc>
              <w:tc>
                <w:tcPr>
                  <w:tcW w:w="1358" w:type="dxa"/>
                  <w:noWrap/>
                  <w:vAlign w:val="center"/>
                </w:tcPr>
                <w:p w14:paraId="52B99ED2">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废抹布</w:t>
                  </w:r>
                </w:p>
              </w:tc>
              <w:tc>
                <w:tcPr>
                  <w:tcW w:w="818" w:type="dxa"/>
                  <w:noWrap/>
                  <w:vAlign w:val="center"/>
                </w:tcPr>
                <w:p w14:paraId="0FCDB35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HW49</w:t>
                  </w:r>
                </w:p>
              </w:tc>
              <w:tc>
                <w:tcPr>
                  <w:tcW w:w="1217" w:type="dxa"/>
                  <w:noWrap/>
                  <w:vAlign w:val="center"/>
                </w:tcPr>
                <w:p w14:paraId="078436B0">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900-</w:t>
                  </w:r>
                  <w:r>
                    <w:rPr>
                      <w:rFonts w:hint="eastAsia"/>
                      <w:color w:val="000000" w:themeColor="text1"/>
                      <w14:textFill>
                        <w14:solidFill>
                          <w14:schemeClr w14:val="tx1"/>
                        </w14:solidFill>
                      </w14:textFill>
                    </w:rPr>
                    <w:t>041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49</w:t>
                  </w:r>
                </w:p>
              </w:tc>
              <w:tc>
                <w:tcPr>
                  <w:tcW w:w="278" w:type="pct"/>
                  <w:vMerge w:val="continue"/>
                  <w:noWrap/>
                  <w:vAlign w:val="center"/>
                </w:tcPr>
                <w:p w14:paraId="2B288966">
                  <w:pPr>
                    <w:jc w:val="center"/>
                    <w:rPr>
                      <w:color w:val="000000" w:themeColor="text1"/>
                      <w14:textFill>
                        <w14:solidFill>
                          <w14:schemeClr w14:val="tx1"/>
                        </w14:solidFill>
                      </w14:textFill>
                    </w:rPr>
                  </w:pPr>
                </w:p>
              </w:tc>
              <w:tc>
                <w:tcPr>
                  <w:tcW w:w="375" w:type="pct"/>
                  <w:vMerge w:val="continue"/>
                  <w:noWrap/>
                  <w:vAlign w:val="center"/>
                </w:tcPr>
                <w:p w14:paraId="2528DD25">
                  <w:pPr>
                    <w:jc w:val="center"/>
                    <w:rPr>
                      <w:color w:val="000000" w:themeColor="text1"/>
                      <w14:textFill>
                        <w14:solidFill>
                          <w14:schemeClr w14:val="tx1"/>
                        </w14:solidFill>
                      </w14:textFill>
                    </w:rPr>
                  </w:pPr>
                </w:p>
              </w:tc>
              <w:tc>
                <w:tcPr>
                  <w:tcW w:w="431" w:type="pct"/>
                  <w:noWrap/>
                  <w:vAlign w:val="center"/>
                </w:tcPr>
                <w:p w14:paraId="4B4CF8C4">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28kg/袋</w:t>
                  </w:r>
                </w:p>
              </w:tc>
              <w:tc>
                <w:tcPr>
                  <w:tcW w:w="384" w:type="pct"/>
                  <w:noWrap/>
                  <w:vAlign w:val="center"/>
                </w:tcPr>
                <w:p w14:paraId="0783872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5</w:t>
                  </w:r>
                  <w:r>
                    <w:rPr>
                      <w:rFonts w:hint="eastAsia"/>
                      <w:color w:val="000000" w:themeColor="text1"/>
                      <w:szCs w:val="21"/>
                      <w14:textFill>
                        <w14:solidFill>
                          <w14:schemeClr w14:val="tx1"/>
                        </w14:solidFill>
                      </w14:textFill>
                    </w:rPr>
                    <w:t>t</w:t>
                  </w:r>
                </w:p>
              </w:tc>
              <w:tc>
                <w:tcPr>
                  <w:tcW w:w="766" w:type="dxa"/>
                  <w:noWrap/>
                  <w:vAlign w:val="center"/>
                </w:tcPr>
                <w:p w14:paraId="2F47FDF8">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0.28</w:t>
                  </w:r>
                </w:p>
              </w:tc>
              <w:tc>
                <w:tcPr>
                  <w:tcW w:w="397" w:type="pct"/>
                  <w:noWrap/>
                  <w:vAlign w:val="center"/>
                </w:tcPr>
                <w:p w14:paraId="3883BB8C">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一</w:t>
                  </w:r>
                  <w:r>
                    <w:rPr>
                      <w:rFonts w:hint="eastAsia"/>
                      <w:color w:val="000000" w:themeColor="text1"/>
                      <w:szCs w:val="21"/>
                      <w14:textFill>
                        <w14:solidFill>
                          <w14:schemeClr w14:val="tx1"/>
                        </w14:solidFill>
                      </w14:textFill>
                    </w:rPr>
                    <w:t>年</w:t>
                  </w:r>
                </w:p>
              </w:tc>
            </w:tr>
            <w:tr w14:paraId="229836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noWrap/>
                  <w:vAlign w:val="center"/>
                </w:tcPr>
                <w:p w14:paraId="738AF2E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390" w:type="pct"/>
                  <w:vMerge w:val="continue"/>
                  <w:noWrap/>
                  <w:vAlign w:val="center"/>
                </w:tcPr>
                <w:p w14:paraId="627AD6EF">
                  <w:pPr>
                    <w:jc w:val="center"/>
                    <w:rPr>
                      <w:color w:val="000000" w:themeColor="text1"/>
                      <w14:textFill>
                        <w14:solidFill>
                          <w14:schemeClr w14:val="tx1"/>
                        </w14:solidFill>
                      </w14:textFill>
                    </w:rPr>
                  </w:pPr>
                </w:p>
              </w:tc>
              <w:tc>
                <w:tcPr>
                  <w:tcW w:w="1358" w:type="dxa"/>
                  <w:noWrap/>
                  <w:vAlign w:val="center"/>
                </w:tcPr>
                <w:p w14:paraId="03B1B22C">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废包装桶</w:t>
                  </w:r>
                </w:p>
              </w:tc>
              <w:tc>
                <w:tcPr>
                  <w:tcW w:w="818" w:type="dxa"/>
                  <w:noWrap/>
                  <w:vAlign w:val="center"/>
                </w:tcPr>
                <w:p w14:paraId="2BECC6C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HW49</w:t>
                  </w:r>
                </w:p>
              </w:tc>
              <w:tc>
                <w:tcPr>
                  <w:tcW w:w="1217" w:type="dxa"/>
                  <w:noWrap/>
                  <w:vAlign w:val="center"/>
                </w:tcPr>
                <w:p w14:paraId="11060ED8">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900-</w:t>
                  </w:r>
                  <w:r>
                    <w:rPr>
                      <w:rFonts w:hint="eastAsia"/>
                      <w:color w:val="000000" w:themeColor="text1"/>
                      <w14:textFill>
                        <w14:solidFill>
                          <w14:schemeClr w14:val="tx1"/>
                        </w14:solidFill>
                      </w14:textFill>
                    </w:rPr>
                    <w:t>041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49</w:t>
                  </w:r>
                </w:p>
              </w:tc>
              <w:tc>
                <w:tcPr>
                  <w:tcW w:w="278" w:type="pct"/>
                  <w:vMerge w:val="continue"/>
                  <w:noWrap/>
                  <w:vAlign w:val="center"/>
                </w:tcPr>
                <w:p w14:paraId="6DDFCC3A">
                  <w:pPr>
                    <w:jc w:val="center"/>
                    <w:rPr>
                      <w:color w:val="000000" w:themeColor="text1"/>
                      <w14:textFill>
                        <w14:solidFill>
                          <w14:schemeClr w14:val="tx1"/>
                        </w14:solidFill>
                      </w14:textFill>
                    </w:rPr>
                  </w:pPr>
                </w:p>
              </w:tc>
              <w:tc>
                <w:tcPr>
                  <w:tcW w:w="375" w:type="pct"/>
                  <w:vMerge w:val="continue"/>
                  <w:noWrap/>
                  <w:vAlign w:val="center"/>
                </w:tcPr>
                <w:p w14:paraId="382E9119">
                  <w:pPr>
                    <w:jc w:val="center"/>
                    <w:rPr>
                      <w:color w:val="000000" w:themeColor="text1"/>
                      <w14:textFill>
                        <w14:solidFill>
                          <w14:schemeClr w14:val="tx1"/>
                        </w14:solidFill>
                      </w14:textFill>
                    </w:rPr>
                  </w:pPr>
                </w:p>
              </w:tc>
              <w:tc>
                <w:tcPr>
                  <w:tcW w:w="431" w:type="pct"/>
                  <w:noWrap/>
                  <w:vAlign w:val="center"/>
                </w:tcPr>
                <w:p w14:paraId="21DD6AD8">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散装</w:t>
                  </w:r>
                </w:p>
              </w:tc>
              <w:tc>
                <w:tcPr>
                  <w:tcW w:w="384" w:type="pct"/>
                  <w:noWrap/>
                  <w:vAlign w:val="center"/>
                </w:tcPr>
                <w:p w14:paraId="6CF7254F">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0.5</w:t>
                  </w:r>
                  <w:r>
                    <w:rPr>
                      <w:rFonts w:hint="eastAsia"/>
                      <w:color w:val="000000" w:themeColor="text1"/>
                      <w:szCs w:val="21"/>
                      <w14:textFill>
                        <w14:solidFill>
                          <w14:schemeClr w14:val="tx1"/>
                        </w14:solidFill>
                      </w14:textFill>
                    </w:rPr>
                    <w:t>t</w:t>
                  </w:r>
                </w:p>
              </w:tc>
              <w:tc>
                <w:tcPr>
                  <w:tcW w:w="766" w:type="dxa"/>
                  <w:noWrap/>
                  <w:vAlign w:val="center"/>
                </w:tcPr>
                <w:p w14:paraId="2A137398">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0.02</w:t>
                  </w:r>
                </w:p>
              </w:tc>
              <w:tc>
                <w:tcPr>
                  <w:tcW w:w="397" w:type="pct"/>
                  <w:noWrap/>
                  <w:vAlign w:val="center"/>
                </w:tcPr>
                <w:p w14:paraId="44475DD9">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一</w:t>
                  </w:r>
                  <w:r>
                    <w:rPr>
                      <w:rFonts w:hint="eastAsia"/>
                      <w:color w:val="000000" w:themeColor="text1"/>
                      <w:szCs w:val="21"/>
                      <w14:textFill>
                        <w14:solidFill>
                          <w14:schemeClr w14:val="tx1"/>
                        </w14:solidFill>
                      </w14:textFill>
                    </w:rPr>
                    <w:t>年</w:t>
                  </w:r>
                </w:p>
              </w:tc>
            </w:tr>
            <w:tr w14:paraId="3B6CB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noWrap/>
                  <w:vAlign w:val="center"/>
                </w:tcPr>
                <w:p w14:paraId="5C25708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390" w:type="pct"/>
                  <w:vMerge w:val="continue"/>
                  <w:noWrap/>
                  <w:vAlign w:val="center"/>
                </w:tcPr>
                <w:p w14:paraId="398733FA">
                  <w:pPr>
                    <w:jc w:val="center"/>
                    <w:rPr>
                      <w:color w:val="000000" w:themeColor="text1"/>
                      <w14:textFill>
                        <w14:solidFill>
                          <w14:schemeClr w14:val="tx1"/>
                        </w14:solidFill>
                      </w14:textFill>
                    </w:rPr>
                  </w:pPr>
                </w:p>
              </w:tc>
              <w:tc>
                <w:tcPr>
                  <w:tcW w:w="1358" w:type="dxa"/>
                  <w:noWrap/>
                  <w:vAlign w:val="center"/>
                </w:tcPr>
                <w:p w14:paraId="19FAFECE">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废油桶</w:t>
                  </w:r>
                </w:p>
              </w:tc>
              <w:tc>
                <w:tcPr>
                  <w:tcW w:w="818" w:type="dxa"/>
                  <w:noWrap/>
                  <w:vAlign w:val="center"/>
                </w:tcPr>
                <w:p w14:paraId="574EAAEC">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HW08</w:t>
                  </w:r>
                </w:p>
              </w:tc>
              <w:tc>
                <w:tcPr>
                  <w:tcW w:w="1217" w:type="dxa"/>
                  <w:noWrap/>
                  <w:vAlign w:val="center"/>
                </w:tcPr>
                <w:p w14:paraId="17DBA968">
                  <w:pPr>
                    <w:jc w:val="center"/>
                    <w:rPr>
                      <w:color w:val="000000" w:themeColor="text1"/>
                      <w14:textFill>
                        <w14:solidFill>
                          <w14:schemeClr w14:val="tx1"/>
                        </w14:solidFill>
                      </w14:textFill>
                    </w:rPr>
                  </w:pPr>
                  <w:r>
                    <w:rPr>
                      <w:color w:val="000000" w:themeColor="text1"/>
                      <w14:textFill>
                        <w14:solidFill>
                          <w14:schemeClr w14:val="tx1"/>
                        </w14:solidFill>
                      </w14:textFill>
                    </w:rPr>
                    <w:t>900-249-08</w:t>
                  </w:r>
                </w:p>
              </w:tc>
              <w:tc>
                <w:tcPr>
                  <w:tcW w:w="278" w:type="pct"/>
                  <w:vMerge w:val="continue"/>
                  <w:noWrap/>
                  <w:vAlign w:val="center"/>
                </w:tcPr>
                <w:p w14:paraId="0E964BB7">
                  <w:pPr>
                    <w:jc w:val="center"/>
                    <w:rPr>
                      <w:color w:val="000000" w:themeColor="text1"/>
                      <w14:textFill>
                        <w14:solidFill>
                          <w14:schemeClr w14:val="tx1"/>
                        </w14:solidFill>
                      </w14:textFill>
                    </w:rPr>
                  </w:pPr>
                </w:p>
              </w:tc>
              <w:tc>
                <w:tcPr>
                  <w:tcW w:w="375" w:type="pct"/>
                  <w:vMerge w:val="continue"/>
                  <w:noWrap/>
                  <w:vAlign w:val="center"/>
                </w:tcPr>
                <w:p w14:paraId="2A01CA58">
                  <w:pPr>
                    <w:jc w:val="center"/>
                    <w:rPr>
                      <w:color w:val="000000" w:themeColor="text1"/>
                      <w14:textFill>
                        <w14:solidFill>
                          <w14:schemeClr w14:val="tx1"/>
                        </w14:solidFill>
                      </w14:textFill>
                    </w:rPr>
                  </w:pPr>
                </w:p>
              </w:tc>
              <w:tc>
                <w:tcPr>
                  <w:tcW w:w="431" w:type="pct"/>
                  <w:noWrap/>
                  <w:vAlign w:val="center"/>
                </w:tcPr>
                <w:p w14:paraId="05E1F1E3">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散装</w:t>
                  </w:r>
                </w:p>
              </w:tc>
              <w:tc>
                <w:tcPr>
                  <w:tcW w:w="384" w:type="pct"/>
                  <w:noWrap/>
                  <w:vAlign w:val="center"/>
                </w:tcPr>
                <w:p w14:paraId="3A67FB3B">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0.5</w:t>
                  </w:r>
                  <w:r>
                    <w:rPr>
                      <w:rFonts w:hint="eastAsia"/>
                      <w:color w:val="000000" w:themeColor="text1"/>
                      <w:szCs w:val="21"/>
                      <w14:textFill>
                        <w14:solidFill>
                          <w14:schemeClr w14:val="tx1"/>
                        </w14:solidFill>
                      </w14:textFill>
                    </w:rPr>
                    <w:t>t</w:t>
                  </w:r>
                </w:p>
              </w:tc>
              <w:tc>
                <w:tcPr>
                  <w:tcW w:w="766" w:type="dxa"/>
                  <w:noWrap/>
                  <w:vAlign w:val="center"/>
                </w:tcPr>
                <w:p w14:paraId="3685BABF">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0.03</w:t>
                  </w:r>
                </w:p>
              </w:tc>
              <w:tc>
                <w:tcPr>
                  <w:tcW w:w="397" w:type="pct"/>
                  <w:noWrap/>
                  <w:vAlign w:val="center"/>
                </w:tcPr>
                <w:p w14:paraId="43632A93">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一</w:t>
                  </w:r>
                  <w:r>
                    <w:rPr>
                      <w:rFonts w:hint="eastAsia"/>
                      <w:color w:val="000000" w:themeColor="text1"/>
                      <w:szCs w:val="21"/>
                      <w14:textFill>
                        <w14:solidFill>
                          <w14:schemeClr w14:val="tx1"/>
                        </w14:solidFill>
                      </w14:textFill>
                    </w:rPr>
                    <w:t>年</w:t>
                  </w:r>
                </w:p>
              </w:tc>
            </w:tr>
            <w:tr w14:paraId="13FB6E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noWrap/>
                  <w:vAlign w:val="center"/>
                </w:tcPr>
                <w:p w14:paraId="03BF612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390" w:type="pct"/>
                  <w:vMerge w:val="continue"/>
                  <w:noWrap/>
                  <w:vAlign w:val="center"/>
                </w:tcPr>
                <w:p w14:paraId="69227E67">
                  <w:pPr>
                    <w:jc w:val="center"/>
                    <w:rPr>
                      <w:color w:val="000000" w:themeColor="text1"/>
                      <w14:textFill>
                        <w14:solidFill>
                          <w14:schemeClr w14:val="tx1"/>
                        </w14:solidFill>
                      </w14:textFill>
                    </w:rPr>
                  </w:pPr>
                </w:p>
              </w:tc>
              <w:tc>
                <w:tcPr>
                  <w:tcW w:w="1358" w:type="dxa"/>
                  <w:noWrap/>
                  <w:vAlign w:val="center"/>
                </w:tcPr>
                <w:p w14:paraId="4E0C27C9">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废活性炭</w:t>
                  </w:r>
                </w:p>
              </w:tc>
              <w:tc>
                <w:tcPr>
                  <w:tcW w:w="818" w:type="dxa"/>
                  <w:noWrap/>
                  <w:vAlign w:val="center"/>
                </w:tcPr>
                <w:p w14:paraId="613612FF">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HW49</w:t>
                  </w:r>
                </w:p>
              </w:tc>
              <w:tc>
                <w:tcPr>
                  <w:tcW w:w="1217" w:type="dxa"/>
                  <w:noWrap/>
                  <w:vAlign w:val="center"/>
                </w:tcPr>
                <w:p w14:paraId="1C99F350">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900-</w:t>
                  </w:r>
                  <w:r>
                    <w:rPr>
                      <w:rFonts w:hint="eastAsia"/>
                      <w:color w:val="000000" w:themeColor="text1"/>
                      <w14:textFill>
                        <w14:solidFill>
                          <w14:schemeClr w14:val="tx1"/>
                        </w14:solidFill>
                      </w14:textFill>
                    </w:rPr>
                    <w:t>039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49</w:t>
                  </w:r>
                </w:p>
              </w:tc>
              <w:tc>
                <w:tcPr>
                  <w:tcW w:w="278" w:type="pct"/>
                  <w:vMerge w:val="continue"/>
                  <w:noWrap/>
                  <w:vAlign w:val="center"/>
                </w:tcPr>
                <w:p w14:paraId="2C250127">
                  <w:pPr>
                    <w:jc w:val="center"/>
                    <w:rPr>
                      <w:color w:val="000000" w:themeColor="text1"/>
                      <w14:textFill>
                        <w14:solidFill>
                          <w14:schemeClr w14:val="tx1"/>
                        </w14:solidFill>
                      </w14:textFill>
                    </w:rPr>
                  </w:pPr>
                </w:p>
              </w:tc>
              <w:tc>
                <w:tcPr>
                  <w:tcW w:w="375" w:type="pct"/>
                  <w:vMerge w:val="continue"/>
                  <w:noWrap/>
                  <w:vAlign w:val="center"/>
                </w:tcPr>
                <w:p w14:paraId="5149F51F">
                  <w:pPr>
                    <w:jc w:val="center"/>
                    <w:rPr>
                      <w:color w:val="000000" w:themeColor="text1"/>
                      <w14:textFill>
                        <w14:solidFill>
                          <w14:schemeClr w14:val="tx1"/>
                        </w14:solidFill>
                      </w14:textFill>
                    </w:rPr>
                  </w:pPr>
                </w:p>
              </w:tc>
              <w:tc>
                <w:tcPr>
                  <w:tcW w:w="431" w:type="pct"/>
                  <w:noWrap/>
                  <w:vAlign w:val="center"/>
                </w:tcPr>
                <w:p w14:paraId="4E13C709">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200kg/袋</w:t>
                  </w:r>
                </w:p>
              </w:tc>
              <w:tc>
                <w:tcPr>
                  <w:tcW w:w="384" w:type="pct"/>
                  <w:noWrap/>
                  <w:vAlign w:val="center"/>
                </w:tcPr>
                <w:p w14:paraId="11585F91">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t</w:t>
                  </w:r>
                </w:p>
              </w:tc>
              <w:tc>
                <w:tcPr>
                  <w:tcW w:w="456" w:type="pct"/>
                  <w:noWrap/>
                  <w:vAlign w:val="center"/>
                </w:tcPr>
                <w:p w14:paraId="1BA2ACEF">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1.71</w:t>
                  </w:r>
                </w:p>
              </w:tc>
              <w:tc>
                <w:tcPr>
                  <w:tcW w:w="397" w:type="pct"/>
                  <w:noWrap/>
                  <w:vAlign w:val="center"/>
                </w:tcPr>
                <w:p w14:paraId="3FCFA70E">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一季度</w:t>
                  </w:r>
                </w:p>
              </w:tc>
            </w:tr>
          </w:tbl>
          <w:p w14:paraId="1625B046">
            <w:pPr>
              <w:pStyle w:val="2"/>
              <w:spacing w:before="0" w:after="0" w:line="420" w:lineRule="exact"/>
              <w:ind w:right="0" w:firstLine="420" w:firstLineChars="200"/>
              <w:rPr>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本项目危废仓库与《危险废物贮存污染控制标准》（GB18597-2023）的相符性分析见下表。</w:t>
            </w:r>
          </w:p>
          <w:p w14:paraId="6F127DBD">
            <w:pPr>
              <w:jc w:val="center"/>
              <w:rPr>
                <w:b/>
                <w:bCs/>
                <w:color w:val="000000" w:themeColor="text1"/>
                <w:sz w:val="24"/>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表4.4-6  与相关文件的相符性分析</w:t>
            </w:r>
          </w:p>
          <w:tbl>
            <w:tblPr>
              <w:tblStyle w:val="2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43"/>
              <w:gridCol w:w="636"/>
              <w:gridCol w:w="3392"/>
              <w:gridCol w:w="2539"/>
            </w:tblGrid>
            <w:tr w14:paraId="19FBC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6" w:type="pct"/>
                  <w:gridSpan w:val="2"/>
                  <w:vAlign w:val="center"/>
                </w:tcPr>
                <w:p w14:paraId="40AB88B3">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文件名称</w:t>
                  </w:r>
                </w:p>
              </w:tc>
              <w:tc>
                <w:tcPr>
                  <w:tcW w:w="2255" w:type="pct"/>
                  <w:vAlign w:val="center"/>
                </w:tcPr>
                <w:p w14:paraId="1B482D44">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具体要求</w:t>
                  </w:r>
                </w:p>
              </w:tc>
              <w:tc>
                <w:tcPr>
                  <w:tcW w:w="1628" w:type="pct"/>
                  <w:vAlign w:val="center"/>
                </w:tcPr>
                <w:p w14:paraId="7F437871">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本项目拟采取污染防治措施</w:t>
                  </w:r>
                </w:p>
              </w:tc>
            </w:tr>
            <w:tr w14:paraId="136C2D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restart"/>
                  <w:vAlign w:val="center"/>
                </w:tcPr>
                <w:p w14:paraId="4F120DC7">
                  <w:pPr>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《危险废物贮存污染控制标准》（GB18597-2023）</w:t>
                  </w:r>
                </w:p>
              </w:tc>
              <w:tc>
                <w:tcPr>
                  <w:tcW w:w="384" w:type="pct"/>
                  <w:vMerge w:val="restart"/>
                  <w:vAlign w:val="center"/>
                </w:tcPr>
                <w:p w14:paraId="0961BFE8">
                  <w:pPr>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一、总体要求</w:t>
                  </w:r>
                </w:p>
              </w:tc>
              <w:tc>
                <w:tcPr>
                  <w:tcW w:w="2255" w:type="pct"/>
                  <w:vAlign w:val="center"/>
                </w:tcPr>
                <w:p w14:paraId="125665E6">
                  <w:pP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1.产生、收集、贮存、利用、处置危险废物的单位应建造危险废物贮存设施或设置贮存场所，并根据需要选择贮存设施类型。</w:t>
                  </w:r>
                </w:p>
              </w:tc>
              <w:tc>
                <w:tcPr>
                  <w:tcW w:w="1628" w:type="pct"/>
                  <w:vMerge w:val="restart"/>
                  <w:vAlign w:val="center"/>
                </w:tcPr>
                <w:p w14:paraId="34A4BCBC">
                  <w:pPr>
                    <w:rPr>
                      <w:b/>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根据本项目产生的危险废物的类别、数量、形态、物理化学性质和环境风险等因素，</w:t>
                  </w:r>
                  <w:r>
                    <w:rPr>
                      <w:bCs/>
                      <w:color w:val="000000" w:themeColor="text1"/>
                      <w:szCs w:val="21"/>
                      <w:highlight w:val="none"/>
                      <w14:textFill>
                        <w14:solidFill>
                          <w14:schemeClr w14:val="tx1"/>
                        </w14:solidFill>
                      </w14:textFill>
                    </w:rPr>
                    <w:t>本项目</w:t>
                  </w:r>
                  <w:r>
                    <w:rPr>
                      <w:rFonts w:hint="eastAsia"/>
                      <w:bCs/>
                      <w:color w:val="000000" w:themeColor="text1"/>
                      <w:szCs w:val="21"/>
                      <w:highlight w:val="none"/>
                      <w14:textFill>
                        <w14:solidFill>
                          <w14:schemeClr w14:val="tx1"/>
                        </w14:solidFill>
                      </w14:textFill>
                    </w:rPr>
                    <w:t>将新建10</w:t>
                  </w:r>
                  <w:r>
                    <w:rPr>
                      <w:bCs/>
                      <w:color w:val="000000" w:themeColor="text1"/>
                      <w:szCs w:val="21"/>
                      <w:highlight w:val="none"/>
                      <w14:textFill>
                        <w14:solidFill>
                          <w14:schemeClr w14:val="tx1"/>
                        </w14:solidFill>
                      </w14:textFill>
                    </w:rPr>
                    <w:t>m</w:t>
                  </w:r>
                  <w:r>
                    <w:rPr>
                      <w:bCs/>
                      <w:color w:val="000000" w:themeColor="text1"/>
                      <w:szCs w:val="21"/>
                      <w:highlight w:val="none"/>
                      <w:vertAlign w:val="superscript"/>
                      <w14:textFill>
                        <w14:solidFill>
                          <w14:schemeClr w14:val="tx1"/>
                        </w14:solidFill>
                      </w14:textFill>
                    </w:rPr>
                    <w:t>2</w:t>
                  </w:r>
                  <w:r>
                    <w:rPr>
                      <w:bCs/>
                      <w:color w:val="000000" w:themeColor="text1"/>
                      <w:szCs w:val="21"/>
                      <w:highlight w:val="none"/>
                      <w14:textFill>
                        <w14:solidFill>
                          <w14:schemeClr w14:val="tx1"/>
                        </w14:solidFill>
                      </w14:textFill>
                    </w:rPr>
                    <w:t>危废</w:t>
                  </w:r>
                  <w:r>
                    <w:rPr>
                      <w:rFonts w:hint="eastAsia"/>
                      <w:bCs/>
                      <w:color w:val="000000" w:themeColor="text1"/>
                      <w:szCs w:val="21"/>
                      <w:highlight w:val="none"/>
                      <w14:textFill>
                        <w14:solidFill>
                          <w14:schemeClr w14:val="tx1"/>
                        </w14:solidFill>
                      </w14:textFill>
                    </w:rPr>
                    <w:t>仓库</w:t>
                  </w:r>
                  <w:r>
                    <w:rPr>
                      <w:bCs/>
                      <w:color w:val="000000" w:themeColor="text1"/>
                      <w:szCs w:val="21"/>
                      <w:highlight w:val="none"/>
                      <w14:textFill>
                        <w14:solidFill>
                          <w14:schemeClr w14:val="tx1"/>
                        </w14:solidFill>
                      </w14:textFill>
                    </w:rPr>
                    <w:t>，专门用来贮存</w:t>
                  </w:r>
                  <w:r>
                    <w:rPr>
                      <w:rFonts w:hint="eastAsia"/>
                      <w:bCs/>
                      <w:color w:val="000000" w:themeColor="text1"/>
                      <w:szCs w:val="21"/>
                      <w:highlight w:val="none"/>
                      <w14:textFill>
                        <w14:solidFill>
                          <w14:schemeClr w14:val="tx1"/>
                        </w14:solidFill>
                      </w14:textFill>
                    </w:rPr>
                    <w:t>本项目产生的</w:t>
                  </w:r>
                  <w:r>
                    <w:rPr>
                      <w:bCs/>
                      <w:color w:val="000000" w:themeColor="text1"/>
                      <w:szCs w:val="21"/>
                      <w:highlight w:val="none"/>
                      <w14:textFill>
                        <w14:solidFill>
                          <w14:schemeClr w14:val="tx1"/>
                        </w14:solidFill>
                      </w14:textFill>
                    </w:rPr>
                    <w:t>危险废物</w:t>
                  </w:r>
                  <w:r>
                    <w:rPr>
                      <w:rFonts w:hint="eastAsia"/>
                      <w:bCs/>
                      <w:color w:val="000000" w:themeColor="text1"/>
                      <w:szCs w:val="21"/>
                      <w:highlight w:val="none"/>
                      <w14:textFill>
                        <w14:solidFill>
                          <w14:schemeClr w14:val="tx1"/>
                        </w14:solidFill>
                      </w14:textFill>
                    </w:rPr>
                    <w:t>。</w:t>
                  </w:r>
                </w:p>
              </w:tc>
            </w:tr>
            <w:tr w14:paraId="0E6E16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27969E6C">
                  <w:pPr>
                    <w:jc w:val="center"/>
                    <w:rPr>
                      <w:color w:val="000000" w:themeColor="text1"/>
                      <w:highlight w:val="none"/>
                      <w14:textFill>
                        <w14:solidFill>
                          <w14:schemeClr w14:val="tx1"/>
                        </w14:solidFill>
                      </w14:textFill>
                    </w:rPr>
                  </w:pPr>
                </w:p>
              </w:tc>
              <w:tc>
                <w:tcPr>
                  <w:tcW w:w="384" w:type="pct"/>
                  <w:vMerge w:val="continue"/>
                  <w:vAlign w:val="center"/>
                </w:tcPr>
                <w:p w14:paraId="4E7D83C1">
                  <w:pPr>
                    <w:jc w:val="center"/>
                    <w:rPr>
                      <w:color w:val="000000" w:themeColor="text1"/>
                      <w:highlight w:val="none"/>
                      <w14:textFill>
                        <w14:solidFill>
                          <w14:schemeClr w14:val="tx1"/>
                        </w14:solidFill>
                      </w14:textFill>
                    </w:rPr>
                  </w:pPr>
                </w:p>
              </w:tc>
              <w:tc>
                <w:tcPr>
                  <w:tcW w:w="2255" w:type="pct"/>
                  <w:vAlign w:val="center"/>
                </w:tcPr>
                <w:p w14:paraId="29C02690">
                  <w:pP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2.贮存危险废物应根据危险废物的类别、数量、形态、物理化学性质和环境风险等因素，确定贮存设施或场所类型和规模。</w:t>
                  </w:r>
                </w:p>
              </w:tc>
              <w:tc>
                <w:tcPr>
                  <w:tcW w:w="1628" w:type="pct"/>
                  <w:vMerge w:val="continue"/>
                  <w:vAlign w:val="center"/>
                </w:tcPr>
                <w:p w14:paraId="13CA36F1">
                  <w:pPr>
                    <w:rPr>
                      <w:bCs/>
                      <w:color w:val="000000" w:themeColor="text1"/>
                      <w:szCs w:val="21"/>
                      <w:highlight w:val="none"/>
                      <w14:textFill>
                        <w14:solidFill>
                          <w14:schemeClr w14:val="tx1"/>
                        </w14:solidFill>
                      </w14:textFill>
                    </w:rPr>
                  </w:pPr>
                </w:p>
              </w:tc>
            </w:tr>
            <w:tr w14:paraId="36AC2C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40B065A9">
                  <w:pPr>
                    <w:jc w:val="center"/>
                    <w:rPr>
                      <w:bCs/>
                      <w:color w:val="000000" w:themeColor="text1"/>
                      <w:szCs w:val="21"/>
                      <w:highlight w:val="none"/>
                      <w14:textFill>
                        <w14:solidFill>
                          <w14:schemeClr w14:val="tx1"/>
                        </w14:solidFill>
                      </w14:textFill>
                    </w:rPr>
                  </w:pPr>
                </w:p>
              </w:tc>
              <w:tc>
                <w:tcPr>
                  <w:tcW w:w="384" w:type="pct"/>
                  <w:vMerge w:val="continue"/>
                  <w:vAlign w:val="center"/>
                </w:tcPr>
                <w:p w14:paraId="5EC2C50D">
                  <w:pPr>
                    <w:jc w:val="center"/>
                    <w:rPr>
                      <w:bCs/>
                      <w:color w:val="000000" w:themeColor="text1"/>
                      <w:szCs w:val="21"/>
                      <w:highlight w:val="none"/>
                      <w14:textFill>
                        <w14:solidFill>
                          <w14:schemeClr w14:val="tx1"/>
                        </w14:solidFill>
                      </w14:textFill>
                    </w:rPr>
                  </w:pPr>
                </w:p>
              </w:tc>
              <w:tc>
                <w:tcPr>
                  <w:tcW w:w="2255" w:type="pct"/>
                  <w:vAlign w:val="center"/>
                </w:tcPr>
                <w:p w14:paraId="39851C05">
                  <w:pP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3.贮存危险废物应根据危险废物的类别、形态、物理化学性质和污染防治要求进行分类贮存，且应避免危险废物与不相容的物质或材料接触。</w:t>
                  </w:r>
                </w:p>
              </w:tc>
              <w:tc>
                <w:tcPr>
                  <w:tcW w:w="1628" w:type="pct"/>
                  <w:vAlign w:val="center"/>
                </w:tcPr>
                <w:p w14:paraId="6F7F497E">
                  <w:pP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本项目</w:t>
                  </w:r>
                  <w:r>
                    <w:rPr>
                      <w:rFonts w:hint="eastAsia"/>
                      <w:bCs/>
                      <w:color w:val="000000" w:themeColor="text1"/>
                      <w:szCs w:val="21"/>
                      <w:highlight w:val="none"/>
                      <w14:textFill>
                        <w14:solidFill>
                          <w14:schemeClr w14:val="tx1"/>
                        </w14:solidFill>
                      </w14:textFill>
                    </w:rPr>
                    <w:t>建成后将根据各危险废物的类别、形态、物理化学性质和污染防治要求进行分类贮存，避免危险废物与不相容的物质或材料接触。</w:t>
                  </w:r>
                </w:p>
              </w:tc>
            </w:tr>
            <w:tr w14:paraId="56BE3E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2709D7A7">
                  <w:pPr>
                    <w:jc w:val="center"/>
                    <w:rPr>
                      <w:bCs/>
                      <w:color w:val="000000" w:themeColor="text1"/>
                      <w:szCs w:val="21"/>
                      <w:highlight w:val="none"/>
                      <w14:textFill>
                        <w14:solidFill>
                          <w14:schemeClr w14:val="tx1"/>
                        </w14:solidFill>
                      </w14:textFill>
                    </w:rPr>
                  </w:pPr>
                </w:p>
              </w:tc>
              <w:tc>
                <w:tcPr>
                  <w:tcW w:w="384" w:type="pct"/>
                  <w:vMerge w:val="continue"/>
                  <w:vAlign w:val="center"/>
                </w:tcPr>
                <w:p w14:paraId="545A64FB">
                  <w:pPr>
                    <w:jc w:val="center"/>
                    <w:rPr>
                      <w:bCs/>
                      <w:color w:val="000000" w:themeColor="text1"/>
                      <w:szCs w:val="21"/>
                      <w:highlight w:val="none"/>
                      <w14:textFill>
                        <w14:solidFill>
                          <w14:schemeClr w14:val="tx1"/>
                        </w14:solidFill>
                      </w14:textFill>
                    </w:rPr>
                  </w:pPr>
                </w:p>
              </w:tc>
              <w:tc>
                <w:tcPr>
                  <w:tcW w:w="2255" w:type="pct"/>
                  <w:vAlign w:val="center"/>
                </w:tcPr>
                <w:p w14:paraId="25D352B4">
                  <w:pP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4.贮存危险废物应根据危险废物的形态、物理化学性质、包装形式和污染物迁移途径，采取措施减少渗滤液及其衍生废物、渗漏的液态废物（简称渗漏液）、粉尘、VOCs、酸雾、有毒有害大气污染物和刺激性气味气体等污染物的产生，防止其污染环境。</w:t>
                  </w:r>
                </w:p>
              </w:tc>
              <w:tc>
                <w:tcPr>
                  <w:tcW w:w="1628" w:type="pct"/>
                  <w:vAlign w:val="center"/>
                </w:tcPr>
                <w:p w14:paraId="04AB5FC7">
                  <w:pP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本项目危废</w:t>
                  </w:r>
                  <w:r>
                    <w:rPr>
                      <w:rFonts w:hint="eastAsia"/>
                      <w:bCs/>
                      <w:color w:val="000000" w:themeColor="text1"/>
                      <w:szCs w:val="21"/>
                      <w:highlight w:val="none"/>
                      <w14:textFill>
                        <w14:solidFill>
                          <w14:schemeClr w14:val="tx1"/>
                        </w14:solidFill>
                      </w14:textFill>
                    </w:rPr>
                    <w:t>仓库</w:t>
                  </w:r>
                  <w:r>
                    <w:rPr>
                      <w:bCs/>
                      <w:color w:val="000000" w:themeColor="text1"/>
                      <w:szCs w:val="21"/>
                      <w:highlight w:val="none"/>
                      <w14:textFill>
                        <w14:solidFill>
                          <w14:schemeClr w14:val="tx1"/>
                        </w14:solidFill>
                      </w14:textFill>
                    </w:rPr>
                    <w:t>拟设置基础防渗层，铺设等效2mm高密度聚乙烯材料（渗透系数</w:t>
                  </w:r>
                  <w:r>
                    <w:rPr>
                      <w:rFonts w:hint="eastAsia" w:ascii="宋体" w:hAnsi="宋体" w:cs="宋体"/>
                      <w:bCs/>
                      <w:color w:val="000000" w:themeColor="text1"/>
                      <w:szCs w:val="21"/>
                      <w:highlight w:val="none"/>
                      <w14:textFill>
                        <w14:solidFill>
                          <w14:schemeClr w14:val="tx1"/>
                        </w14:solidFill>
                      </w14:textFill>
                    </w:rPr>
                    <w:t>≤</w:t>
                  </w:r>
                  <w:r>
                    <w:rPr>
                      <w:bCs/>
                      <w:color w:val="000000" w:themeColor="text1"/>
                      <w:szCs w:val="21"/>
                      <w:highlight w:val="none"/>
                      <w14:textFill>
                        <w14:solidFill>
                          <w14:schemeClr w14:val="tx1"/>
                        </w14:solidFill>
                      </w14:textFill>
                    </w:rPr>
                    <w:t>10</w:t>
                  </w:r>
                  <w:r>
                    <w:rPr>
                      <w:bCs/>
                      <w:color w:val="000000" w:themeColor="text1"/>
                      <w:szCs w:val="21"/>
                      <w:highlight w:val="none"/>
                      <w:vertAlign w:val="superscript"/>
                      <w14:textFill>
                        <w14:solidFill>
                          <w14:schemeClr w14:val="tx1"/>
                        </w14:solidFill>
                      </w14:textFill>
                    </w:rPr>
                    <w:t>-10</w:t>
                  </w:r>
                  <w:r>
                    <w:rPr>
                      <w:bCs/>
                      <w:color w:val="000000" w:themeColor="text1"/>
                      <w:szCs w:val="21"/>
                      <w:highlight w:val="none"/>
                      <w14:textFill>
                        <w14:solidFill>
                          <w14:schemeClr w14:val="tx1"/>
                        </w14:solidFill>
                      </w14:textFill>
                    </w:rPr>
                    <w:t>cm/s），满足防渗要求</w:t>
                  </w:r>
                  <w:r>
                    <w:rPr>
                      <w:rFonts w:hint="eastAsia"/>
                      <w:bCs/>
                      <w:color w:val="000000" w:themeColor="text1"/>
                      <w:szCs w:val="21"/>
                      <w:highlight w:val="none"/>
                      <w14:textFill>
                        <w14:solidFill>
                          <w14:schemeClr w14:val="tx1"/>
                        </w14:solidFill>
                      </w14:textFill>
                    </w:rPr>
                    <w:t>。</w:t>
                  </w:r>
                </w:p>
                <w:p w14:paraId="609FB0AF">
                  <w:pP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本项目不涉及排出有毒气体的危险废物</w:t>
                  </w:r>
                  <w:r>
                    <w:rPr>
                      <w:rFonts w:hint="eastAsia"/>
                      <w:bCs/>
                      <w:color w:val="000000" w:themeColor="text1"/>
                      <w:szCs w:val="21"/>
                      <w:highlight w:val="none"/>
                      <w14:textFill>
                        <w14:solidFill>
                          <w14:schemeClr w14:val="tx1"/>
                        </w14:solidFill>
                      </w14:textFill>
                    </w:rPr>
                    <w:t>。</w:t>
                  </w:r>
                </w:p>
              </w:tc>
            </w:tr>
            <w:tr w14:paraId="1EBCC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5C91CC94">
                  <w:pPr>
                    <w:jc w:val="center"/>
                    <w:rPr>
                      <w:bCs/>
                      <w:color w:val="000000" w:themeColor="text1"/>
                      <w:szCs w:val="21"/>
                      <w:highlight w:val="none"/>
                      <w14:textFill>
                        <w14:solidFill>
                          <w14:schemeClr w14:val="tx1"/>
                        </w14:solidFill>
                      </w14:textFill>
                    </w:rPr>
                  </w:pPr>
                </w:p>
              </w:tc>
              <w:tc>
                <w:tcPr>
                  <w:tcW w:w="384" w:type="pct"/>
                  <w:vMerge w:val="continue"/>
                  <w:vAlign w:val="center"/>
                </w:tcPr>
                <w:p w14:paraId="76C4779E">
                  <w:pPr>
                    <w:jc w:val="center"/>
                    <w:rPr>
                      <w:bCs/>
                      <w:color w:val="000000" w:themeColor="text1"/>
                      <w:szCs w:val="21"/>
                      <w:highlight w:val="none"/>
                      <w14:textFill>
                        <w14:solidFill>
                          <w14:schemeClr w14:val="tx1"/>
                        </w14:solidFill>
                      </w14:textFill>
                    </w:rPr>
                  </w:pPr>
                </w:p>
              </w:tc>
              <w:tc>
                <w:tcPr>
                  <w:tcW w:w="2255" w:type="pct"/>
                  <w:vAlign w:val="center"/>
                </w:tcPr>
                <w:p w14:paraId="5F4175D0">
                  <w:pP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5.危险废物贮存过程产生的液态废物和固态废物应分类收集，按其环境管理要求妥善处理。</w:t>
                  </w:r>
                </w:p>
              </w:tc>
              <w:tc>
                <w:tcPr>
                  <w:tcW w:w="1628" w:type="pct"/>
                  <w:vAlign w:val="center"/>
                </w:tcPr>
                <w:p w14:paraId="370F2EBF">
                  <w:pP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本项目各类危险废物均分类收集，贮存于危废仓库。</w:t>
                  </w:r>
                </w:p>
              </w:tc>
            </w:tr>
            <w:tr w14:paraId="50165B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3BB5C5ED">
                  <w:pPr>
                    <w:jc w:val="center"/>
                    <w:rPr>
                      <w:bCs/>
                      <w:color w:val="000000" w:themeColor="text1"/>
                      <w:szCs w:val="21"/>
                      <w:highlight w:val="none"/>
                      <w14:textFill>
                        <w14:solidFill>
                          <w14:schemeClr w14:val="tx1"/>
                        </w14:solidFill>
                      </w14:textFill>
                    </w:rPr>
                  </w:pPr>
                </w:p>
              </w:tc>
              <w:tc>
                <w:tcPr>
                  <w:tcW w:w="384" w:type="pct"/>
                  <w:vMerge w:val="continue"/>
                  <w:vAlign w:val="center"/>
                </w:tcPr>
                <w:p w14:paraId="0ECA8F0E">
                  <w:pPr>
                    <w:jc w:val="center"/>
                    <w:rPr>
                      <w:bCs/>
                      <w:color w:val="000000" w:themeColor="text1"/>
                      <w:szCs w:val="21"/>
                      <w:highlight w:val="none"/>
                      <w14:textFill>
                        <w14:solidFill>
                          <w14:schemeClr w14:val="tx1"/>
                        </w14:solidFill>
                      </w14:textFill>
                    </w:rPr>
                  </w:pPr>
                </w:p>
              </w:tc>
              <w:tc>
                <w:tcPr>
                  <w:tcW w:w="2255" w:type="pct"/>
                  <w:vAlign w:val="center"/>
                </w:tcPr>
                <w:p w14:paraId="08FB19CF">
                  <w:pP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6.贮存设施或场所、容器和包装物应按HJ 1276要求设置危险废物贮存设施或场所标志、危险废物贮存分区标志和危险废物标签等危险废物识别标志。</w:t>
                  </w:r>
                </w:p>
              </w:tc>
              <w:tc>
                <w:tcPr>
                  <w:tcW w:w="1628" w:type="pct"/>
                  <w:vAlign w:val="center"/>
                </w:tcPr>
                <w:p w14:paraId="4C4FAB6B">
                  <w:pP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本项目拟在危废仓库门口明显位置设置危废仓库标志，在危废仓库内部设置贮存分区标志，</w:t>
                  </w:r>
                  <w:r>
                    <w:rPr>
                      <w:color w:val="000000" w:themeColor="text1"/>
                      <w:szCs w:val="21"/>
                      <w:highlight w:val="none"/>
                      <w14:textFill>
                        <w14:solidFill>
                          <w14:schemeClr w14:val="tx1"/>
                        </w14:solidFill>
                      </w14:textFill>
                    </w:rPr>
                    <w:t>在包装明显位置附上危险废物标签</w:t>
                  </w:r>
                  <w:r>
                    <w:rPr>
                      <w:rFonts w:hint="eastAsia"/>
                      <w:color w:val="000000" w:themeColor="text1"/>
                      <w:szCs w:val="21"/>
                      <w:highlight w:val="none"/>
                      <w14:textFill>
                        <w14:solidFill>
                          <w14:schemeClr w14:val="tx1"/>
                        </w14:solidFill>
                      </w14:textFill>
                    </w:rPr>
                    <w:t>。</w:t>
                  </w:r>
                </w:p>
              </w:tc>
            </w:tr>
            <w:tr w14:paraId="5D01F8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47D9F1BF">
                  <w:pPr>
                    <w:jc w:val="center"/>
                    <w:rPr>
                      <w:bCs/>
                      <w:color w:val="000000" w:themeColor="text1"/>
                      <w:szCs w:val="21"/>
                      <w:highlight w:val="none"/>
                      <w14:textFill>
                        <w14:solidFill>
                          <w14:schemeClr w14:val="tx1"/>
                        </w14:solidFill>
                      </w14:textFill>
                    </w:rPr>
                  </w:pPr>
                </w:p>
              </w:tc>
              <w:tc>
                <w:tcPr>
                  <w:tcW w:w="384" w:type="pct"/>
                  <w:vMerge w:val="continue"/>
                  <w:vAlign w:val="center"/>
                </w:tcPr>
                <w:p w14:paraId="4ADED263">
                  <w:pPr>
                    <w:jc w:val="center"/>
                    <w:rPr>
                      <w:bCs/>
                      <w:color w:val="000000" w:themeColor="text1"/>
                      <w:szCs w:val="21"/>
                      <w:highlight w:val="none"/>
                      <w14:textFill>
                        <w14:solidFill>
                          <w14:schemeClr w14:val="tx1"/>
                        </w14:solidFill>
                      </w14:textFill>
                    </w:rPr>
                  </w:pPr>
                </w:p>
              </w:tc>
              <w:tc>
                <w:tcPr>
                  <w:tcW w:w="2255" w:type="pct"/>
                  <w:vAlign w:val="center"/>
                </w:tcPr>
                <w:p w14:paraId="4A88DB04">
                  <w:pP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7.HJ1259规定的危险废物环境重点监管单位，应采用电子地磅、电子标签、电子管理台账等技术手段对危险废物贮存过程进行信息化管理，确保数据完整、真实、准确；采用视频监控的应确保监控画面清晰，视频记录保存时间至少为3个月。</w:t>
                  </w:r>
                </w:p>
              </w:tc>
              <w:tc>
                <w:tcPr>
                  <w:tcW w:w="1628" w:type="pct"/>
                  <w:vAlign w:val="center"/>
                </w:tcPr>
                <w:p w14:paraId="7EEB530D">
                  <w:pP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本项目不属于HJ1259规定的危险废物环境重点监管单位。</w:t>
                  </w:r>
                </w:p>
              </w:tc>
            </w:tr>
            <w:tr w14:paraId="0AEF52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6215DB15">
                  <w:pPr>
                    <w:jc w:val="center"/>
                    <w:rPr>
                      <w:bCs/>
                      <w:color w:val="000000" w:themeColor="text1"/>
                      <w:szCs w:val="21"/>
                      <w:highlight w:val="none"/>
                      <w14:textFill>
                        <w14:solidFill>
                          <w14:schemeClr w14:val="tx1"/>
                        </w14:solidFill>
                      </w14:textFill>
                    </w:rPr>
                  </w:pPr>
                </w:p>
              </w:tc>
              <w:tc>
                <w:tcPr>
                  <w:tcW w:w="384" w:type="pct"/>
                  <w:vMerge w:val="continue"/>
                  <w:vAlign w:val="center"/>
                </w:tcPr>
                <w:p w14:paraId="666D29B8">
                  <w:pPr>
                    <w:jc w:val="center"/>
                    <w:rPr>
                      <w:bCs/>
                      <w:color w:val="000000" w:themeColor="text1"/>
                      <w:szCs w:val="21"/>
                      <w:highlight w:val="none"/>
                      <w14:textFill>
                        <w14:solidFill>
                          <w14:schemeClr w14:val="tx1"/>
                        </w14:solidFill>
                      </w14:textFill>
                    </w:rPr>
                  </w:pPr>
                </w:p>
              </w:tc>
              <w:tc>
                <w:tcPr>
                  <w:tcW w:w="2255" w:type="pct"/>
                  <w:vAlign w:val="center"/>
                </w:tcPr>
                <w:p w14:paraId="56C383C2">
                  <w:pP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8.贮存设施退役时，所有者或运营者应依法履行环境保护责任，退役前应妥善处理处置贮存设施内剩余的危险废物，并对贮存设施进行清理，消除污染；还应依据土壤污染防治相关法律法规履行场地环境风险防控责任。</w:t>
                  </w:r>
                </w:p>
              </w:tc>
              <w:tc>
                <w:tcPr>
                  <w:tcW w:w="1628" w:type="pct"/>
                  <w:vAlign w:val="center"/>
                </w:tcPr>
                <w:p w14:paraId="50E41B28">
                  <w:pP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本项目危废仓库退役时，将妥善处理处置贮存设施内剩余的危险废物，并对贮存设施进行清理，消除污染，依据土壤污染防治相关法律法规履行场地环境风险防控责任。</w:t>
                  </w:r>
                </w:p>
              </w:tc>
            </w:tr>
            <w:tr w14:paraId="00C6C3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731" w:type="pct"/>
                  <w:vMerge w:val="continue"/>
                  <w:vAlign w:val="center"/>
                </w:tcPr>
                <w:p w14:paraId="2C55406E">
                  <w:pPr>
                    <w:jc w:val="center"/>
                    <w:rPr>
                      <w:bCs/>
                      <w:color w:val="000000" w:themeColor="text1"/>
                      <w:szCs w:val="21"/>
                      <w:highlight w:val="none"/>
                      <w14:textFill>
                        <w14:solidFill>
                          <w14:schemeClr w14:val="tx1"/>
                        </w14:solidFill>
                      </w14:textFill>
                    </w:rPr>
                  </w:pPr>
                </w:p>
              </w:tc>
              <w:tc>
                <w:tcPr>
                  <w:tcW w:w="384" w:type="pct"/>
                  <w:vMerge w:val="continue"/>
                  <w:vAlign w:val="center"/>
                </w:tcPr>
                <w:p w14:paraId="5068D1EB">
                  <w:pPr>
                    <w:jc w:val="center"/>
                    <w:rPr>
                      <w:bCs/>
                      <w:color w:val="000000" w:themeColor="text1"/>
                      <w:szCs w:val="21"/>
                      <w:highlight w:val="none"/>
                      <w14:textFill>
                        <w14:solidFill>
                          <w14:schemeClr w14:val="tx1"/>
                        </w14:solidFill>
                      </w14:textFill>
                    </w:rPr>
                  </w:pPr>
                </w:p>
              </w:tc>
              <w:tc>
                <w:tcPr>
                  <w:tcW w:w="2255" w:type="pct"/>
                  <w:vAlign w:val="center"/>
                </w:tcPr>
                <w:p w14:paraId="2C05C125">
                  <w:pP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9.在常温常压下易爆、易燃及排出有毒气体的危险废物应进行预处理，使之稳定后贮存，否则应按易爆、易燃危险品贮存。</w:t>
                  </w:r>
                </w:p>
              </w:tc>
              <w:tc>
                <w:tcPr>
                  <w:tcW w:w="1628" w:type="pct"/>
                  <w:vAlign w:val="center"/>
                </w:tcPr>
                <w:p w14:paraId="63A4A564">
                  <w:pP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本项目</w:t>
                  </w:r>
                  <w:r>
                    <w:rPr>
                      <w:rFonts w:hint="eastAsia"/>
                      <w:bCs/>
                      <w:color w:val="000000" w:themeColor="text1"/>
                      <w:szCs w:val="21"/>
                      <w:highlight w:val="none"/>
                      <w14:textFill>
                        <w14:solidFill>
                          <w14:schemeClr w14:val="tx1"/>
                        </w14:solidFill>
                      </w14:textFill>
                    </w:rPr>
                    <w:t>危险废物待稳定后贮存，本项目</w:t>
                  </w:r>
                  <w:r>
                    <w:rPr>
                      <w:bCs/>
                      <w:color w:val="000000" w:themeColor="text1"/>
                      <w:szCs w:val="21"/>
                      <w:highlight w:val="none"/>
                      <w14:textFill>
                        <w14:solidFill>
                          <w14:schemeClr w14:val="tx1"/>
                        </w14:solidFill>
                      </w14:textFill>
                    </w:rPr>
                    <w:t>不涉及排出有毒气体的危险废物</w:t>
                  </w:r>
                  <w:r>
                    <w:rPr>
                      <w:rFonts w:hint="eastAsia"/>
                      <w:bCs/>
                      <w:color w:val="000000" w:themeColor="text1"/>
                      <w:szCs w:val="21"/>
                      <w:highlight w:val="none"/>
                      <w14:textFill>
                        <w14:solidFill>
                          <w14:schemeClr w14:val="tx1"/>
                        </w14:solidFill>
                      </w14:textFill>
                    </w:rPr>
                    <w:t>。</w:t>
                  </w:r>
                </w:p>
              </w:tc>
            </w:tr>
            <w:tr w14:paraId="0F004C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708DB21C">
                  <w:pPr>
                    <w:jc w:val="center"/>
                    <w:rPr>
                      <w:bCs/>
                      <w:color w:val="000000" w:themeColor="text1"/>
                      <w:szCs w:val="21"/>
                      <w:highlight w:val="none"/>
                      <w14:textFill>
                        <w14:solidFill>
                          <w14:schemeClr w14:val="tx1"/>
                        </w14:solidFill>
                      </w14:textFill>
                    </w:rPr>
                  </w:pPr>
                </w:p>
              </w:tc>
              <w:tc>
                <w:tcPr>
                  <w:tcW w:w="384" w:type="pct"/>
                  <w:vMerge w:val="continue"/>
                  <w:vAlign w:val="center"/>
                </w:tcPr>
                <w:p w14:paraId="47BC85E2">
                  <w:pPr>
                    <w:jc w:val="center"/>
                    <w:rPr>
                      <w:bCs/>
                      <w:color w:val="000000" w:themeColor="text1"/>
                      <w:szCs w:val="21"/>
                      <w:highlight w:val="none"/>
                      <w14:textFill>
                        <w14:solidFill>
                          <w14:schemeClr w14:val="tx1"/>
                        </w14:solidFill>
                      </w14:textFill>
                    </w:rPr>
                  </w:pPr>
                </w:p>
              </w:tc>
              <w:tc>
                <w:tcPr>
                  <w:tcW w:w="2255" w:type="pct"/>
                  <w:vAlign w:val="center"/>
                </w:tcPr>
                <w:p w14:paraId="32837C39">
                  <w:pP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10.危险废物贮存除应满足环境保护相关要求外，还应执行国家安全生产、职业健康、交通运输、消防等法律法规和标准的相关要求。</w:t>
                  </w:r>
                </w:p>
              </w:tc>
              <w:tc>
                <w:tcPr>
                  <w:tcW w:w="1628" w:type="pct"/>
                  <w:vAlign w:val="center"/>
                </w:tcPr>
                <w:p w14:paraId="62F91F04">
                  <w:pP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本项目危废仓库建设将满足环境保护相关要求以及国家安全生产、职业健康、交通运输、消防等法律法规和标准的相关要求</w:t>
                  </w:r>
                </w:p>
              </w:tc>
            </w:tr>
            <w:tr w14:paraId="19A05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11A814B8">
                  <w:pPr>
                    <w:jc w:val="center"/>
                    <w:rPr>
                      <w:b/>
                      <w:color w:val="000000" w:themeColor="text1"/>
                      <w:szCs w:val="21"/>
                      <w:highlight w:val="none"/>
                      <w14:textFill>
                        <w14:solidFill>
                          <w14:schemeClr w14:val="tx1"/>
                        </w14:solidFill>
                      </w14:textFill>
                    </w:rPr>
                  </w:pPr>
                </w:p>
              </w:tc>
              <w:tc>
                <w:tcPr>
                  <w:tcW w:w="384" w:type="pct"/>
                  <w:vMerge w:val="restart"/>
                  <w:vAlign w:val="center"/>
                </w:tcPr>
                <w:p w14:paraId="6F1ABBAE">
                  <w:pPr>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二、贮存设施选址要求</w:t>
                  </w:r>
                </w:p>
              </w:tc>
              <w:tc>
                <w:tcPr>
                  <w:tcW w:w="2255" w:type="pct"/>
                  <w:vAlign w:val="center"/>
                </w:tcPr>
                <w:p w14:paraId="6DCBD997">
                  <w:pP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1.贮存设施选址应满足生态环境保护法律法规、规划和“三线一单”生态环境分区管控的要求，建设项目应依法进行环境影响评价。</w:t>
                  </w:r>
                </w:p>
              </w:tc>
              <w:tc>
                <w:tcPr>
                  <w:tcW w:w="1628" w:type="pct"/>
                  <w:vAlign w:val="center"/>
                </w:tcPr>
                <w:p w14:paraId="3C4B75F3">
                  <w:pPr>
                    <w:rPr>
                      <w:b/>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本项目危废仓库选址满足生态环境保护法律法规、规划和“三线一单”生态环境分区管控的要求。</w:t>
                  </w:r>
                </w:p>
              </w:tc>
            </w:tr>
            <w:tr w14:paraId="1BB841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0DDD82CA">
                  <w:pPr>
                    <w:jc w:val="center"/>
                    <w:rPr>
                      <w:color w:val="000000" w:themeColor="text1"/>
                      <w14:textFill>
                        <w14:solidFill>
                          <w14:schemeClr w14:val="tx1"/>
                        </w14:solidFill>
                      </w14:textFill>
                    </w:rPr>
                  </w:pPr>
                </w:p>
              </w:tc>
              <w:tc>
                <w:tcPr>
                  <w:tcW w:w="384" w:type="pct"/>
                  <w:vMerge w:val="continue"/>
                  <w:vAlign w:val="center"/>
                </w:tcPr>
                <w:p w14:paraId="321D36BC">
                  <w:pPr>
                    <w:jc w:val="center"/>
                    <w:rPr>
                      <w:color w:val="000000" w:themeColor="text1"/>
                      <w14:textFill>
                        <w14:solidFill>
                          <w14:schemeClr w14:val="tx1"/>
                        </w14:solidFill>
                      </w14:textFill>
                    </w:rPr>
                  </w:pPr>
                </w:p>
              </w:tc>
              <w:tc>
                <w:tcPr>
                  <w:tcW w:w="2255" w:type="pct"/>
                  <w:vAlign w:val="center"/>
                </w:tcPr>
                <w:p w14:paraId="70BEEB50">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2.集中贮存设施不应选在生态保护红线区域、永久基本农田和其他需要特别保护的区域内，不应建在溶洞区或易遭受洪水、滑坡、泥石流、潮汐等严重自然灾害影响的地区。</w:t>
                  </w:r>
                </w:p>
              </w:tc>
              <w:tc>
                <w:tcPr>
                  <w:tcW w:w="1628" w:type="pct"/>
                  <w:vAlign w:val="center"/>
                </w:tcPr>
                <w:p w14:paraId="595E86D8">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本项目危废仓库选址不在生态保护红线区域、永久基本农田和其他需要特别保护的区域内，不在溶洞区或易遭受洪水、滑坡、泥石流、潮汐等严重自然灾害影响的地区。</w:t>
                  </w:r>
                </w:p>
              </w:tc>
            </w:tr>
            <w:tr w14:paraId="5172AE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1A61C09C">
                  <w:pPr>
                    <w:jc w:val="center"/>
                    <w:rPr>
                      <w:bCs/>
                      <w:color w:val="000000" w:themeColor="text1"/>
                      <w:szCs w:val="21"/>
                      <w14:textFill>
                        <w14:solidFill>
                          <w14:schemeClr w14:val="tx1"/>
                        </w14:solidFill>
                      </w14:textFill>
                    </w:rPr>
                  </w:pPr>
                </w:p>
              </w:tc>
              <w:tc>
                <w:tcPr>
                  <w:tcW w:w="384" w:type="pct"/>
                  <w:vMerge w:val="continue"/>
                  <w:vAlign w:val="center"/>
                </w:tcPr>
                <w:p w14:paraId="1573C878">
                  <w:pPr>
                    <w:jc w:val="center"/>
                    <w:rPr>
                      <w:bCs/>
                      <w:color w:val="000000" w:themeColor="text1"/>
                      <w:szCs w:val="21"/>
                      <w14:textFill>
                        <w14:solidFill>
                          <w14:schemeClr w14:val="tx1"/>
                        </w14:solidFill>
                      </w14:textFill>
                    </w:rPr>
                  </w:pPr>
                </w:p>
              </w:tc>
              <w:tc>
                <w:tcPr>
                  <w:tcW w:w="2255" w:type="pct"/>
                  <w:vAlign w:val="center"/>
                </w:tcPr>
                <w:p w14:paraId="16509C96">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3.贮存设施不应选在江河、湖泊、运河、渠道、水库及其最高水位线以下的滩地和岸坡，以及法律法规规定禁止贮存危险废物的其他地点。</w:t>
                  </w:r>
                </w:p>
              </w:tc>
              <w:tc>
                <w:tcPr>
                  <w:tcW w:w="1628" w:type="pct"/>
                  <w:vAlign w:val="center"/>
                </w:tcPr>
                <w:p w14:paraId="4E65814A">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本项目危废仓库选址不在江河、湖泊、运河、渠道、水库及其最高水位线以下的滩地和岸坡，以及法律法规规定禁止贮存危险废物的其他地点。</w:t>
                  </w:r>
                </w:p>
              </w:tc>
            </w:tr>
            <w:tr w14:paraId="22462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4DD5F755">
                  <w:pPr>
                    <w:jc w:val="center"/>
                    <w:rPr>
                      <w:bCs/>
                      <w:color w:val="000000" w:themeColor="text1"/>
                      <w:szCs w:val="21"/>
                      <w14:textFill>
                        <w14:solidFill>
                          <w14:schemeClr w14:val="tx1"/>
                        </w14:solidFill>
                      </w14:textFill>
                    </w:rPr>
                  </w:pPr>
                </w:p>
              </w:tc>
              <w:tc>
                <w:tcPr>
                  <w:tcW w:w="384" w:type="pct"/>
                  <w:vMerge w:val="continue"/>
                  <w:vAlign w:val="center"/>
                </w:tcPr>
                <w:p w14:paraId="2AD777A8">
                  <w:pPr>
                    <w:jc w:val="center"/>
                    <w:rPr>
                      <w:bCs/>
                      <w:color w:val="000000" w:themeColor="text1"/>
                      <w:szCs w:val="21"/>
                      <w14:textFill>
                        <w14:solidFill>
                          <w14:schemeClr w14:val="tx1"/>
                        </w14:solidFill>
                      </w14:textFill>
                    </w:rPr>
                  </w:pPr>
                </w:p>
              </w:tc>
              <w:tc>
                <w:tcPr>
                  <w:tcW w:w="2255" w:type="pct"/>
                  <w:vAlign w:val="center"/>
                </w:tcPr>
                <w:p w14:paraId="6C1BAD6E">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4.贮存设施场址的位置以及其与周围环境敏感目标的距离应依据环境影响评价文件确定。</w:t>
                  </w:r>
                </w:p>
              </w:tc>
              <w:tc>
                <w:tcPr>
                  <w:tcW w:w="1628" w:type="pct"/>
                  <w:vAlign w:val="center"/>
                </w:tcPr>
                <w:p w14:paraId="4242B391">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本项目危废仓库周围100m内无环境敏感目标。</w:t>
                  </w:r>
                </w:p>
              </w:tc>
            </w:tr>
            <w:tr w14:paraId="2D3200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6DC5F2F1">
                  <w:pPr>
                    <w:jc w:val="center"/>
                    <w:rPr>
                      <w:bCs/>
                      <w:color w:val="000000" w:themeColor="text1"/>
                      <w:szCs w:val="21"/>
                      <w14:textFill>
                        <w14:solidFill>
                          <w14:schemeClr w14:val="tx1"/>
                        </w14:solidFill>
                      </w14:textFill>
                    </w:rPr>
                  </w:pPr>
                </w:p>
              </w:tc>
              <w:tc>
                <w:tcPr>
                  <w:tcW w:w="384" w:type="pct"/>
                  <w:vMerge w:val="restart"/>
                  <w:vAlign w:val="center"/>
                </w:tcPr>
                <w:p w14:paraId="4B4EC074">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三、贮存设施污染控制要求</w:t>
                  </w:r>
                </w:p>
              </w:tc>
              <w:tc>
                <w:tcPr>
                  <w:tcW w:w="2255" w:type="pct"/>
                  <w:vAlign w:val="center"/>
                </w:tcPr>
                <w:p w14:paraId="54E51D8E">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1.贮存设施应根据危险废物的形态、物理化学性质、包装形式和污染物迁移途径，采取必要的防风、防晒、防雨、防漏、防渗、防腐以及其他环境污染防治措施，不应露天堆放危险废物。</w:t>
                  </w:r>
                </w:p>
              </w:tc>
              <w:tc>
                <w:tcPr>
                  <w:tcW w:w="1628" w:type="pct"/>
                  <w:vAlign w:val="center"/>
                </w:tcPr>
                <w:p w14:paraId="6EC70649">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本项目危废</w:t>
                  </w:r>
                  <w:r>
                    <w:rPr>
                      <w:rFonts w:hint="eastAsia"/>
                      <w:bCs/>
                      <w:color w:val="000000" w:themeColor="text1"/>
                      <w:szCs w:val="21"/>
                      <w:highlight w:val="none"/>
                      <w14:textFill>
                        <w14:solidFill>
                          <w14:schemeClr w14:val="tx1"/>
                        </w14:solidFill>
                      </w14:textFill>
                    </w:rPr>
                    <w:t>仓库位于</w:t>
                  </w:r>
                  <w:r>
                    <w:rPr>
                      <w:rFonts w:hint="eastAsia"/>
                      <w:color w:val="000000" w:themeColor="text1"/>
                      <w:highlight w:val="none"/>
                      <w:lang w:val="en-US" w:eastAsia="zh-CN"/>
                      <w14:textFill>
                        <w14:solidFill>
                          <w14:schemeClr w14:val="tx1"/>
                        </w14:solidFill>
                      </w14:textFill>
                    </w:rPr>
                    <w:t>厂房3楼东南</w:t>
                  </w:r>
                  <w:r>
                    <w:rPr>
                      <w:rFonts w:hint="eastAsia"/>
                      <w:color w:val="000000" w:themeColor="text1"/>
                      <w:highlight w:val="none"/>
                      <w14:textFill>
                        <w14:solidFill>
                          <w14:schemeClr w14:val="tx1"/>
                        </w14:solidFill>
                      </w14:textFill>
                    </w:rPr>
                    <w:t>侧</w:t>
                  </w:r>
                  <w:r>
                    <w:rPr>
                      <w:rFonts w:hint="eastAsia"/>
                      <w:bCs/>
                      <w:color w:val="000000" w:themeColor="text1"/>
                      <w:szCs w:val="21"/>
                      <w:highlight w:val="none"/>
                      <w14:textFill>
                        <w14:solidFill>
                          <w14:schemeClr w14:val="tx1"/>
                        </w14:solidFill>
                      </w14:textFill>
                    </w:rPr>
                    <w:t>，单独一间，将根据危险废物的形态、物理化学性质、包装形式和污染物迁移途径</w:t>
                  </w:r>
                  <w:r>
                    <w:rPr>
                      <w:rFonts w:hint="eastAsia"/>
                      <w:bCs/>
                      <w:color w:val="000000" w:themeColor="text1"/>
                      <w:szCs w:val="21"/>
                      <w14:textFill>
                        <w14:solidFill>
                          <w14:schemeClr w14:val="tx1"/>
                        </w14:solidFill>
                      </w14:textFill>
                    </w:rPr>
                    <w:t>，采取必要的防风、防晒、防雨、防漏、防渗、防腐以及其他环境污染防治措施。</w:t>
                  </w:r>
                </w:p>
              </w:tc>
            </w:tr>
            <w:tr w14:paraId="6D16F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33EB76DC">
                  <w:pPr>
                    <w:jc w:val="center"/>
                    <w:rPr>
                      <w:bCs/>
                      <w:color w:val="000000" w:themeColor="text1"/>
                      <w:szCs w:val="21"/>
                      <w14:textFill>
                        <w14:solidFill>
                          <w14:schemeClr w14:val="tx1"/>
                        </w14:solidFill>
                      </w14:textFill>
                    </w:rPr>
                  </w:pPr>
                </w:p>
              </w:tc>
              <w:tc>
                <w:tcPr>
                  <w:tcW w:w="384" w:type="pct"/>
                  <w:vMerge w:val="continue"/>
                  <w:vAlign w:val="center"/>
                </w:tcPr>
                <w:p w14:paraId="7E10AFBE">
                  <w:pPr>
                    <w:jc w:val="center"/>
                    <w:rPr>
                      <w:bCs/>
                      <w:color w:val="000000" w:themeColor="text1"/>
                      <w:szCs w:val="21"/>
                      <w14:textFill>
                        <w14:solidFill>
                          <w14:schemeClr w14:val="tx1"/>
                        </w14:solidFill>
                      </w14:textFill>
                    </w:rPr>
                  </w:pPr>
                </w:p>
              </w:tc>
              <w:tc>
                <w:tcPr>
                  <w:tcW w:w="2255" w:type="pct"/>
                  <w:vAlign w:val="center"/>
                </w:tcPr>
                <w:p w14:paraId="42AF36E4">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2.贮存设施应根据危险废物的类别、数量、形态、物理化学性质和污染防治等要求设置必要的贮存分区，避免不相容的危险废物接触、混合。</w:t>
                  </w:r>
                </w:p>
              </w:tc>
              <w:tc>
                <w:tcPr>
                  <w:tcW w:w="1628" w:type="pct"/>
                  <w:vAlign w:val="center"/>
                </w:tcPr>
                <w:p w14:paraId="5014C0B4">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本项目各类危险废物将根据危险废物的类别、数量、形态、物理化学性质和污染防治等要求分区贮存。</w:t>
                  </w:r>
                </w:p>
              </w:tc>
            </w:tr>
            <w:tr w14:paraId="00B1FE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413521FE">
                  <w:pPr>
                    <w:jc w:val="center"/>
                    <w:rPr>
                      <w:bCs/>
                      <w:color w:val="000000" w:themeColor="text1"/>
                      <w:szCs w:val="21"/>
                      <w14:textFill>
                        <w14:solidFill>
                          <w14:schemeClr w14:val="tx1"/>
                        </w14:solidFill>
                      </w14:textFill>
                    </w:rPr>
                  </w:pPr>
                </w:p>
              </w:tc>
              <w:tc>
                <w:tcPr>
                  <w:tcW w:w="384" w:type="pct"/>
                  <w:vMerge w:val="continue"/>
                  <w:vAlign w:val="center"/>
                </w:tcPr>
                <w:p w14:paraId="4F544A30">
                  <w:pPr>
                    <w:jc w:val="center"/>
                    <w:rPr>
                      <w:bCs/>
                      <w:color w:val="000000" w:themeColor="text1"/>
                      <w:szCs w:val="21"/>
                      <w14:textFill>
                        <w14:solidFill>
                          <w14:schemeClr w14:val="tx1"/>
                        </w14:solidFill>
                      </w14:textFill>
                    </w:rPr>
                  </w:pPr>
                </w:p>
              </w:tc>
              <w:tc>
                <w:tcPr>
                  <w:tcW w:w="2255" w:type="pct"/>
                  <w:vAlign w:val="center"/>
                </w:tcPr>
                <w:p w14:paraId="1F574345">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3.贮存设施或贮存分区内地面、墙面裙脚、堵截泄漏的围堰、接触危险废物的隔板和墙体等应采用坚固的材料建造，表面无裂缝。</w:t>
                  </w:r>
                </w:p>
              </w:tc>
              <w:tc>
                <w:tcPr>
                  <w:tcW w:w="1628" w:type="pct"/>
                  <w:vMerge w:val="restart"/>
                  <w:vAlign w:val="center"/>
                </w:tcPr>
                <w:p w14:paraId="6072649A">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本项目危废</w:t>
                  </w:r>
                  <w:r>
                    <w:rPr>
                      <w:rFonts w:hint="eastAsia"/>
                      <w:bCs/>
                      <w:color w:val="000000" w:themeColor="text1"/>
                      <w:szCs w:val="21"/>
                      <w14:textFill>
                        <w14:solidFill>
                          <w14:schemeClr w14:val="tx1"/>
                        </w14:solidFill>
                      </w14:textFill>
                    </w:rPr>
                    <w:t>仓库地面及裙角采取重点防渗，</w:t>
                  </w:r>
                  <w:r>
                    <w:rPr>
                      <w:bCs/>
                      <w:color w:val="000000" w:themeColor="text1"/>
                      <w:szCs w:val="21"/>
                      <w14:textFill>
                        <w14:solidFill>
                          <w14:schemeClr w14:val="tx1"/>
                        </w14:solidFill>
                      </w14:textFill>
                    </w:rPr>
                    <w:t>拟设置基础防渗层，铺设等效2mm高密度聚乙烯材料（渗透系数</w:t>
                  </w:r>
                  <w:r>
                    <w:rPr>
                      <w:rFonts w:hint="eastAsia" w:ascii="宋体" w:hAnsi="宋体" w:cs="宋体"/>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10</w:t>
                  </w:r>
                  <w:r>
                    <w:rPr>
                      <w:bCs/>
                      <w:color w:val="000000" w:themeColor="text1"/>
                      <w:szCs w:val="21"/>
                      <w:vertAlign w:val="superscript"/>
                      <w14:textFill>
                        <w14:solidFill>
                          <w14:schemeClr w14:val="tx1"/>
                        </w14:solidFill>
                      </w14:textFill>
                    </w:rPr>
                    <w:t>-10</w:t>
                  </w:r>
                  <w:r>
                    <w:rPr>
                      <w:bCs/>
                      <w:color w:val="000000" w:themeColor="text1"/>
                      <w:szCs w:val="21"/>
                      <w14:textFill>
                        <w14:solidFill>
                          <w14:schemeClr w14:val="tx1"/>
                        </w14:solidFill>
                      </w14:textFill>
                    </w:rPr>
                    <w:t>cm/s），满足防渗要求</w:t>
                  </w:r>
                  <w:r>
                    <w:rPr>
                      <w:rFonts w:hint="eastAsia"/>
                      <w:bCs/>
                      <w:color w:val="000000" w:themeColor="text1"/>
                      <w:szCs w:val="21"/>
                      <w14:textFill>
                        <w14:solidFill>
                          <w14:schemeClr w14:val="tx1"/>
                        </w14:solidFill>
                      </w14:textFill>
                    </w:rPr>
                    <w:t>。</w:t>
                  </w:r>
                </w:p>
              </w:tc>
            </w:tr>
            <w:tr w14:paraId="69F266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1C82621C">
                  <w:pPr>
                    <w:jc w:val="center"/>
                    <w:rPr>
                      <w:bCs/>
                      <w:color w:val="000000" w:themeColor="text1"/>
                      <w:szCs w:val="21"/>
                      <w14:textFill>
                        <w14:solidFill>
                          <w14:schemeClr w14:val="tx1"/>
                        </w14:solidFill>
                      </w14:textFill>
                    </w:rPr>
                  </w:pPr>
                </w:p>
              </w:tc>
              <w:tc>
                <w:tcPr>
                  <w:tcW w:w="384" w:type="pct"/>
                  <w:vMerge w:val="continue"/>
                  <w:vAlign w:val="center"/>
                </w:tcPr>
                <w:p w14:paraId="4F7FC44F">
                  <w:pPr>
                    <w:jc w:val="center"/>
                    <w:rPr>
                      <w:bCs/>
                      <w:color w:val="000000" w:themeColor="text1"/>
                      <w:szCs w:val="21"/>
                      <w14:textFill>
                        <w14:solidFill>
                          <w14:schemeClr w14:val="tx1"/>
                        </w14:solidFill>
                      </w14:textFill>
                    </w:rPr>
                  </w:pPr>
                </w:p>
              </w:tc>
              <w:tc>
                <w:tcPr>
                  <w:tcW w:w="2255" w:type="pct"/>
                  <w:vAlign w:val="center"/>
                </w:tcPr>
                <w:p w14:paraId="7B0D9377">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bCs/>
                      <w:color w:val="000000" w:themeColor="text1"/>
                      <w:szCs w:val="21"/>
                      <w:vertAlign w:val="superscript"/>
                      <w14:textFill>
                        <w14:solidFill>
                          <w14:schemeClr w14:val="tx1"/>
                        </w14:solidFill>
                      </w14:textFill>
                    </w:rPr>
                    <w:t>-7</w:t>
                  </w:r>
                  <w:r>
                    <w:rPr>
                      <w:rFonts w:hint="eastAsia"/>
                      <w:bCs/>
                      <w:color w:val="000000" w:themeColor="text1"/>
                      <w:szCs w:val="21"/>
                      <w14:textFill>
                        <w14:solidFill>
                          <w14:schemeClr w14:val="tx1"/>
                        </w14:solidFill>
                      </w14:textFill>
                    </w:rPr>
                    <w:t xml:space="preserve"> cm/s），或至少2 mm厚高密度聚乙烯膜等人工防渗材料（渗透系数不大于10-10cm/s），或其他防渗性能等效的材料。</w:t>
                  </w:r>
                </w:p>
              </w:tc>
              <w:tc>
                <w:tcPr>
                  <w:tcW w:w="1628" w:type="pct"/>
                  <w:vMerge w:val="continue"/>
                  <w:vAlign w:val="center"/>
                </w:tcPr>
                <w:p w14:paraId="6D04C3E4">
                  <w:pPr>
                    <w:rPr>
                      <w:bCs/>
                      <w:color w:val="000000" w:themeColor="text1"/>
                      <w:szCs w:val="21"/>
                      <w14:textFill>
                        <w14:solidFill>
                          <w14:schemeClr w14:val="tx1"/>
                        </w14:solidFill>
                      </w14:textFill>
                    </w:rPr>
                  </w:pPr>
                </w:p>
              </w:tc>
            </w:tr>
            <w:tr w14:paraId="609006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71B26088">
                  <w:pPr>
                    <w:jc w:val="center"/>
                    <w:rPr>
                      <w:bCs/>
                      <w:color w:val="000000" w:themeColor="text1"/>
                      <w:szCs w:val="21"/>
                      <w14:textFill>
                        <w14:solidFill>
                          <w14:schemeClr w14:val="tx1"/>
                        </w14:solidFill>
                      </w14:textFill>
                    </w:rPr>
                  </w:pPr>
                </w:p>
              </w:tc>
              <w:tc>
                <w:tcPr>
                  <w:tcW w:w="384" w:type="pct"/>
                  <w:vMerge w:val="continue"/>
                  <w:vAlign w:val="center"/>
                </w:tcPr>
                <w:p w14:paraId="4C0352AE">
                  <w:pPr>
                    <w:jc w:val="center"/>
                    <w:rPr>
                      <w:bCs/>
                      <w:color w:val="000000" w:themeColor="text1"/>
                      <w:szCs w:val="21"/>
                      <w14:textFill>
                        <w14:solidFill>
                          <w14:schemeClr w14:val="tx1"/>
                        </w14:solidFill>
                      </w14:textFill>
                    </w:rPr>
                  </w:pPr>
                </w:p>
              </w:tc>
              <w:tc>
                <w:tcPr>
                  <w:tcW w:w="2255" w:type="pct"/>
                  <w:vAlign w:val="center"/>
                </w:tcPr>
                <w:p w14:paraId="55CB4740">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5.同一贮存设施宜采用相同的防渗、防腐工艺（包括防渗、防腐结构或材料），防渗、防腐材料应覆盖所有可能与废物及其渗滤液、渗漏液等接触的构筑物表面；采用不同防渗、防腐工艺应分别建设贮存分区。</w:t>
                  </w:r>
                </w:p>
              </w:tc>
              <w:tc>
                <w:tcPr>
                  <w:tcW w:w="1628" w:type="pct"/>
                  <w:vMerge w:val="continue"/>
                  <w:vAlign w:val="center"/>
                </w:tcPr>
                <w:p w14:paraId="4F726E64">
                  <w:pPr>
                    <w:rPr>
                      <w:bCs/>
                      <w:color w:val="000000" w:themeColor="text1"/>
                      <w:szCs w:val="21"/>
                      <w14:textFill>
                        <w14:solidFill>
                          <w14:schemeClr w14:val="tx1"/>
                        </w14:solidFill>
                      </w14:textFill>
                    </w:rPr>
                  </w:pPr>
                </w:p>
              </w:tc>
            </w:tr>
            <w:tr w14:paraId="231A3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110E783F">
                  <w:pPr>
                    <w:jc w:val="center"/>
                    <w:rPr>
                      <w:bCs/>
                      <w:color w:val="000000" w:themeColor="text1"/>
                      <w:szCs w:val="21"/>
                      <w14:textFill>
                        <w14:solidFill>
                          <w14:schemeClr w14:val="tx1"/>
                        </w14:solidFill>
                      </w14:textFill>
                    </w:rPr>
                  </w:pPr>
                </w:p>
              </w:tc>
              <w:tc>
                <w:tcPr>
                  <w:tcW w:w="384" w:type="pct"/>
                  <w:vMerge w:val="continue"/>
                  <w:vAlign w:val="center"/>
                </w:tcPr>
                <w:p w14:paraId="1865B7F6">
                  <w:pPr>
                    <w:jc w:val="center"/>
                    <w:rPr>
                      <w:bCs/>
                      <w:color w:val="000000" w:themeColor="text1"/>
                      <w:szCs w:val="21"/>
                      <w14:textFill>
                        <w14:solidFill>
                          <w14:schemeClr w14:val="tx1"/>
                        </w14:solidFill>
                      </w14:textFill>
                    </w:rPr>
                  </w:pPr>
                </w:p>
              </w:tc>
              <w:tc>
                <w:tcPr>
                  <w:tcW w:w="2255" w:type="pct"/>
                  <w:vAlign w:val="center"/>
                </w:tcPr>
                <w:p w14:paraId="07599B67">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6.贮存设施应采取技术和管理措施防止无关人员进入。</w:t>
                  </w:r>
                </w:p>
              </w:tc>
              <w:tc>
                <w:tcPr>
                  <w:tcW w:w="1628" w:type="pct"/>
                  <w:vAlign w:val="center"/>
                </w:tcPr>
                <w:p w14:paraId="5890BDA8">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本项目危废仓库日常上锁，由专人保管钥匙。</w:t>
                  </w:r>
                </w:p>
              </w:tc>
            </w:tr>
            <w:tr w14:paraId="1E8F2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5D8F6BBC">
                  <w:pPr>
                    <w:jc w:val="center"/>
                    <w:rPr>
                      <w:bCs/>
                      <w:color w:val="000000" w:themeColor="text1"/>
                      <w:szCs w:val="21"/>
                      <w14:textFill>
                        <w14:solidFill>
                          <w14:schemeClr w14:val="tx1"/>
                        </w14:solidFill>
                      </w14:textFill>
                    </w:rPr>
                  </w:pPr>
                </w:p>
              </w:tc>
              <w:tc>
                <w:tcPr>
                  <w:tcW w:w="384" w:type="pct"/>
                  <w:vMerge w:val="continue"/>
                  <w:vAlign w:val="center"/>
                </w:tcPr>
                <w:p w14:paraId="51CDFE19">
                  <w:pPr>
                    <w:jc w:val="center"/>
                    <w:rPr>
                      <w:bCs/>
                      <w:color w:val="000000" w:themeColor="text1"/>
                      <w:szCs w:val="21"/>
                      <w14:textFill>
                        <w14:solidFill>
                          <w14:schemeClr w14:val="tx1"/>
                        </w14:solidFill>
                      </w14:textFill>
                    </w:rPr>
                  </w:pPr>
                </w:p>
              </w:tc>
              <w:tc>
                <w:tcPr>
                  <w:tcW w:w="2255" w:type="pct"/>
                  <w:vAlign w:val="center"/>
                </w:tcPr>
                <w:p w14:paraId="6FE61720">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7.贮存库内不同贮存分区之间应采取隔离措施。隔离措施可根据危险废物特性采用过道、隔板或隔墙等方式。</w:t>
                  </w:r>
                </w:p>
              </w:tc>
              <w:tc>
                <w:tcPr>
                  <w:tcW w:w="1628" w:type="pct"/>
                  <w:vAlign w:val="center"/>
                </w:tcPr>
                <w:p w14:paraId="0AE97C14">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本项目危废仓库内不同贮存分区拟采取过道方式隔离。</w:t>
                  </w:r>
                </w:p>
              </w:tc>
            </w:tr>
            <w:tr w14:paraId="56C296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3AF9D415">
                  <w:pPr>
                    <w:jc w:val="center"/>
                    <w:rPr>
                      <w:bCs/>
                      <w:color w:val="000000" w:themeColor="text1"/>
                      <w:szCs w:val="21"/>
                      <w14:textFill>
                        <w14:solidFill>
                          <w14:schemeClr w14:val="tx1"/>
                        </w14:solidFill>
                      </w14:textFill>
                    </w:rPr>
                  </w:pPr>
                </w:p>
              </w:tc>
              <w:tc>
                <w:tcPr>
                  <w:tcW w:w="384" w:type="pct"/>
                  <w:vMerge w:val="continue"/>
                  <w:vAlign w:val="center"/>
                </w:tcPr>
                <w:p w14:paraId="79C9A697">
                  <w:pPr>
                    <w:jc w:val="center"/>
                    <w:rPr>
                      <w:bCs/>
                      <w:color w:val="000000" w:themeColor="text1"/>
                      <w:szCs w:val="21"/>
                      <w14:textFill>
                        <w14:solidFill>
                          <w14:schemeClr w14:val="tx1"/>
                        </w14:solidFill>
                      </w14:textFill>
                    </w:rPr>
                  </w:pPr>
                </w:p>
              </w:tc>
              <w:tc>
                <w:tcPr>
                  <w:tcW w:w="2255" w:type="pct"/>
                  <w:vAlign w:val="center"/>
                </w:tcPr>
                <w:p w14:paraId="5D2693B2">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8.在贮存库内或通过贮存分区方式贮存液态危险废物的，应具有液体泄漏堵截设施，堵截设施最小容积不应低于对应贮存区域最大液态废物容器容积或液态废物总储量 1/10（二者取较大者）；用于贮存可能产生渗滤液的危险废物的贮存库或贮存分区应设计渗滤液收集设施，收集设施容积应满足渗滤液的收集要求。</w:t>
                  </w:r>
                </w:p>
              </w:tc>
              <w:tc>
                <w:tcPr>
                  <w:tcW w:w="1628" w:type="pct"/>
                  <w:vAlign w:val="center"/>
                </w:tcPr>
                <w:p w14:paraId="50D6EC36">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本项目拟对</w:t>
                  </w:r>
                  <w:r>
                    <w:rPr>
                      <w:rFonts w:hint="eastAsia"/>
                      <w:bCs/>
                      <w:color w:val="000000" w:themeColor="text1"/>
                      <w:szCs w:val="21"/>
                      <w14:textFill>
                        <w14:solidFill>
                          <w14:schemeClr w14:val="tx1"/>
                        </w14:solidFill>
                      </w14:textFill>
                    </w:rPr>
                    <w:t>危废仓库</w:t>
                  </w:r>
                  <w:r>
                    <w:rPr>
                      <w:bCs/>
                      <w:color w:val="000000" w:themeColor="text1"/>
                      <w:szCs w:val="21"/>
                      <w14:textFill>
                        <w14:solidFill>
                          <w14:schemeClr w14:val="tx1"/>
                        </w14:solidFill>
                      </w14:textFill>
                    </w:rPr>
                    <w:t>设置集液托盘或导流沟、收集池，泄漏物不会流至室外，污染土壤和地下水</w:t>
                  </w:r>
                  <w:r>
                    <w:rPr>
                      <w:rFonts w:hint="eastAsia"/>
                      <w:bCs/>
                      <w:color w:val="000000" w:themeColor="text1"/>
                      <w:szCs w:val="21"/>
                      <w14:textFill>
                        <w14:solidFill>
                          <w14:schemeClr w14:val="tx1"/>
                        </w14:solidFill>
                      </w14:textFill>
                    </w:rPr>
                    <w:t>。</w:t>
                  </w:r>
                </w:p>
              </w:tc>
            </w:tr>
            <w:tr w14:paraId="18241A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04338E2F">
                  <w:pPr>
                    <w:jc w:val="center"/>
                    <w:rPr>
                      <w:bCs/>
                      <w:color w:val="000000" w:themeColor="text1"/>
                      <w:szCs w:val="21"/>
                      <w14:textFill>
                        <w14:solidFill>
                          <w14:schemeClr w14:val="tx1"/>
                        </w14:solidFill>
                      </w14:textFill>
                    </w:rPr>
                  </w:pPr>
                </w:p>
              </w:tc>
              <w:tc>
                <w:tcPr>
                  <w:tcW w:w="384" w:type="pct"/>
                  <w:vMerge w:val="continue"/>
                  <w:vAlign w:val="center"/>
                </w:tcPr>
                <w:p w14:paraId="337C8057">
                  <w:pPr>
                    <w:jc w:val="center"/>
                    <w:rPr>
                      <w:bCs/>
                      <w:color w:val="000000" w:themeColor="text1"/>
                      <w:szCs w:val="21"/>
                      <w14:textFill>
                        <w14:solidFill>
                          <w14:schemeClr w14:val="tx1"/>
                        </w14:solidFill>
                      </w14:textFill>
                    </w:rPr>
                  </w:pPr>
                </w:p>
              </w:tc>
              <w:tc>
                <w:tcPr>
                  <w:tcW w:w="2255" w:type="pct"/>
                  <w:vAlign w:val="center"/>
                </w:tcPr>
                <w:p w14:paraId="58649691">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9.贮存易产生粉尘、VOCs、酸雾、有毒有害大气污染物和刺激性气味气体的危险废物贮存库，应设置气体收集装置和气体净化设施；气体净化设施的排气筒高度应符合GB 16297要求。</w:t>
                  </w:r>
                </w:p>
              </w:tc>
              <w:tc>
                <w:tcPr>
                  <w:tcW w:w="1628" w:type="pct"/>
                  <w:vAlign w:val="center"/>
                </w:tcPr>
                <w:p w14:paraId="3B0F6332">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本项目不涉及排出有毒气体的危险废物，无需设置气体导出及净化装置</w:t>
                  </w:r>
                  <w:r>
                    <w:rPr>
                      <w:rFonts w:hint="eastAsia"/>
                      <w:bCs/>
                      <w:color w:val="000000" w:themeColor="text1"/>
                      <w:szCs w:val="21"/>
                      <w14:textFill>
                        <w14:solidFill>
                          <w14:schemeClr w14:val="tx1"/>
                        </w14:solidFill>
                      </w14:textFill>
                    </w:rPr>
                    <w:t>。</w:t>
                  </w:r>
                </w:p>
              </w:tc>
            </w:tr>
            <w:tr w14:paraId="6EB25A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4F39ADE1">
                  <w:pPr>
                    <w:jc w:val="center"/>
                    <w:rPr>
                      <w:b/>
                      <w:color w:val="000000" w:themeColor="text1"/>
                      <w:szCs w:val="21"/>
                      <w14:textFill>
                        <w14:solidFill>
                          <w14:schemeClr w14:val="tx1"/>
                        </w14:solidFill>
                      </w14:textFill>
                    </w:rPr>
                  </w:pPr>
                </w:p>
              </w:tc>
              <w:tc>
                <w:tcPr>
                  <w:tcW w:w="384" w:type="pct"/>
                  <w:vMerge w:val="restart"/>
                  <w:vAlign w:val="center"/>
                </w:tcPr>
                <w:p w14:paraId="34CC2CEA">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四、污染物排放控制要求</w:t>
                  </w:r>
                </w:p>
              </w:tc>
              <w:tc>
                <w:tcPr>
                  <w:tcW w:w="2255" w:type="pct"/>
                  <w:vAlign w:val="center"/>
                </w:tcPr>
                <w:p w14:paraId="348DFB95">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1.贮存设施产生的废水（包括贮存设施、作业设备、车辆等清洗废水，贮存罐区积存雨水，贮存事故废水等）应进行收集处理，废水排放应符合GB 8978规定的要求。</w:t>
                  </w:r>
                </w:p>
              </w:tc>
              <w:tc>
                <w:tcPr>
                  <w:tcW w:w="1628" w:type="pct"/>
                  <w:vAlign w:val="center"/>
                </w:tcPr>
                <w:p w14:paraId="747602BD">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本项目拟对危废仓库产生的废水收集后委托有资质单位处理。</w:t>
                  </w:r>
                </w:p>
              </w:tc>
            </w:tr>
            <w:tr w14:paraId="441484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464F8C59">
                  <w:pPr>
                    <w:jc w:val="center"/>
                    <w:rPr>
                      <w:b/>
                      <w:color w:val="000000" w:themeColor="text1"/>
                      <w:szCs w:val="21"/>
                      <w14:textFill>
                        <w14:solidFill>
                          <w14:schemeClr w14:val="tx1"/>
                        </w14:solidFill>
                      </w14:textFill>
                    </w:rPr>
                  </w:pPr>
                </w:p>
              </w:tc>
              <w:tc>
                <w:tcPr>
                  <w:tcW w:w="384" w:type="pct"/>
                  <w:vMerge w:val="continue"/>
                  <w:vAlign w:val="center"/>
                </w:tcPr>
                <w:p w14:paraId="56954B0A">
                  <w:pPr>
                    <w:jc w:val="center"/>
                    <w:rPr>
                      <w:bCs/>
                      <w:color w:val="000000" w:themeColor="text1"/>
                      <w:szCs w:val="21"/>
                      <w14:textFill>
                        <w14:solidFill>
                          <w14:schemeClr w14:val="tx1"/>
                        </w14:solidFill>
                      </w14:textFill>
                    </w:rPr>
                  </w:pPr>
                </w:p>
              </w:tc>
              <w:tc>
                <w:tcPr>
                  <w:tcW w:w="2255" w:type="pct"/>
                  <w:vAlign w:val="center"/>
                </w:tcPr>
                <w:p w14:paraId="2CFE83F1">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2.贮存设施产生的废气（含无组织废气）的排放应符合GB 16297和GB 37822规定的要求。</w:t>
                  </w:r>
                </w:p>
              </w:tc>
              <w:tc>
                <w:tcPr>
                  <w:tcW w:w="1628" w:type="pct"/>
                  <w:vMerge w:val="restart"/>
                  <w:vAlign w:val="center"/>
                </w:tcPr>
                <w:p w14:paraId="685CEB9F">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本项目不涉及排出气体的危险废物</w:t>
                  </w:r>
                  <w:r>
                    <w:rPr>
                      <w:rFonts w:hint="eastAsia"/>
                      <w:bCs/>
                      <w:color w:val="000000" w:themeColor="text1"/>
                      <w:szCs w:val="21"/>
                      <w14:textFill>
                        <w14:solidFill>
                          <w14:schemeClr w14:val="tx1"/>
                        </w14:solidFill>
                      </w14:textFill>
                    </w:rPr>
                    <w:t>。</w:t>
                  </w:r>
                </w:p>
              </w:tc>
            </w:tr>
            <w:tr w14:paraId="30859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2C621649">
                  <w:pPr>
                    <w:jc w:val="center"/>
                    <w:rPr>
                      <w:b/>
                      <w:color w:val="000000" w:themeColor="text1"/>
                      <w:szCs w:val="21"/>
                      <w14:textFill>
                        <w14:solidFill>
                          <w14:schemeClr w14:val="tx1"/>
                        </w14:solidFill>
                      </w14:textFill>
                    </w:rPr>
                  </w:pPr>
                </w:p>
              </w:tc>
              <w:tc>
                <w:tcPr>
                  <w:tcW w:w="384" w:type="pct"/>
                  <w:vMerge w:val="continue"/>
                  <w:vAlign w:val="center"/>
                </w:tcPr>
                <w:p w14:paraId="0BE49005">
                  <w:pPr>
                    <w:jc w:val="center"/>
                    <w:rPr>
                      <w:bCs/>
                      <w:color w:val="000000" w:themeColor="text1"/>
                      <w:szCs w:val="21"/>
                      <w14:textFill>
                        <w14:solidFill>
                          <w14:schemeClr w14:val="tx1"/>
                        </w14:solidFill>
                      </w14:textFill>
                    </w:rPr>
                  </w:pPr>
                </w:p>
              </w:tc>
              <w:tc>
                <w:tcPr>
                  <w:tcW w:w="2255" w:type="pct"/>
                  <w:vAlign w:val="center"/>
                </w:tcPr>
                <w:p w14:paraId="7F88C58D">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贮存设施产生的恶臭气体的排放应符合GB 14554规定的要求。</w:t>
                  </w:r>
                </w:p>
              </w:tc>
              <w:tc>
                <w:tcPr>
                  <w:tcW w:w="1628" w:type="pct"/>
                  <w:vMerge w:val="continue"/>
                  <w:vAlign w:val="center"/>
                </w:tcPr>
                <w:p w14:paraId="39D571A7">
                  <w:pPr>
                    <w:rPr>
                      <w:bCs/>
                      <w:color w:val="000000" w:themeColor="text1"/>
                      <w:szCs w:val="21"/>
                      <w14:textFill>
                        <w14:solidFill>
                          <w14:schemeClr w14:val="tx1"/>
                        </w14:solidFill>
                      </w14:textFill>
                    </w:rPr>
                  </w:pPr>
                </w:p>
              </w:tc>
            </w:tr>
            <w:tr w14:paraId="234EC9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6A828AA0">
                  <w:pPr>
                    <w:jc w:val="center"/>
                    <w:rPr>
                      <w:b/>
                      <w:color w:val="000000" w:themeColor="text1"/>
                      <w:szCs w:val="21"/>
                      <w14:textFill>
                        <w14:solidFill>
                          <w14:schemeClr w14:val="tx1"/>
                        </w14:solidFill>
                      </w14:textFill>
                    </w:rPr>
                  </w:pPr>
                </w:p>
              </w:tc>
              <w:tc>
                <w:tcPr>
                  <w:tcW w:w="384" w:type="pct"/>
                  <w:vMerge w:val="continue"/>
                  <w:vAlign w:val="center"/>
                </w:tcPr>
                <w:p w14:paraId="34CBE26C">
                  <w:pPr>
                    <w:jc w:val="center"/>
                    <w:rPr>
                      <w:bCs/>
                      <w:color w:val="000000" w:themeColor="text1"/>
                      <w:szCs w:val="21"/>
                      <w14:textFill>
                        <w14:solidFill>
                          <w14:schemeClr w14:val="tx1"/>
                        </w14:solidFill>
                      </w14:textFill>
                    </w:rPr>
                  </w:pPr>
                </w:p>
              </w:tc>
              <w:tc>
                <w:tcPr>
                  <w:tcW w:w="2255" w:type="pct"/>
                  <w:vAlign w:val="center"/>
                </w:tcPr>
                <w:p w14:paraId="20E476A8">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3.贮存设施内产生以及清理的固体废物应按固体废物分类管理要求妥善处理。</w:t>
                  </w:r>
                </w:p>
              </w:tc>
              <w:tc>
                <w:tcPr>
                  <w:tcW w:w="1628" w:type="pct"/>
                  <w:vAlign w:val="center"/>
                </w:tcPr>
                <w:p w14:paraId="5B6CDFC5">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本项目危废仓库内产生、清理出的固废按危险废物处理。</w:t>
                  </w:r>
                </w:p>
              </w:tc>
            </w:tr>
            <w:tr w14:paraId="31CAD6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47681F55">
                  <w:pPr>
                    <w:jc w:val="center"/>
                    <w:rPr>
                      <w:b/>
                      <w:color w:val="000000" w:themeColor="text1"/>
                      <w:szCs w:val="21"/>
                      <w14:textFill>
                        <w14:solidFill>
                          <w14:schemeClr w14:val="tx1"/>
                        </w14:solidFill>
                      </w14:textFill>
                    </w:rPr>
                  </w:pPr>
                </w:p>
              </w:tc>
              <w:tc>
                <w:tcPr>
                  <w:tcW w:w="384" w:type="pct"/>
                  <w:vMerge w:val="continue"/>
                  <w:vAlign w:val="center"/>
                </w:tcPr>
                <w:p w14:paraId="59985064">
                  <w:pPr>
                    <w:jc w:val="center"/>
                    <w:rPr>
                      <w:bCs/>
                      <w:color w:val="000000" w:themeColor="text1"/>
                      <w:szCs w:val="21"/>
                      <w14:textFill>
                        <w14:solidFill>
                          <w14:schemeClr w14:val="tx1"/>
                        </w14:solidFill>
                      </w14:textFill>
                    </w:rPr>
                  </w:pPr>
                </w:p>
              </w:tc>
              <w:tc>
                <w:tcPr>
                  <w:tcW w:w="2255" w:type="pct"/>
                  <w:vAlign w:val="center"/>
                </w:tcPr>
                <w:p w14:paraId="050549DB">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4.贮存设施排放的环境噪声应符合GB 12348规定的要求。</w:t>
                  </w:r>
                </w:p>
              </w:tc>
              <w:tc>
                <w:tcPr>
                  <w:tcW w:w="1628" w:type="pct"/>
                  <w:vAlign w:val="center"/>
                </w:tcPr>
                <w:p w14:paraId="18D0412A">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本项目贮存设施内无噪声源。</w:t>
                  </w:r>
                </w:p>
              </w:tc>
            </w:tr>
            <w:tr w14:paraId="710FF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760CB6E0">
                  <w:pPr>
                    <w:jc w:val="center"/>
                    <w:rPr>
                      <w:b/>
                      <w:color w:val="000000" w:themeColor="text1"/>
                      <w:szCs w:val="21"/>
                      <w14:textFill>
                        <w14:solidFill>
                          <w14:schemeClr w14:val="tx1"/>
                        </w14:solidFill>
                      </w14:textFill>
                    </w:rPr>
                  </w:pPr>
                </w:p>
              </w:tc>
              <w:tc>
                <w:tcPr>
                  <w:tcW w:w="384" w:type="pct"/>
                  <w:vMerge w:val="restart"/>
                  <w:vAlign w:val="center"/>
                </w:tcPr>
                <w:p w14:paraId="5DD27C79">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五、环境监测要求</w:t>
                  </w:r>
                </w:p>
              </w:tc>
              <w:tc>
                <w:tcPr>
                  <w:tcW w:w="2255" w:type="pct"/>
                  <w:vAlign w:val="center"/>
                </w:tcPr>
                <w:p w14:paraId="53D73E19">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1.贮存设施的环境监测应纳入主体设施的环境监测计划。</w:t>
                  </w:r>
                </w:p>
              </w:tc>
              <w:tc>
                <w:tcPr>
                  <w:tcW w:w="1628" w:type="pct"/>
                  <w:vMerge w:val="restart"/>
                  <w:vAlign w:val="center"/>
                </w:tcPr>
                <w:p w14:paraId="0E016984">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本项目拟在后续运行</w:t>
                  </w:r>
                  <w:r>
                    <w:rPr>
                      <w:rFonts w:hint="eastAsia"/>
                      <w:bCs/>
                      <w:color w:val="000000" w:themeColor="text1"/>
                      <w:szCs w:val="21"/>
                      <w14:textFill>
                        <w14:solidFill>
                          <w14:schemeClr w14:val="tx1"/>
                        </w14:solidFill>
                      </w14:textFill>
                    </w:rPr>
                    <w:t>中定期开展自行监测，保存原始监测记录，公布监测结果。</w:t>
                  </w:r>
                </w:p>
              </w:tc>
            </w:tr>
            <w:tr w14:paraId="6444BB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3CDC80B7">
                  <w:pPr>
                    <w:jc w:val="center"/>
                    <w:rPr>
                      <w:b/>
                      <w:color w:val="000000" w:themeColor="text1"/>
                      <w:szCs w:val="21"/>
                      <w14:textFill>
                        <w14:solidFill>
                          <w14:schemeClr w14:val="tx1"/>
                        </w14:solidFill>
                      </w14:textFill>
                    </w:rPr>
                  </w:pPr>
                </w:p>
              </w:tc>
              <w:tc>
                <w:tcPr>
                  <w:tcW w:w="384" w:type="pct"/>
                  <w:vMerge w:val="continue"/>
                  <w:vAlign w:val="center"/>
                </w:tcPr>
                <w:p w14:paraId="2C9F3075">
                  <w:pPr>
                    <w:jc w:val="center"/>
                    <w:rPr>
                      <w:bCs/>
                      <w:color w:val="000000" w:themeColor="text1"/>
                      <w:szCs w:val="21"/>
                      <w14:textFill>
                        <w14:solidFill>
                          <w14:schemeClr w14:val="tx1"/>
                        </w14:solidFill>
                      </w14:textFill>
                    </w:rPr>
                  </w:pPr>
                </w:p>
              </w:tc>
              <w:tc>
                <w:tcPr>
                  <w:tcW w:w="2255" w:type="pct"/>
                  <w:vAlign w:val="center"/>
                </w:tcPr>
                <w:p w14:paraId="17BB1EC5">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2.贮存设施所有者或运营者应依据《大气污染防治法》《水污染防治法》《土壤污染防治法》等有关法律、《排污许可管理条例》等行政法规和HJ 819、HJ 1250等规定制订监测方案，对贮存设施污染物排放状况开展自行监测，保存原始监测记录，并公布监测结果。</w:t>
                  </w:r>
                </w:p>
              </w:tc>
              <w:tc>
                <w:tcPr>
                  <w:tcW w:w="1628" w:type="pct"/>
                  <w:vMerge w:val="continue"/>
                  <w:vAlign w:val="center"/>
                </w:tcPr>
                <w:p w14:paraId="792258AC">
                  <w:pPr>
                    <w:rPr>
                      <w:bCs/>
                      <w:color w:val="000000" w:themeColor="text1"/>
                      <w:szCs w:val="21"/>
                      <w14:textFill>
                        <w14:solidFill>
                          <w14:schemeClr w14:val="tx1"/>
                        </w14:solidFill>
                      </w14:textFill>
                    </w:rPr>
                  </w:pPr>
                </w:p>
              </w:tc>
            </w:tr>
            <w:tr w14:paraId="4F939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3327AD1F">
                  <w:pPr>
                    <w:jc w:val="center"/>
                    <w:rPr>
                      <w:b/>
                      <w:color w:val="000000" w:themeColor="text1"/>
                      <w:szCs w:val="21"/>
                      <w14:textFill>
                        <w14:solidFill>
                          <w14:schemeClr w14:val="tx1"/>
                        </w14:solidFill>
                      </w14:textFill>
                    </w:rPr>
                  </w:pPr>
                </w:p>
              </w:tc>
              <w:tc>
                <w:tcPr>
                  <w:tcW w:w="384" w:type="pct"/>
                  <w:vMerge w:val="continue"/>
                  <w:vAlign w:val="center"/>
                </w:tcPr>
                <w:p w14:paraId="75824652">
                  <w:pPr>
                    <w:jc w:val="center"/>
                    <w:rPr>
                      <w:bCs/>
                      <w:color w:val="000000" w:themeColor="text1"/>
                      <w:szCs w:val="21"/>
                      <w14:textFill>
                        <w14:solidFill>
                          <w14:schemeClr w14:val="tx1"/>
                        </w14:solidFill>
                      </w14:textFill>
                    </w:rPr>
                  </w:pPr>
                </w:p>
              </w:tc>
              <w:tc>
                <w:tcPr>
                  <w:tcW w:w="2255" w:type="pct"/>
                  <w:vAlign w:val="center"/>
                </w:tcPr>
                <w:p w14:paraId="47E76162">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3.贮存设施废水污染物排放的监测方法和监测指标应符合国家相关标准要求。</w:t>
                  </w:r>
                </w:p>
              </w:tc>
              <w:tc>
                <w:tcPr>
                  <w:tcW w:w="1628" w:type="pct"/>
                  <w:vAlign w:val="center"/>
                </w:tcPr>
                <w:p w14:paraId="2D737C2B">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本项目危废仓库</w:t>
                  </w:r>
                  <w:r>
                    <w:rPr>
                      <w:rFonts w:hint="eastAsia"/>
                      <w:bCs/>
                      <w:color w:val="000000" w:themeColor="text1"/>
                      <w:szCs w:val="21"/>
                      <w:lang w:val="en-US" w:eastAsia="zh-CN"/>
                      <w14:textFill>
                        <w14:solidFill>
                          <w14:schemeClr w14:val="tx1"/>
                        </w14:solidFill>
                      </w14:textFill>
                    </w:rPr>
                    <w:t>贮存过程不产生废水</w:t>
                  </w:r>
                  <w:r>
                    <w:rPr>
                      <w:rFonts w:hint="eastAsia"/>
                      <w:bCs/>
                      <w:color w:val="000000" w:themeColor="text1"/>
                      <w:szCs w:val="21"/>
                      <w14:textFill>
                        <w14:solidFill>
                          <w14:schemeClr w14:val="tx1"/>
                        </w14:solidFill>
                      </w14:textFill>
                    </w:rPr>
                    <w:t>。</w:t>
                  </w:r>
                </w:p>
              </w:tc>
            </w:tr>
            <w:tr w14:paraId="1DDB1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6131F719">
                  <w:pPr>
                    <w:jc w:val="center"/>
                    <w:rPr>
                      <w:b/>
                      <w:color w:val="000000" w:themeColor="text1"/>
                      <w:szCs w:val="21"/>
                      <w14:textFill>
                        <w14:solidFill>
                          <w14:schemeClr w14:val="tx1"/>
                        </w14:solidFill>
                      </w14:textFill>
                    </w:rPr>
                  </w:pPr>
                </w:p>
              </w:tc>
              <w:tc>
                <w:tcPr>
                  <w:tcW w:w="384" w:type="pct"/>
                  <w:vMerge w:val="continue"/>
                  <w:vAlign w:val="center"/>
                </w:tcPr>
                <w:p w14:paraId="0311DA6A">
                  <w:pPr>
                    <w:jc w:val="center"/>
                    <w:rPr>
                      <w:bCs/>
                      <w:color w:val="000000" w:themeColor="text1"/>
                      <w:szCs w:val="21"/>
                      <w14:textFill>
                        <w14:solidFill>
                          <w14:schemeClr w14:val="tx1"/>
                        </w14:solidFill>
                      </w14:textFill>
                    </w:rPr>
                  </w:pPr>
                </w:p>
              </w:tc>
              <w:tc>
                <w:tcPr>
                  <w:tcW w:w="2255" w:type="pct"/>
                  <w:vAlign w:val="center"/>
                </w:tcPr>
                <w:p w14:paraId="01CFD18F">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4.HJ 1259规定的危险废物环境重点监管单位贮存设施地下水环境监测点布设应符合HJ 164要求，监测因子应根据贮存废物的特性选择具有代表性且能表征危险废物特性的指标，地下水监测因子分析方法按照GB/T 14848执行。</w:t>
                  </w:r>
                </w:p>
              </w:tc>
              <w:tc>
                <w:tcPr>
                  <w:tcW w:w="1628" w:type="pct"/>
                  <w:vAlign w:val="center"/>
                </w:tcPr>
                <w:p w14:paraId="2C0D8542">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本项目不属于HJ1259中规定的危险废物环境重点监管单位。</w:t>
                  </w:r>
                </w:p>
              </w:tc>
            </w:tr>
            <w:tr w14:paraId="5079F3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7589511F">
                  <w:pPr>
                    <w:jc w:val="center"/>
                    <w:rPr>
                      <w:b/>
                      <w:color w:val="000000" w:themeColor="text1"/>
                      <w:szCs w:val="21"/>
                      <w14:textFill>
                        <w14:solidFill>
                          <w14:schemeClr w14:val="tx1"/>
                        </w14:solidFill>
                      </w14:textFill>
                    </w:rPr>
                  </w:pPr>
                </w:p>
              </w:tc>
              <w:tc>
                <w:tcPr>
                  <w:tcW w:w="384" w:type="pct"/>
                  <w:vMerge w:val="continue"/>
                  <w:vAlign w:val="center"/>
                </w:tcPr>
                <w:p w14:paraId="5A8290FB">
                  <w:pPr>
                    <w:jc w:val="center"/>
                    <w:rPr>
                      <w:bCs/>
                      <w:color w:val="000000" w:themeColor="text1"/>
                      <w:szCs w:val="21"/>
                      <w14:textFill>
                        <w14:solidFill>
                          <w14:schemeClr w14:val="tx1"/>
                        </w14:solidFill>
                      </w14:textFill>
                    </w:rPr>
                  </w:pPr>
                </w:p>
              </w:tc>
              <w:tc>
                <w:tcPr>
                  <w:tcW w:w="2255" w:type="pct"/>
                  <w:vAlign w:val="center"/>
                </w:tcPr>
                <w:p w14:paraId="3EA33034">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5.配有收集净化系统的贮存设施大气污染物排放的监测采样应按GB/T 16157、HJ/T 397、HJ 732的规定执行。</w:t>
                  </w:r>
                </w:p>
              </w:tc>
              <w:tc>
                <w:tcPr>
                  <w:tcW w:w="1628" w:type="pct"/>
                  <w:vAlign w:val="center"/>
                </w:tcPr>
                <w:p w14:paraId="72DCB56D">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本项目危废仓库不涉及收集净化系统。</w:t>
                  </w:r>
                </w:p>
              </w:tc>
            </w:tr>
            <w:tr w14:paraId="2351E2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459995D0">
                  <w:pPr>
                    <w:jc w:val="center"/>
                    <w:rPr>
                      <w:b/>
                      <w:color w:val="000000" w:themeColor="text1"/>
                      <w:szCs w:val="21"/>
                      <w14:textFill>
                        <w14:solidFill>
                          <w14:schemeClr w14:val="tx1"/>
                        </w14:solidFill>
                      </w14:textFill>
                    </w:rPr>
                  </w:pPr>
                </w:p>
              </w:tc>
              <w:tc>
                <w:tcPr>
                  <w:tcW w:w="384" w:type="pct"/>
                  <w:vMerge w:val="continue"/>
                  <w:vAlign w:val="center"/>
                </w:tcPr>
                <w:p w14:paraId="04F69373">
                  <w:pPr>
                    <w:jc w:val="center"/>
                    <w:rPr>
                      <w:bCs/>
                      <w:color w:val="000000" w:themeColor="text1"/>
                      <w:szCs w:val="21"/>
                      <w14:textFill>
                        <w14:solidFill>
                          <w14:schemeClr w14:val="tx1"/>
                        </w14:solidFill>
                      </w14:textFill>
                    </w:rPr>
                  </w:pPr>
                </w:p>
              </w:tc>
              <w:tc>
                <w:tcPr>
                  <w:tcW w:w="2255" w:type="pct"/>
                  <w:vAlign w:val="center"/>
                </w:tcPr>
                <w:p w14:paraId="6B31C627">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6.贮存设施无组织气体排放监测因子应根据贮存废物的特性选择具有代表性且能表征危险废物特性的指标；采样点布设、采样及监测方法可按HJ/T 55的规定执行，VOCs的无组织排放监测还应符合GB 37822的规定。</w:t>
                  </w:r>
                </w:p>
              </w:tc>
              <w:tc>
                <w:tcPr>
                  <w:tcW w:w="1628" w:type="pct"/>
                  <w:vMerge w:val="restart"/>
                  <w:vAlign w:val="center"/>
                </w:tcPr>
                <w:p w14:paraId="0983C230">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本项目不涉及排出气体的危险废物</w:t>
                  </w:r>
                  <w:r>
                    <w:rPr>
                      <w:rFonts w:hint="eastAsia"/>
                      <w:bCs/>
                      <w:color w:val="000000" w:themeColor="text1"/>
                      <w:szCs w:val="21"/>
                      <w14:textFill>
                        <w14:solidFill>
                          <w14:schemeClr w14:val="tx1"/>
                        </w14:solidFill>
                      </w14:textFill>
                    </w:rPr>
                    <w:t>。</w:t>
                  </w:r>
                </w:p>
              </w:tc>
            </w:tr>
            <w:tr w14:paraId="5A93A7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7528079F">
                  <w:pPr>
                    <w:jc w:val="center"/>
                    <w:rPr>
                      <w:b/>
                      <w:color w:val="000000" w:themeColor="text1"/>
                      <w:szCs w:val="21"/>
                      <w14:textFill>
                        <w14:solidFill>
                          <w14:schemeClr w14:val="tx1"/>
                        </w14:solidFill>
                      </w14:textFill>
                    </w:rPr>
                  </w:pPr>
                </w:p>
              </w:tc>
              <w:tc>
                <w:tcPr>
                  <w:tcW w:w="384" w:type="pct"/>
                  <w:vMerge w:val="continue"/>
                  <w:vAlign w:val="center"/>
                </w:tcPr>
                <w:p w14:paraId="16FF036B">
                  <w:pPr>
                    <w:jc w:val="center"/>
                    <w:rPr>
                      <w:bCs/>
                      <w:color w:val="000000" w:themeColor="text1"/>
                      <w:szCs w:val="21"/>
                      <w14:textFill>
                        <w14:solidFill>
                          <w14:schemeClr w14:val="tx1"/>
                        </w14:solidFill>
                      </w14:textFill>
                    </w:rPr>
                  </w:pPr>
                </w:p>
              </w:tc>
              <w:tc>
                <w:tcPr>
                  <w:tcW w:w="2255" w:type="pct"/>
                  <w:vAlign w:val="center"/>
                </w:tcPr>
                <w:p w14:paraId="605A2231">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7.贮存设施恶臭气体的排放监测应符合GB 14554、HJ 905的规定。</w:t>
                  </w:r>
                </w:p>
              </w:tc>
              <w:tc>
                <w:tcPr>
                  <w:tcW w:w="1628" w:type="pct"/>
                  <w:vMerge w:val="continue"/>
                  <w:vAlign w:val="center"/>
                </w:tcPr>
                <w:p w14:paraId="0E652ED8">
                  <w:pPr>
                    <w:rPr>
                      <w:bCs/>
                      <w:color w:val="000000" w:themeColor="text1"/>
                      <w:szCs w:val="21"/>
                      <w14:textFill>
                        <w14:solidFill>
                          <w14:schemeClr w14:val="tx1"/>
                        </w14:solidFill>
                      </w14:textFill>
                    </w:rPr>
                  </w:pPr>
                </w:p>
              </w:tc>
            </w:tr>
            <w:tr w14:paraId="6A6A9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7D28C8BC">
                  <w:pPr>
                    <w:jc w:val="center"/>
                    <w:rPr>
                      <w:b/>
                      <w:color w:val="000000" w:themeColor="text1"/>
                      <w:szCs w:val="21"/>
                      <w14:textFill>
                        <w14:solidFill>
                          <w14:schemeClr w14:val="tx1"/>
                        </w14:solidFill>
                      </w14:textFill>
                    </w:rPr>
                  </w:pPr>
                </w:p>
              </w:tc>
              <w:tc>
                <w:tcPr>
                  <w:tcW w:w="384" w:type="pct"/>
                  <w:vMerge w:val="restart"/>
                  <w:vAlign w:val="center"/>
                </w:tcPr>
                <w:p w14:paraId="4745C4FA">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六、环境应急要求</w:t>
                  </w:r>
                </w:p>
              </w:tc>
              <w:tc>
                <w:tcPr>
                  <w:tcW w:w="2255" w:type="pct"/>
                  <w:vAlign w:val="center"/>
                </w:tcPr>
                <w:p w14:paraId="4338EA87">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1.贮存设施所有者或运营者应按照国家有关规定编制突发环境事件应急预案，定期开展必要的培训和环境应急演练，并做好培训、演练记录。</w:t>
                  </w:r>
                </w:p>
              </w:tc>
              <w:tc>
                <w:tcPr>
                  <w:tcW w:w="1628" w:type="pct"/>
                  <w:vMerge w:val="restart"/>
                  <w:vAlign w:val="center"/>
                </w:tcPr>
                <w:p w14:paraId="0DA551DE">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本项目后续拟编制突发环境事件应急预案，定期开展必要的培训和环境应急演练，并做好培训、演练记录。</w:t>
                  </w:r>
                </w:p>
              </w:tc>
            </w:tr>
            <w:tr w14:paraId="0EF5AA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75FBEFBA">
                  <w:pPr>
                    <w:jc w:val="center"/>
                    <w:rPr>
                      <w:b/>
                      <w:color w:val="000000" w:themeColor="text1"/>
                      <w:szCs w:val="21"/>
                      <w14:textFill>
                        <w14:solidFill>
                          <w14:schemeClr w14:val="tx1"/>
                        </w14:solidFill>
                      </w14:textFill>
                    </w:rPr>
                  </w:pPr>
                </w:p>
              </w:tc>
              <w:tc>
                <w:tcPr>
                  <w:tcW w:w="384" w:type="pct"/>
                  <w:vMerge w:val="continue"/>
                  <w:vAlign w:val="center"/>
                </w:tcPr>
                <w:p w14:paraId="6FB8BF72">
                  <w:pPr>
                    <w:jc w:val="center"/>
                    <w:rPr>
                      <w:bCs/>
                      <w:color w:val="000000" w:themeColor="text1"/>
                      <w:szCs w:val="21"/>
                      <w14:textFill>
                        <w14:solidFill>
                          <w14:schemeClr w14:val="tx1"/>
                        </w14:solidFill>
                      </w14:textFill>
                    </w:rPr>
                  </w:pPr>
                </w:p>
              </w:tc>
              <w:tc>
                <w:tcPr>
                  <w:tcW w:w="2255" w:type="pct"/>
                  <w:vAlign w:val="center"/>
                </w:tcPr>
                <w:p w14:paraId="5B6A012E">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2.贮存设施所有者或运营者应配备满足其突发环境事件应急要求的应急人员、装备和物资，并应设置应急照明系统。</w:t>
                  </w:r>
                </w:p>
              </w:tc>
              <w:tc>
                <w:tcPr>
                  <w:tcW w:w="1628" w:type="pct"/>
                  <w:vMerge w:val="continue"/>
                  <w:vAlign w:val="center"/>
                </w:tcPr>
                <w:p w14:paraId="3B0F5489">
                  <w:pPr>
                    <w:jc w:val="center"/>
                    <w:rPr>
                      <w:bCs/>
                      <w:color w:val="000000" w:themeColor="text1"/>
                      <w:szCs w:val="21"/>
                      <w14:textFill>
                        <w14:solidFill>
                          <w14:schemeClr w14:val="tx1"/>
                        </w14:solidFill>
                      </w14:textFill>
                    </w:rPr>
                  </w:pPr>
                </w:p>
              </w:tc>
            </w:tr>
            <w:tr w14:paraId="765DC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45A8E3CD">
                  <w:pPr>
                    <w:jc w:val="center"/>
                    <w:rPr>
                      <w:b/>
                      <w:color w:val="000000" w:themeColor="text1"/>
                      <w:szCs w:val="21"/>
                      <w14:textFill>
                        <w14:solidFill>
                          <w14:schemeClr w14:val="tx1"/>
                        </w14:solidFill>
                      </w14:textFill>
                    </w:rPr>
                  </w:pPr>
                </w:p>
              </w:tc>
              <w:tc>
                <w:tcPr>
                  <w:tcW w:w="384" w:type="pct"/>
                  <w:vMerge w:val="continue"/>
                  <w:vAlign w:val="center"/>
                </w:tcPr>
                <w:p w14:paraId="3FA2891B">
                  <w:pPr>
                    <w:jc w:val="center"/>
                    <w:rPr>
                      <w:bCs/>
                      <w:color w:val="000000" w:themeColor="text1"/>
                      <w:szCs w:val="21"/>
                      <w14:textFill>
                        <w14:solidFill>
                          <w14:schemeClr w14:val="tx1"/>
                        </w14:solidFill>
                      </w14:textFill>
                    </w:rPr>
                  </w:pPr>
                </w:p>
              </w:tc>
              <w:tc>
                <w:tcPr>
                  <w:tcW w:w="2255" w:type="pct"/>
                  <w:vAlign w:val="center"/>
                </w:tcPr>
                <w:p w14:paraId="087E3AEF">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3.相关部门发布自然灾害或恶劣天气预警后，贮存设施所有者或运营者应启动相应防控措施，若有必要可将危险废物转移至其他具有防护条件的地点贮存。</w:t>
                  </w:r>
                </w:p>
              </w:tc>
              <w:tc>
                <w:tcPr>
                  <w:tcW w:w="1628" w:type="pct"/>
                  <w:vMerge w:val="continue"/>
                  <w:vAlign w:val="center"/>
                </w:tcPr>
                <w:p w14:paraId="39505948">
                  <w:pPr>
                    <w:jc w:val="center"/>
                    <w:rPr>
                      <w:bCs/>
                      <w:color w:val="000000" w:themeColor="text1"/>
                      <w:szCs w:val="21"/>
                      <w14:textFill>
                        <w14:solidFill>
                          <w14:schemeClr w14:val="tx1"/>
                        </w14:solidFill>
                      </w14:textFill>
                    </w:rPr>
                  </w:pPr>
                </w:p>
              </w:tc>
            </w:tr>
          </w:tbl>
          <w:p w14:paraId="3BEFD99F">
            <w:pPr>
              <w:spacing w:line="360" w:lineRule="auto"/>
              <w:ind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按照</w:t>
            </w:r>
            <w:r>
              <w:rPr>
                <w:rFonts w:hint="eastAsia"/>
                <w:color w:val="000000" w:themeColor="text1"/>
                <w:sz w:val="21"/>
                <w:szCs w:val="21"/>
                <w14:textFill>
                  <w14:solidFill>
                    <w14:schemeClr w14:val="tx1"/>
                  </w14:solidFill>
                </w14:textFill>
              </w:rPr>
              <w:t>《危险废物识别标志设置技术规范》（GB1276-2022）</w:t>
            </w:r>
            <w:r>
              <w:rPr>
                <w:color w:val="000000" w:themeColor="text1"/>
                <w:sz w:val="21"/>
                <w:szCs w:val="21"/>
                <w14:textFill>
                  <w14:solidFill>
                    <w14:schemeClr w14:val="tx1"/>
                  </w14:solidFill>
                </w14:textFill>
              </w:rPr>
              <w:t>和危险废物识别标识设置规范设置标志，企业作为危险废物产生单位</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需要设置的标识牌主要为危险废物信息公开栏、贮存设施警示标识牌、包装识别标签，标识牌的设置位置、规格参数、公开内容的具体固定见表4</w:t>
            </w:r>
            <w:r>
              <w:rPr>
                <w:rFonts w:hint="eastAsia"/>
                <w:color w:val="000000" w:themeColor="text1"/>
                <w:sz w:val="21"/>
                <w:szCs w:val="21"/>
                <w:lang w:val="en-US" w:eastAsia="zh-CN"/>
                <w14:textFill>
                  <w14:solidFill>
                    <w14:schemeClr w14:val="tx1"/>
                  </w14:solidFill>
                </w14:textFill>
              </w:rPr>
              <w:t>.4-7</w:t>
            </w:r>
            <w:r>
              <w:rPr>
                <w:color w:val="000000" w:themeColor="text1"/>
                <w:sz w:val="21"/>
                <w:szCs w:val="21"/>
                <w14:textFill>
                  <w14:solidFill>
                    <w14:schemeClr w14:val="tx1"/>
                  </w14:solidFill>
                </w14:textFill>
              </w:rPr>
              <w:t>。</w:t>
            </w:r>
          </w:p>
          <w:p w14:paraId="76F1B36C">
            <w:pPr>
              <w:adjustRightInd w:val="0"/>
              <w:snapToGrid w:val="0"/>
              <w:jc w:val="center"/>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表4</w:t>
            </w:r>
            <w:r>
              <w:rPr>
                <w:rFonts w:hint="eastAsia"/>
                <w:b/>
                <w:color w:val="000000" w:themeColor="text1"/>
                <w:sz w:val="21"/>
                <w:szCs w:val="21"/>
                <w:lang w:val="en-US" w:eastAsia="zh-CN"/>
                <w14:textFill>
                  <w14:solidFill>
                    <w14:schemeClr w14:val="tx1"/>
                  </w14:solidFill>
                </w14:textFill>
              </w:rPr>
              <w:t>.4-7</w:t>
            </w:r>
            <w:r>
              <w:rPr>
                <w:rFonts w:hint="eastAsia"/>
                <w:b/>
                <w:color w:val="000000" w:themeColor="text1"/>
                <w:sz w:val="21"/>
                <w:szCs w:val="21"/>
                <w14:textFill>
                  <w14:solidFill>
                    <w14:schemeClr w14:val="tx1"/>
                  </w14:solidFill>
                </w14:textFill>
              </w:rPr>
              <w:t>固废堆放场的环境保护图形标志一览表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6"/>
              <w:gridCol w:w="2519"/>
              <w:gridCol w:w="1262"/>
              <w:gridCol w:w="2239"/>
              <w:gridCol w:w="1869"/>
            </w:tblGrid>
            <w:tr w14:paraId="6A94A4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3" w:type="dxa"/>
                  <w:vMerge w:val="restart"/>
                  <w:noWrap/>
                  <w:vAlign w:val="center"/>
                </w:tcPr>
                <w:p w14:paraId="07D9BC1F">
                  <w:pPr>
                    <w:pStyle w:val="38"/>
                    <w:spacing w:line="240" w:lineRule="auto"/>
                    <w:ind w:left="-105" w:leftChars="-50" w:right="-105" w:rightChars="-50"/>
                    <w:rPr>
                      <w:rFonts w:ascii="Times New Roman" w:hAnsi="Times New Roman"/>
                      <w:b/>
                      <w:bCs/>
                      <w:color w:val="000000" w:themeColor="text1"/>
                      <w:sz w:val="21"/>
                      <w:szCs w:val="21"/>
                      <w14:textFill>
                        <w14:solidFill>
                          <w14:schemeClr w14:val="tx1"/>
                        </w14:solidFill>
                      </w14:textFill>
                    </w:rPr>
                  </w:pPr>
                  <w:r>
                    <w:rPr>
                      <w:rFonts w:hint="eastAsia" w:ascii="Times New Roman" w:hAnsi="Times New Roman"/>
                      <w:b/>
                      <w:bCs/>
                      <w:color w:val="000000" w:themeColor="text1"/>
                      <w:sz w:val="21"/>
                      <w:szCs w:val="21"/>
                      <w14:textFill>
                        <w14:solidFill>
                          <w14:schemeClr w14:val="tx1"/>
                        </w14:solidFill>
                      </w14:textFill>
                    </w:rPr>
                    <w:t>标志牌名称</w:t>
                  </w:r>
                </w:p>
              </w:tc>
              <w:tc>
                <w:tcPr>
                  <w:tcW w:w="2552" w:type="dxa"/>
                  <w:vMerge w:val="restart"/>
                  <w:noWrap/>
                  <w:vAlign w:val="center"/>
                </w:tcPr>
                <w:p w14:paraId="068C76C4">
                  <w:pPr>
                    <w:pStyle w:val="38"/>
                    <w:spacing w:line="240" w:lineRule="auto"/>
                    <w:ind w:left="-105" w:leftChars="-50" w:right="-105" w:rightChars="-50"/>
                    <w:rPr>
                      <w:rFonts w:ascii="Times New Roman" w:hAnsi="Times New Roman"/>
                      <w:b/>
                      <w:bCs/>
                      <w:color w:val="000000" w:themeColor="text1"/>
                      <w:sz w:val="21"/>
                      <w:szCs w:val="21"/>
                      <w14:textFill>
                        <w14:solidFill>
                          <w14:schemeClr w14:val="tx1"/>
                        </w14:solidFill>
                      </w14:textFill>
                    </w:rPr>
                  </w:pPr>
                  <w:r>
                    <w:rPr>
                      <w:rFonts w:hint="eastAsia" w:ascii="Times New Roman" w:hAnsi="Times New Roman"/>
                      <w:b/>
                      <w:bCs/>
                      <w:color w:val="000000" w:themeColor="text1"/>
                      <w:sz w:val="21"/>
                      <w:szCs w:val="21"/>
                      <w14:textFill>
                        <w14:solidFill>
                          <w14:schemeClr w14:val="tx1"/>
                        </w14:solidFill>
                      </w14:textFill>
                    </w:rPr>
                    <w:t>图案样式</w:t>
                  </w:r>
                </w:p>
              </w:tc>
              <w:tc>
                <w:tcPr>
                  <w:tcW w:w="5438" w:type="dxa"/>
                  <w:gridSpan w:val="3"/>
                  <w:noWrap/>
                  <w:vAlign w:val="center"/>
                </w:tcPr>
                <w:p w14:paraId="1C5802DC">
                  <w:pPr>
                    <w:pStyle w:val="38"/>
                    <w:spacing w:line="240" w:lineRule="auto"/>
                    <w:ind w:left="-105" w:leftChars="-50" w:right="-105" w:rightChars="-50"/>
                    <w:rPr>
                      <w:rFonts w:ascii="Times New Roman" w:hAnsi="Times New Roman"/>
                      <w:b/>
                      <w:bCs/>
                      <w:color w:val="000000" w:themeColor="text1"/>
                      <w:sz w:val="21"/>
                      <w:szCs w:val="21"/>
                      <w14:textFill>
                        <w14:solidFill>
                          <w14:schemeClr w14:val="tx1"/>
                        </w14:solidFill>
                      </w14:textFill>
                    </w:rPr>
                  </w:pPr>
                  <w:r>
                    <w:rPr>
                      <w:rFonts w:hint="eastAsia" w:ascii="Times New Roman" w:hAnsi="Times New Roman"/>
                      <w:b/>
                      <w:bCs/>
                      <w:color w:val="000000" w:themeColor="text1"/>
                      <w:sz w:val="21"/>
                      <w:szCs w:val="21"/>
                      <w14:textFill>
                        <w14:solidFill>
                          <w14:schemeClr w14:val="tx1"/>
                        </w14:solidFill>
                      </w14:textFill>
                    </w:rPr>
                    <w:t>设置</w:t>
                  </w:r>
                </w:p>
              </w:tc>
            </w:tr>
            <w:tr w14:paraId="1ABEE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633" w:type="dxa"/>
                  <w:vMerge w:val="continue"/>
                  <w:noWrap/>
                  <w:vAlign w:val="center"/>
                </w:tcPr>
                <w:p w14:paraId="20D6528A">
                  <w:pPr>
                    <w:pStyle w:val="38"/>
                    <w:spacing w:line="240" w:lineRule="auto"/>
                    <w:ind w:left="-105" w:leftChars="-50" w:right="-105" w:rightChars="-50"/>
                    <w:rPr>
                      <w:rFonts w:ascii="Times New Roman" w:hAnsi="Times New Roman"/>
                      <w:b/>
                      <w:bCs/>
                      <w:color w:val="000000" w:themeColor="text1"/>
                      <w:sz w:val="21"/>
                      <w:szCs w:val="21"/>
                      <w14:textFill>
                        <w14:solidFill>
                          <w14:schemeClr w14:val="tx1"/>
                        </w14:solidFill>
                      </w14:textFill>
                    </w:rPr>
                  </w:pPr>
                </w:p>
              </w:tc>
              <w:tc>
                <w:tcPr>
                  <w:tcW w:w="2552" w:type="dxa"/>
                  <w:vMerge w:val="continue"/>
                  <w:noWrap/>
                  <w:vAlign w:val="center"/>
                </w:tcPr>
                <w:p w14:paraId="28D56F2F">
                  <w:pPr>
                    <w:pStyle w:val="38"/>
                    <w:spacing w:line="240" w:lineRule="auto"/>
                    <w:ind w:left="-105" w:leftChars="-50" w:right="-105" w:rightChars="-50"/>
                    <w:rPr>
                      <w:rFonts w:ascii="Times New Roman" w:hAnsi="Times New Roman"/>
                      <w:b/>
                      <w:bCs/>
                      <w:color w:val="000000" w:themeColor="text1"/>
                      <w:sz w:val="21"/>
                      <w:szCs w:val="21"/>
                      <w14:textFill>
                        <w14:solidFill>
                          <w14:schemeClr w14:val="tx1"/>
                        </w14:solidFill>
                      </w14:textFill>
                    </w:rPr>
                  </w:pPr>
                </w:p>
              </w:tc>
              <w:tc>
                <w:tcPr>
                  <w:tcW w:w="1277" w:type="dxa"/>
                  <w:noWrap/>
                  <w:vAlign w:val="center"/>
                </w:tcPr>
                <w:p w14:paraId="634D97F4">
                  <w:pPr>
                    <w:pStyle w:val="38"/>
                    <w:spacing w:line="240" w:lineRule="auto"/>
                    <w:ind w:left="-105" w:leftChars="-50" w:right="-105" w:rightChars="-50"/>
                    <w:rPr>
                      <w:rFonts w:ascii="Times New Roman" w:hAnsi="Times New Roman"/>
                      <w:b/>
                      <w:bCs/>
                      <w:color w:val="000000" w:themeColor="text1"/>
                      <w:sz w:val="21"/>
                      <w:szCs w:val="21"/>
                      <w14:textFill>
                        <w14:solidFill>
                          <w14:schemeClr w14:val="tx1"/>
                        </w14:solidFill>
                      </w14:textFill>
                    </w:rPr>
                  </w:pPr>
                  <w:r>
                    <w:rPr>
                      <w:rFonts w:hint="eastAsia" w:ascii="Times New Roman" w:hAnsi="Times New Roman"/>
                      <w:b/>
                      <w:bCs/>
                      <w:color w:val="000000" w:themeColor="text1"/>
                      <w:sz w:val="21"/>
                      <w:szCs w:val="21"/>
                      <w14:textFill>
                        <w14:solidFill>
                          <w14:schemeClr w14:val="tx1"/>
                        </w14:solidFill>
                      </w14:textFill>
                    </w:rPr>
                    <w:t>设置位置</w:t>
                  </w:r>
                </w:p>
              </w:tc>
              <w:tc>
                <w:tcPr>
                  <w:tcW w:w="4161" w:type="dxa"/>
                  <w:gridSpan w:val="2"/>
                  <w:noWrap/>
                  <w:vAlign w:val="center"/>
                </w:tcPr>
                <w:p w14:paraId="32B06A33">
                  <w:pPr>
                    <w:pStyle w:val="38"/>
                    <w:spacing w:line="240" w:lineRule="auto"/>
                    <w:ind w:left="-105" w:leftChars="-50" w:right="-105" w:rightChars="-50"/>
                    <w:rPr>
                      <w:rFonts w:ascii="Times New Roman" w:hAnsi="Times New Roman"/>
                      <w:b/>
                      <w:bCs/>
                      <w:color w:val="000000" w:themeColor="text1"/>
                      <w:sz w:val="21"/>
                      <w:szCs w:val="21"/>
                      <w14:textFill>
                        <w14:solidFill>
                          <w14:schemeClr w14:val="tx1"/>
                        </w14:solidFill>
                      </w14:textFill>
                    </w:rPr>
                  </w:pPr>
                  <w:r>
                    <w:rPr>
                      <w:rFonts w:hint="eastAsia" w:ascii="Times New Roman" w:hAnsi="Times New Roman"/>
                      <w:b/>
                      <w:bCs/>
                      <w:color w:val="000000" w:themeColor="text1"/>
                      <w:sz w:val="21"/>
                      <w:szCs w:val="21"/>
                      <w14:textFill>
                        <w14:solidFill>
                          <w14:schemeClr w14:val="tx1"/>
                        </w14:solidFill>
                      </w14:textFill>
                    </w:rPr>
                    <w:t>规格参数</w:t>
                  </w:r>
                </w:p>
              </w:tc>
            </w:tr>
            <w:tr w14:paraId="0544B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633" w:type="dxa"/>
                  <w:noWrap/>
                  <w:vAlign w:val="center"/>
                </w:tcPr>
                <w:p w14:paraId="7CDD9E18">
                  <w:pPr>
                    <w:pStyle w:val="38"/>
                    <w:spacing w:line="240" w:lineRule="auto"/>
                    <w:ind w:left="-105" w:leftChars="-50" w:right="-105" w:rightChars="-50"/>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危险废物信息公开栏</w:t>
                  </w:r>
                </w:p>
              </w:tc>
              <w:tc>
                <w:tcPr>
                  <w:tcW w:w="2552" w:type="dxa"/>
                  <w:noWrap/>
                  <w:vAlign w:val="center"/>
                </w:tcPr>
                <w:p w14:paraId="008088AE">
                  <w:pPr>
                    <w:pStyle w:val="38"/>
                    <w:spacing w:line="240" w:lineRule="auto"/>
                    <w:ind w:left="-105" w:leftChars="-50" w:right="-105" w:rightChars="-50"/>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危险废物产生单位：</w:t>
                  </w:r>
                </w:p>
                <w:p w14:paraId="4A1413A7">
                  <w:pPr>
                    <w:pStyle w:val="38"/>
                    <w:spacing w:line="240" w:lineRule="auto"/>
                    <w:ind w:left="-105" w:leftChars="-50" w:right="-105" w:rightChars="-50"/>
                    <w:rPr>
                      <w:rFonts w:ascii="Times New Roman" w:hAnsi="Times New Roman"/>
                      <w:bCs/>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drawing>
                      <wp:inline distT="0" distB="0" distL="114300" distR="114300">
                        <wp:extent cx="1517650" cy="1023620"/>
                        <wp:effectExtent l="0" t="0" r="6350" b="1270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5"/>
                                <a:stretch>
                                  <a:fillRect/>
                                </a:stretch>
                              </pic:blipFill>
                              <pic:spPr>
                                <a:xfrm>
                                  <a:off x="0" y="0"/>
                                  <a:ext cx="1517650" cy="1023620"/>
                                </a:xfrm>
                                <a:prstGeom prst="rect">
                                  <a:avLst/>
                                </a:prstGeom>
                                <a:noFill/>
                                <a:ln>
                                  <a:noFill/>
                                </a:ln>
                              </pic:spPr>
                            </pic:pic>
                          </a:graphicData>
                        </a:graphic>
                      </wp:inline>
                    </w:drawing>
                  </w:r>
                </w:p>
              </w:tc>
              <w:tc>
                <w:tcPr>
                  <w:tcW w:w="1277" w:type="dxa"/>
                  <w:noWrap/>
                  <w:vAlign w:val="center"/>
                </w:tcPr>
                <w:p w14:paraId="69783B32">
                  <w:pPr>
                    <w:pStyle w:val="38"/>
                    <w:spacing w:line="240" w:lineRule="auto"/>
                    <w:ind w:left="-105" w:leftChars="-50" w:right="-105" w:rightChars="-50"/>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采用立式固定方式固定在企业厂区门口醒目位置，公开栏顶端距离地面200cm处</w:t>
                  </w:r>
                </w:p>
              </w:tc>
              <w:tc>
                <w:tcPr>
                  <w:tcW w:w="4161" w:type="dxa"/>
                  <w:gridSpan w:val="2"/>
                  <w:noWrap/>
                  <w:vAlign w:val="center"/>
                </w:tcPr>
                <w:p w14:paraId="69803BC3">
                  <w:pPr>
                    <w:pStyle w:val="38"/>
                    <w:spacing w:line="240" w:lineRule="auto"/>
                    <w:ind w:left="-105" w:leftChars="-50" w:right="-105" w:rightChars="-50"/>
                    <w:jc w:val="both"/>
                    <w:rPr>
                      <w:rFonts w:hint="eastAsia" w:ascii="Times New Roman" w:hAnsi="Times New Roman" w:eastAsia="宋体"/>
                      <w:bCs/>
                      <w:color w:val="000000" w:themeColor="text1"/>
                      <w:sz w:val="21"/>
                      <w:szCs w:val="21"/>
                      <w:lang w:eastAsia="zh-CN"/>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w:t>
                  </w:r>
                  <w:r>
                    <w:rPr>
                      <w:rFonts w:ascii="Times New Roman" w:hAnsi="Times New Roman"/>
                      <w:bCs/>
                      <w:color w:val="000000" w:themeColor="text1"/>
                      <w:sz w:val="21"/>
                      <w:szCs w:val="21"/>
                      <w14:textFill>
                        <w14:solidFill>
                          <w14:schemeClr w14:val="tx1"/>
                        </w14:solidFill>
                      </w14:textFill>
                    </w:rPr>
                    <w:t>1</w:t>
                  </w:r>
                  <w:r>
                    <w:rPr>
                      <w:rFonts w:hint="eastAsia" w:ascii="Times New Roman" w:hAnsi="Times New Roman"/>
                      <w:bCs/>
                      <w:color w:val="000000" w:themeColor="text1"/>
                      <w:sz w:val="21"/>
                      <w:szCs w:val="21"/>
                      <w14:textFill>
                        <w14:solidFill>
                          <w14:schemeClr w14:val="tx1"/>
                        </w14:solidFill>
                      </w14:textFill>
                    </w:rPr>
                    <w:t>）尺寸：底板</w:t>
                  </w:r>
                  <w:r>
                    <w:rPr>
                      <w:rFonts w:ascii="Times New Roman" w:hAnsi="Times New Roman"/>
                      <w:bCs/>
                      <w:color w:val="000000" w:themeColor="text1"/>
                      <w:sz w:val="21"/>
                      <w:szCs w:val="21"/>
                      <w14:textFill>
                        <w14:solidFill>
                          <w14:schemeClr w14:val="tx1"/>
                        </w14:solidFill>
                      </w14:textFill>
                    </w:rPr>
                    <w:t>120cm×80cm</w:t>
                  </w:r>
                  <w:r>
                    <w:rPr>
                      <w:rFonts w:hint="eastAsia" w:ascii="Times New Roman" w:hAnsi="Times New Roman"/>
                      <w:bCs/>
                      <w:color w:val="000000" w:themeColor="text1"/>
                      <w:sz w:val="21"/>
                      <w:szCs w:val="21"/>
                      <w:lang w:eastAsia="zh-CN"/>
                      <w14:textFill>
                        <w14:solidFill>
                          <w14:schemeClr w14:val="tx1"/>
                        </w14:solidFill>
                      </w14:textFill>
                    </w:rPr>
                    <w:t>；</w:t>
                  </w:r>
                </w:p>
                <w:p w14:paraId="059BCFE2">
                  <w:pPr>
                    <w:pStyle w:val="38"/>
                    <w:spacing w:line="240" w:lineRule="auto"/>
                    <w:ind w:left="-105" w:leftChars="-50" w:right="-105" w:rightChars="-50"/>
                    <w:rPr>
                      <w:rFonts w:hint="eastAsia" w:ascii="Times New Roman" w:hAnsi="Times New Roman" w:eastAsia="宋体"/>
                      <w:bCs/>
                      <w:color w:val="000000" w:themeColor="text1"/>
                      <w:sz w:val="21"/>
                      <w:szCs w:val="21"/>
                      <w:lang w:eastAsia="zh-CN"/>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（2）颜色与字体：公开栏底板背景颜色为蓝色，文字颜色为白色，所有文字字体为黑体</w:t>
                  </w:r>
                  <w:r>
                    <w:rPr>
                      <w:rFonts w:hint="eastAsia" w:ascii="Times New Roman" w:hAnsi="Times New Roman"/>
                      <w:bCs/>
                      <w:color w:val="000000" w:themeColor="text1"/>
                      <w:sz w:val="21"/>
                      <w:szCs w:val="21"/>
                      <w:lang w:eastAsia="zh-CN"/>
                      <w14:textFill>
                        <w14:solidFill>
                          <w14:schemeClr w14:val="tx1"/>
                        </w14:solidFill>
                      </w14:textFill>
                    </w:rPr>
                    <w:t>；</w:t>
                  </w:r>
                </w:p>
                <w:p w14:paraId="14C529C4">
                  <w:pPr>
                    <w:pStyle w:val="38"/>
                    <w:spacing w:line="240" w:lineRule="auto"/>
                    <w:ind w:left="-105" w:leftChars="-50" w:right="-105" w:rightChars="-50"/>
                    <w:jc w:val="both"/>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w:t>
                  </w:r>
                  <w:r>
                    <w:rPr>
                      <w:rFonts w:ascii="Times New Roman" w:hAnsi="Times New Roman"/>
                      <w:bCs/>
                      <w:color w:val="000000" w:themeColor="text1"/>
                      <w:sz w:val="21"/>
                      <w:szCs w:val="21"/>
                      <w14:textFill>
                        <w14:solidFill>
                          <w14:schemeClr w14:val="tx1"/>
                        </w14:solidFill>
                      </w14:textFill>
                    </w:rPr>
                    <w:t>3</w:t>
                  </w:r>
                  <w:r>
                    <w:rPr>
                      <w:rFonts w:hint="eastAsia" w:ascii="Times New Roman" w:hAnsi="Times New Roman"/>
                      <w:bCs/>
                      <w:color w:val="000000" w:themeColor="text1"/>
                      <w:sz w:val="21"/>
                      <w:szCs w:val="21"/>
                      <w14:textFill>
                        <w14:solidFill>
                          <w14:schemeClr w14:val="tx1"/>
                        </w14:solidFill>
                      </w14:textFill>
                    </w:rPr>
                    <w:t>）材料：底板采用</w:t>
                  </w:r>
                  <w:r>
                    <w:rPr>
                      <w:rFonts w:ascii="Times New Roman" w:hAnsi="Times New Roman"/>
                      <w:bCs/>
                      <w:color w:val="000000" w:themeColor="text1"/>
                      <w:sz w:val="21"/>
                      <w:szCs w:val="21"/>
                      <w14:textFill>
                        <w14:solidFill>
                          <w14:schemeClr w14:val="tx1"/>
                        </w14:solidFill>
                      </w14:textFill>
                    </w:rPr>
                    <w:t>5mm</w:t>
                  </w:r>
                  <w:r>
                    <w:rPr>
                      <w:rFonts w:hint="eastAsia" w:ascii="Times New Roman" w:hAnsi="Times New Roman"/>
                      <w:bCs/>
                      <w:color w:val="000000" w:themeColor="text1"/>
                      <w:sz w:val="21"/>
                      <w:szCs w:val="21"/>
                      <w14:textFill>
                        <w14:solidFill>
                          <w14:schemeClr w14:val="tx1"/>
                        </w14:solidFill>
                      </w14:textFill>
                    </w:rPr>
                    <w:t>铝板。</w:t>
                  </w:r>
                </w:p>
              </w:tc>
            </w:tr>
            <w:tr w14:paraId="0DB2DE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jc w:val="center"/>
              </w:trPr>
              <w:tc>
                <w:tcPr>
                  <w:tcW w:w="633" w:type="dxa"/>
                  <w:vMerge w:val="restart"/>
                  <w:noWrap/>
                  <w:vAlign w:val="center"/>
                </w:tcPr>
                <w:p w14:paraId="777B52D8">
                  <w:pPr>
                    <w:pStyle w:val="38"/>
                    <w:spacing w:line="240" w:lineRule="auto"/>
                    <w:ind w:left="-105" w:leftChars="-50" w:right="-105" w:rightChars="-50"/>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贮存分区标志</w:t>
                  </w:r>
                </w:p>
              </w:tc>
              <w:tc>
                <w:tcPr>
                  <w:tcW w:w="2552" w:type="dxa"/>
                  <w:vMerge w:val="restart"/>
                  <w:noWrap/>
                  <w:vAlign w:val="center"/>
                </w:tcPr>
                <w:p w14:paraId="2A4F2BC7">
                  <w:pPr>
                    <w:pStyle w:val="38"/>
                    <w:spacing w:line="240" w:lineRule="auto"/>
                    <w:ind w:left="-105" w:leftChars="-50" w:right="-105" w:rightChars="-50"/>
                    <w:rPr>
                      <w:rFonts w:ascii="Times New Roman" w:hAnsi="Times New Roman"/>
                      <w:bCs/>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drawing>
                      <wp:inline distT="0" distB="0" distL="114300" distR="114300">
                        <wp:extent cx="1544955" cy="1295400"/>
                        <wp:effectExtent l="0" t="0" r="9525"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6"/>
                                <a:stretch>
                                  <a:fillRect/>
                                </a:stretch>
                              </pic:blipFill>
                              <pic:spPr>
                                <a:xfrm>
                                  <a:off x="0" y="0"/>
                                  <a:ext cx="1544955" cy="1295400"/>
                                </a:xfrm>
                                <a:prstGeom prst="rect">
                                  <a:avLst/>
                                </a:prstGeom>
                                <a:noFill/>
                                <a:ln>
                                  <a:noFill/>
                                </a:ln>
                              </pic:spPr>
                            </pic:pic>
                          </a:graphicData>
                        </a:graphic>
                      </wp:inline>
                    </w:drawing>
                  </w:r>
                </w:p>
                <w:p w14:paraId="791DCF84">
                  <w:pPr>
                    <w:pStyle w:val="38"/>
                    <w:spacing w:line="240" w:lineRule="auto"/>
                    <w:ind w:left="-105" w:leftChars="-50" w:right="-105" w:rightChars="-50"/>
                    <w:rPr>
                      <w:rFonts w:ascii="Times New Roman" w:hAnsi="Times New Roman"/>
                      <w:bCs/>
                      <w:color w:val="000000" w:themeColor="text1"/>
                      <w:sz w:val="21"/>
                      <w:szCs w:val="21"/>
                      <w14:textFill>
                        <w14:solidFill>
                          <w14:schemeClr w14:val="tx1"/>
                        </w14:solidFill>
                      </w14:textFill>
                    </w:rPr>
                  </w:pPr>
                </w:p>
                <w:p w14:paraId="12FD1FA6">
                  <w:pPr>
                    <w:pStyle w:val="38"/>
                    <w:spacing w:line="240" w:lineRule="auto"/>
                    <w:ind w:left="-105" w:leftChars="-50" w:right="-105" w:rightChars="-50"/>
                    <w:rPr>
                      <w:rFonts w:ascii="Times New Roman" w:hAnsi="Times New Roman"/>
                      <w:bCs/>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drawing>
                      <wp:inline distT="0" distB="0" distL="114300" distR="114300">
                        <wp:extent cx="1557655" cy="1120775"/>
                        <wp:effectExtent l="0" t="0" r="12065" b="698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7"/>
                                <a:stretch>
                                  <a:fillRect/>
                                </a:stretch>
                              </pic:blipFill>
                              <pic:spPr>
                                <a:xfrm>
                                  <a:off x="0" y="0"/>
                                  <a:ext cx="1557655" cy="1120775"/>
                                </a:xfrm>
                                <a:prstGeom prst="rect">
                                  <a:avLst/>
                                </a:prstGeom>
                                <a:noFill/>
                                <a:ln>
                                  <a:noFill/>
                                </a:ln>
                              </pic:spPr>
                            </pic:pic>
                          </a:graphicData>
                        </a:graphic>
                      </wp:inline>
                    </w:drawing>
                  </w:r>
                </w:p>
                <w:p w14:paraId="6FD3D38C">
                  <w:pPr>
                    <w:pStyle w:val="38"/>
                    <w:spacing w:line="240" w:lineRule="auto"/>
                    <w:ind w:left="-105" w:leftChars="-50" w:right="-105" w:rightChars="-50"/>
                    <w:rPr>
                      <w:rFonts w:ascii="Times New Roman" w:hAnsi="Times New Roman"/>
                      <w:bCs/>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drawing>
                      <wp:inline distT="0" distB="0" distL="114300" distR="114300">
                        <wp:extent cx="1529715" cy="1116330"/>
                        <wp:effectExtent l="0" t="0" r="9525" b="1143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8"/>
                                <a:stretch>
                                  <a:fillRect/>
                                </a:stretch>
                              </pic:blipFill>
                              <pic:spPr>
                                <a:xfrm>
                                  <a:off x="0" y="0"/>
                                  <a:ext cx="1529715" cy="1116330"/>
                                </a:xfrm>
                                <a:prstGeom prst="rect">
                                  <a:avLst/>
                                </a:prstGeom>
                                <a:noFill/>
                                <a:ln>
                                  <a:noFill/>
                                </a:ln>
                              </pic:spPr>
                            </pic:pic>
                          </a:graphicData>
                        </a:graphic>
                      </wp:inline>
                    </w:drawing>
                  </w:r>
                </w:p>
                <w:p w14:paraId="6B6BFDDD">
                  <w:pPr>
                    <w:pStyle w:val="38"/>
                    <w:spacing w:line="240" w:lineRule="auto"/>
                    <w:ind w:left="-105" w:leftChars="-50" w:right="-105" w:rightChars="-50"/>
                    <w:rPr>
                      <w:rFonts w:ascii="Times New Roman" w:hAnsi="Times New Roman"/>
                      <w:bCs/>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drawing>
                      <wp:inline distT="0" distB="0" distL="114300" distR="114300">
                        <wp:extent cx="1572260" cy="1136015"/>
                        <wp:effectExtent l="0" t="0" r="12700" b="698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9"/>
                                <a:stretch>
                                  <a:fillRect/>
                                </a:stretch>
                              </pic:blipFill>
                              <pic:spPr>
                                <a:xfrm>
                                  <a:off x="0" y="0"/>
                                  <a:ext cx="1572260" cy="1136015"/>
                                </a:xfrm>
                                <a:prstGeom prst="rect">
                                  <a:avLst/>
                                </a:prstGeom>
                                <a:noFill/>
                                <a:ln>
                                  <a:noFill/>
                                </a:ln>
                              </pic:spPr>
                            </pic:pic>
                          </a:graphicData>
                        </a:graphic>
                      </wp:inline>
                    </w:drawing>
                  </w:r>
                </w:p>
              </w:tc>
              <w:tc>
                <w:tcPr>
                  <w:tcW w:w="1277" w:type="dxa"/>
                  <w:noWrap/>
                  <w:vAlign w:val="center"/>
                </w:tcPr>
                <w:p w14:paraId="42AEE93C">
                  <w:pPr>
                    <w:pStyle w:val="38"/>
                    <w:spacing w:line="240" w:lineRule="auto"/>
                    <w:ind w:left="-105" w:leftChars="-50" w:right="-105" w:rightChars="-50"/>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露天/室外入口</w:t>
                  </w:r>
                </w:p>
              </w:tc>
              <w:tc>
                <w:tcPr>
                  <w:tcW w:w="2268" w:type="dxa"/>
                  <w:noWrap/>
                  <w:vAlign w:val="center"/>
                </w:tcPr>
                <w:p w14:paraId="0BE66C01">
                  <w:pPr>
                    <w:pStyle w:val="38"/>
                    <w:spacing w:line="240" w:lineRule="auto"/>
                    <w:ind w:left="-105" w:leftChars="-50" w:right="-105" w:rightChars="-50"/>
                    <w:rPr>
                      <w:rFonts w:ascii="Times New Roman" w:hAnsi="Times New Roman"/>
                      <w:bCs/>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观察距离</w:t>
                  </w:r>
                  <w:r>
                    <w:rPr>
                      <w:rFonts w:hint="eastAsia" w:ascii="Times New Roman" w:hAnsi="Times New Roman"/>
                      <w:bCs/>
                      <w:color w:val="000000" w:themeColor="text1"/>
                      <w:sz w:val="21"/>
                      <w:szCs w:val="21"/>
                      <w14:textFill>
                        <w14:solidFill>
                          <w14:schemeClr w14:val="tx1"/>
                        </w14:solidFill>
                      </w14:textFill>
                    </w:rPr>
                    <w:t>L</w:t>
                  </w:r>
                  <w:r>
                    <w:rPr>
                      <w:rFonts w:ascii="Times New Roman" w:hAnsi="Times New Roman"/>
                      <w:bCs/>
                      <w:color w:val="000000" w:themeColor="text1"/>
                      <w:sz w:val="21"/>
                      <w:szCs w:val="21"/>
                      <w14:textFill>
                        <w14:solidFill>
                          <w14:schemeClr w14:val="tx1"/>
                        </w14:solidFill>
                      </w14:textFill>
                    </w:rPr>
                    <w:t>＞10m，标志牌整体外形最小尺寸900mm×558mm</w:t>
                  </w:r>
                </w:p>
              </w:tc>
              <w:tc>
                <w:tcPr>
                  <w:tcW w:w="1893" w:type="dxa"/>
                  <w:vMerge w:val="restart"/>
                  <w:noWrap/>
                  <w:vAlign w:val="center"/>
                </w:tcPr>
                <w:p w14:paraId="4FF6721D">
                  <w:pPr>
                    <w:pStyle w:val="38"/>
                    <w:spacing w:line="240" w:lineRule="auto"/>
                    <w:ind w:left="-105" w:leftChars="-50" w:right="-105" w:rightChars="-50"/>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w:t>
                  </w:r>
                  <w:r>
                    <w:rPr>
                      <w:rFonts w:ascii="Times New Roman" w:hAnsi="Times New Roman"/>
                      <w:bCs/>
                      <w:color w:val="000000" w:themeColor="text1"/>
                      <w:sz w:val="21"/>
                      <w:szCs w:val="21"/>
                      <w14:textFill>
                        <w14:solidFill>
                          <w14:schemeClr w14:val="tx1"/>
                        </w14:solidFill>
                      </w14:textFill>
                    </w:rPr>
                    <w:t>颜色与字体：</w:t>
                  </w:r>
                  <w:r>
                    <w:rPr>
                      <w:rFonts w:hint="eastAsia" w:ascii="Times New Roman" w:hAnsi="Times New Roman"/>
                      <w:bCs/>
                      <w:color w:val="000000" w:themeColor="text1"/>
                      <w:sz w:val="21"/>
                      <w:szCs w:val="21"/>
                      <w14:textFill>
                        <w14:solidFill>
                          <w14:schemeClr w14:val="tx1"/>
                        </w14:solidFill>
                      </w14:textFill>
                    </w:rPr>
                    <w:t>危险废物设施标志背景颜色为黄色，字体和边框颜色为黑色，危险废物设施标志背景颜色为黄色，字体和边框颜色为黑色。（</w:t>
                  </w:r>
                  <w:r>
                    <w:rPr>
                      <w:rFonts w:hint="eastAsia" w:ascii="Times New Roman" w:hAnsi="Times New Roman"/>
                      <w:bCs/>
                      <w:color w:val="000000" w:themeColor="text1"/>
                      <w:sz w:val="21"/>
                      <w:szCs w:val="21"/>
                      <w:lang w:val="en-US" w:eastAsia="zh-CN"/>
                      <w14:textFill>
                        <w14:solidFill>
                          <w14:schemeClr w14:val="tx1"/>
                        </w14:solidFill>
                      </w14:textFill>
                    </w:rPr>
                    <w:t>2</w:t>
                  </w:r>
                  <w:r>
                    <w:rPr>
                      <w:rFonts w:hint="eastAsia" w:ascii="Times New Roman" w:hAnsi="Times New Roman"/>
                      <w:bCs/>
                      <w:color w:val="000000" w:themeColor="text1"/>
                      <w:sz w:val="21"/>
                      <w:szCs w:val="21"/>
                      <w14:textFill>
                        <w14:solidFill>
                          <w14:schemeClr w14:val="tx1"/>
                        </w14:solidFill>
                      </w14:textFill>
                    </w:rPr>
                    <w:t>）材料：采用1.</w:t>
                  </w:r>
                  <w:r>
                    <w:rPr>
                      <w:rFonts w:ascii="Times New Roman" w:hAnsi="Times New Roman"/>
                      <w:bCs/>
                      <w:color w:val="000000" w:themeColor="text1"/>
                      <w:sz w:val="21"/>
                      <w:szCs w:val="21"/>
                      <w14:textFill>
                        <w14:solidFill>
                          <w14:schemeClr w14:val="tx1"/>
                        </w14:solidFill>
                      </w14:textFill>
                    </w:rPr>
                    <w:t>5</w:t>
                  </w:r>
                  <w:r>
                    <w:rPr>
                      <w:rFonts w:hint="eastAsia" w:ascii="Times New Roman" w:hAnsi="Times New Roman"/>
                      <w:bCs/>
                      <w:color w:val="000000" w:themeColor="text1"/>
                      <w:sz w:val="21"/>
                      <w:szCs w:val="21"/>
                      <w14:textFill>
                        <w14:solidFill>
                          <w14:schemeClr w14:val="tx1"/>
                        </w14:solidFill>
                      </w14:textFill>
                    </w:rPr>
                    <w:t>-2</w:t>
                  </w:r>
                  <w:r>
                    <w:rPr>
                      <w:rFonts w:ascii="Times New Roman" w:hAnsi="Times New Roman"/>
                      <w:bCs/>
                      <w:color w:val="000000" w:themeColor="text1"/>
                      <w:sz w:val="21"/>
                      <w:szCs w:val="21"/>
                      <w14:textFill>
                        <w14:solidFill>
                          <w14:schemeClr w14:val="tx1"/>
                        </w14:solidFill>
                      </w14:textFill>
                    </w:rPr>
                    <w:t>mm</w:t>
                  </w:r>
                  <w:r>
                    <w:rPr>
                      <w:rFonts w:hint="eastAsia" w:ascii="Times New Roman" w:hAnsi="Times New Roman"/>
                      <w:bCs/>
                      <w:color w:val="000000" w:themeColor="text1"/>
                      <w:sz w:val="21"/>
                      <w:szCs w:val="21"/>
                      <w14:textFill>
                        <w14:solidFill>
                          <w14:schemeClr w14:val="tx1"/>
                        </w14:solidFill>
                      </w14:textFill>
                    </w:rPr>
                    <w:t>冷轧钢板，表面采用搪瓷或反光贴膜处理，端面经过防腐处理；或者采用5mm铝板，不锈钢边框2cm压边。</w:t>
                  </w:r>
                </w:p>
              </w:tc>
            </w:tr>
            <w:tr w14:paraId="4B7D99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7" w:hRule="atLeast"/>
                <w:jc w:val="center"/>
              </w:trPr>
              <w:tc>
                <w:tcPr>
                  <w:tcW w:w="633" w:type="dxa"/>
                  <w:vMerge w:val="continue"/>
                  <w:noWrap/>
                  <w:vAlign w:val="center"/>
                </w:tcPr>
                <w:p w14:paraId="1D59F473">
                  <w:pPr>
                    <w:pStyle w:val="38"/>
                    <w:ind w:left="-105" w:leftChars="-50" w:right="-105" w:rightChars="-50"/>
                    <w:rPr>
                      <w:color w:val="000000" w:themeColor="text1"/>
                      <w:sz w:val="21"/>
                      <w:szCs w:val="21"/>
                      <w14:textFill>
                        <w14:solidFill>
                          <w14:schemeClr w14:val="tx1"/>
                        </w14:solidFill>
                      </w14:textFill>
                    </w:rPr>
                  </w:pPr>
                </w:p>
              </w:tc>
              <w:tc>
                <w:tcPr>
                  <w:tcW w:w="2552" w:type="dxa"/>
                  <w:vMerge w:val="continue"/>
                  <w:noWrap/>
                  <w:vAlign w:val="center"/>
                </w:tcPr>
                <w:p w14:paraId="5662AD61">
                  <w:pPr>
                    <w:pStyle w:val="38"/>
                    <w:ind w:left="-105" w:leftChars="-50" w:right="-105" w:rightChars="-50"/>
                    <w:rPr>
                      <w:color w:val="000000" w:themeColor="text1"/>
                      <w:sz w:val="21"/>
                      <w:szCs w:val="21"/>
                      <w14:textFill>
                        <w14:solidFill>
                          <w14:schemeClr w14:val="tx1"/>
                        </w14:solidFill>
                      </w14:textFill>
                    </w:rPr>
                  </w:pPr>
                </w:p>
              </w:tc>
              <w:tc>
                <w:tcPr>
                  <w:tcW w:w="1277" w:type="dxa"/>
                  <w:noWrap/>
                  <w:vAlign w:val="center"/>
                </w:tcPr>
                <w:p w14:paraId="2C77C465">
                  <w:pPr>
                    <w:pStyle w:val="38"/>
                    <w:spacing w:line="240" w:lineRule="auto"/>
                    <w:ind w:left="-105" w:leftChars="-50" w:right="-105" w:rightChars="-50"/>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室内</w:t>
                  </w:r>
                </w:p>
              </w:tc>
              <w:tc>
                <w:tcPr>
                  <w:tcW w:w="2268" w:type="dxa"/>
                  <w:noWrap/>
                  <w:vAlign w:val="center"/>
                </w:tcPr>
                <w:p w14:paraId="5FC4009F">
                  <w:pPr>
                    <w:pStyle w:val="38"/>
                    <w:spacing w:line="240" w:lineRule="auto"/>
                    <w:ind w:left="-105" w:leftChars="-50" w:right="-105" w:rightChars="-50"/>
                    <w:rPr>
                      <w:rFonts w:ascii="Times New Roman" w:hAnsi="Times New Roman"/>
                      <w:bCs/>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观察距离</w:t>
                  </w:r>
                  <w:r>
                    <w:rPr>
                      <w:rFonts w:hint="eastAsia" w:ascii="Times New Roman" w:hAnsi="Times New Roman"/>
                      <w:bCs/>
                      <w:color w:val="000000" w:themeColor="text1"/>
                      <w:sz w:val="21"/>
                      <w:szCs w:val="21"/>
                      <w14:textFill>
                        <w14:solidFill>
                          <w14:schemeClr w14:val="tx1"/>
                        </w14:solidFill>
                      </w14:textFill>
                    </w:rPr>
                    <w:t>4m＜L≤</w:t>
                  </w:r>
                  <w:r>
                    <w:rPr>
                      <w:rFonts w:ascii="Times New Roman" w:hAnsi="Times New Roman"/>
                      <w:bCs/>
                      <w:color w:val="000000" w:themeColor="text1"/>
                      <w:sz w:val="21"/>
                      <w:szCs w:val="21"/>
                      <w14:textFill>
                        <w14:solidFill>
                          <w14:schemeClr w14:val="tx1"/>
                        </w14:solidFill>
                      </w14:textFill>
                    </w:rPr>
                    <w:t>10m，标志牌整体外形最小尺寸</w:t>
                  </w:r>
                  <w:r>
                    <w:rPr>
                      <w:rFonts w:hint="eastAsia" w:ascii="Times New Roman" w:hAnsi="Times New Roman"/>
                      <w:bCs/>
                      <w:color w:val="000000" w:themeColor="text1"/>
                      <w:sz w:val="21"/>
                      <w:szCs w:val="21"/>
                      <w14:textFill>
                        <w14:solidFill>
                          <w14:schemeClr w14:val="tx1"/>
                        </w14:solidFill>
                      </w14:textFill>
                    </w:rPr>
                    <w:t>6</w:t>
                  </w:r>
                  <w:r>
                    <w:rPr>
                      <w:rFonts w:ascii="Times New Roman" w:hAnsi="Times New Roman"/>
                      <w:bCs/>
                      <w:color w:val="000000" w:themeColor="text1"/>
                      <w:sz w:val="21"/>
                      <w:szCs w:val="21"/>
                      <w14:textFill>
                        <w14:solidFill>
                          <w14:schemeClr w14:val="tx1"/>
                        </w14:solidFill>
                      </w14:textFill>
                    </w:rPr>
                    <w:t>00mm×</w:t>
                  </w:r>
                  <w:r>
                    <w:rPr>
                      <w:rFonts w:hint="eastAsia" w:ascii="Times New Roman" w:hAnsi="Times New Roman"/>
                      <w:bCs/>
                      <w:color w:val="000000" w:themeColor="text1"/>
                      <w:sz w:val="21"/>
                      <w:szCs w:val="21"/>
                      <w14:textFill>
                        <w14:solidFill>
                          <w14:schemeClr w14:val="tx1"/>
                        </w14:solidFill>
                      </w14:textFill>
                    </w:rPr>
                    <w:t>372</w:t>
                  </w:r>
                  <w:r>
                    <w:rPr>
                      <w:rFonts w:ascii="Times New Roman" w:hAnsi="Times New Roman"/>
                      <w:bCs/>
                      <w:color w:val="000000" w:themeColor="text1"/>
                      <w:sz w:val="21"/>
                      <w:szCs w:val="21"/>
                      <w14:textFill>
                        <w14:solidFill>
                          <w14:schemeClr w14:val="tx1"/>
                        </w14:solidFill>
                      </w14:textFill>
                    </w:rPr>
                    <w:t>mm</w:t>
                  </w:r>
                </w:p>
              </w:tc>
              <w:tc>
                <w:tcPr>
                  <w:tcW w:w="1893" w:type="dxa"/>
                  <w:vMerge w:val="continue"/>
                  <w:noWrap/>
                  <w:vAlign w:val="center"/>
                </w:tcPr>
                <w:p w14:paraId="1DD1639D">
                  <w:pPr>
                    <w:pStyle w:val="38"/>
                    <w:ind w:left="-105" w:leftChars="-50" w:right="-105" w:rightChars="-50"/>
                    <w:rPr>
                      <w:rFonts w:ascii="Times New Roman" w:hAnsi="Times New Roman"/>
                      <w:bCs/>
                      <w:color w:val="000000" w:themeColor="text1"/>
                      <w:sz w:val="21"/>
                      <w:szCs w:val="21"/>
                      <w14:textFill>
                        <w14:solidFill>
                          <w14:schemeClr w14:val="tx1"/>
                        </w14:solidFill>
                      </w14:textFill>
                    </w:rPr>
                  </w:pPr>
                </w:p>
              </w:tc>
            </w:tr>
            <w:tr w14:paraId="1ED82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8" w:hRule="atLeast"/>
                <w:jc w:val="center"/>
              </w:trPr>
              <w:tc>
                <w:tcPr>
                  <w:tcW w:w="633" w:type="dxa"/>
                  <w:vMerge w:val="continue"/>
                  <w:noWrap/>
                  <w:vAlign w:val="center"/>
                </w:tcPr>
                <w:p w14:paraId="49C92CB7">
                  <w:pPr>
                    <w:pStyle w:val="38"/>
                    <w:ind w:left="-105" w:leftChars="-50" w:right="-105" w:rightChars="-50"/>
                    <w:rPr>
                      <w:color w:val="000000" w:themeColor="text1"/>
                      <w:sz w:val="21"/>
                      <w:szCs w:val="21"/>
                      <w14:textFill>
                        <w14:solidFill>
                          <w14:schemeClr w14:val="tx1"/>
                        </w14:solidFill>
                      </w14:textFill>
                    </w:rPr>
                  </w:pPr>
                </w:p>
              </w:tc>
              <w:tc>
                <w:tcPr>
                  <w:tcW w:w="2552" w:type="dxa"/>
                  <w:vMerge w:val="continue"/>
                  <w:noWrap/>
                  <w:vAlign w:val="center"/>
                </w:tcPr>
                <w:p w14:paraId="4FE04632">
                  <w:pPr>
                    <w:pStyle w:val="38"/>
                    <w:ind w:left="-105" w:leftChars="-50" w:right="-105" w:rightChars="-50"/>
                    <w:rPr>
                      <w:color w:val="000000" w:themeColor="text1"/>
                      <w:sz w:val="21"/>
                      <w:szCs w:val="21"/>
                      <w14:textFill>
                        <w14:solidFill>
                          <w14:schemeClr w14:val="tx1"/>
                        </w14:solidFill>
                      </w14:textFill>
                    </w:rPr>
                  </w:pPr>
                </w:p>
              </w:tc>
              <w:tc>
                <w:tcPr>
                  <w:tcW w:w="1277" w:type="dxa"/>
                  <w:noWrap/>
                  <w:vAlign w:val="center"/>
                </w:tcPr>
                <w:p w14:paraId="5AECD042">
                  <w:pPr>
                    <w:pStyle w:val="38"/>
                    <w:spacing w:line="240" w:lineRule="auto"/>
                    <w:ind w:left="-105" w:leftChars="-50" w:right="-105" w:rightChars="-50"/>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室内</w:t>
                  </w:r>
                </w:p>
              </w:tc>
              <w:tc>
                <w:tcPr>
                  <w:tcW w:w="2268" w:type="dxa"/>
                  <w:noWrap/>
                  <w:vAlign w:val="center"/>
                </w:tcPr>
                <w:p w14:paraId="72FE9C0B">
                  <w:pPr>
                    <w:pStyle w:val="38"/>
                    <w:spacing w:line="240" w:lineRule="auto"/>
                    <w:ind w:left="-105" w:leftChars="-50" w:right="-105" w:rightChars="-50"/>
                    <w:rPr>
                      <w:rFonts w:ascii="Times New Roman" w:hAnsi="Times New Roman"/>
                      <w:bCs/>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观察距离</w:t>
                  </w:r>
                  <w:r>
                    <w:rPr>
                      <w:rFonts w:hint="eastAsia" w:ascii="Times New Roman" w:hAnsi="Times New Roman"/>
                      <w:bCs/>
                      <w:color w:val="000000" w:themeColor="text1"/>
                      <w:sz w:val="21"/>
                      <w:szCs w:val="21"/>
                      <w14:textFill>
                        <w14:solidFill>
                          <w14:schemeClr w14:val="tx1"/>
                        </w14:solidFill>
                      </w14:textFill>
                    </w:rPr>
                    <w:t>L≤4</w:t>
                  </w:r>
                  <w:r>
                    <w:rPr>
                      <w:rFonts w:ascii="Times New Roman" w:hAnsi="Times New Roman"/>
                      <w:bCs/>
                      <w:color w:val="000000" w:themeColor="text1"/>
                      <w:sz w:val="21"/>
                      <w:szCs w:val="21"/>
                      <w14:textFill>
                        <w14:solidFill>
                          <w14:schemeClr w14:val="tx1"/>
                        </w14:solidFill>
                      </w14:textFill>
                    </w:rPr>
                    <w:t>m，标志牌整体外形最小尺寸</w:t>
                  </w:r>
                  <w:r>
                    <w:rPr>
                      <w:rFonts w:hint="eastAsia" w:ascii="Times New Roman" w:hAnsi="Times New Roman"/>
                      <w:bCs/>
                      <w:color w:val="000000" w:themeColor="text1"/>
                      <w:sz w:val="21"/>
                      <w:szCs w:val="21"/>
                      <w14:textFill>
                        <w14:solidFill>
                          <w14:schemeClr w14:val="tx1"/>
                        </w14:solidFill>
                      </w14:textFill>
                    </w:rPr>
                    <w:t>3</w:t>
                  </w:r>
                  <w:r>
                    <w:rPr>
                      <w:rFonts w:ascii="Times New Roman" w:hAnsi="Times New Roman"/>
                      <w:bCs/>
                      <w:color w:val="000000" w:themeColor="text1"/>
                      <w:sz w:val="21"/>
                      <w:szCs w:val="21"/>
                      <w14:textFill>
                        <w14:solidFill>
                          <w14:schemeClr w14:val="tx1"/>
                        </w14:solidFill>
                      </w14:textFill>
                    </w:rPr>
                    <w:t>00mm×</w:t>
                  </w:r>
                  <w:r>
                    <w:rPr>
                      <w:rFonts w:hint="eastAsia" w:ascii="Times New Roman" w:hAnsi="Times New Roman"/>
                      <w:bCs/>
                      <w:color w:val="000000" w:themeColor="text1"/>
                      <w:sz w:val="21"/>
                      <w:szCs w:val="21"/>
                      <w14:textFill>
                        <w14:solidFill>
                          <w14:schemeClr w14:val="tx1"/>
                        </w14:solidFill>
                      </w14:textFill>
                    </w:rPr>
                    <w:t>186</w:t>
                  </w:r>
                  <w:r>
                    <w:rPr>
                      <w:rFonts w:ascii="Times New Roman" w:hAnsi="Times New Roman"/>
                      <w:bCs/>
                      <w:color w:val="000000" w:themeColor="text1"/>
                      <w:sz w:val="21"/>
                      <w:szCs w:val="21"/>
                      <w14:textFill>
                        <w14:solidFill>
                          <w14:schemeClr w14:val="tx1"/>
                        </w14:solidFill>
                      </w14:textFill>
                    </w:rPr>
                    <w:t>mm</w:t>
                  </w:r>
                </w:p>
              </w:tc>
              <w:tc>
                <w:tcPr>
                  <w:tcW w:w="1893" w:type="dxa"/>
                  <w:vMerge w:val="continue"/>
                  <w:noWrap/>
                  <w:vAlign w:val="center"/>
                </w:tcPr>
                <w:p w14:paraId="67402C68">
                  <w:pPr>
                    <w:pStyle w:val="38"/>
                    <w:ind w:left="-105" w:leftChars="-50" w:right="-105" w:rightChars="-50"/>
                    <w:rPr>
                      <w:rFonts w:ascii="Times New Roman" w:hAnsi="Times New Roman"/>
                      <w:bCs/>
                      <w:color w:val="000000" w:themeColor="text1"/>
                      <w:sz w:val="21"/>
                      <w:szCs w:val="21"/>
                      <w14:textFill>
                        <w14:solidFill>
                          <w14:schemeClr w14:val="tx1"/>
                        </w14:solidFill>
                      </w14:textFill>
                    </w:rPr>
                  </w:pPr>
                </w:p>
              </w:tc>
            </w:tr>
            <w:tr w14:paraId="19C95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633" w:type="dxa"/>
                  <w:noWrap/>
                  <w:vAlign w:val="center"/>
                </w:tcPr>
                <w:p w14:paraId="735C01C8">
                  <w:pPr>
                    <w:pStyle w:val="38"/>
                    <w:spacing w:line="240" w:lineRule="auto"/>
                    <w:ind w:left="-105" w:leftChars="-50" w:right="-105" w:rightChars="-50"/>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标签</w:t>
                  </w:r>
                </w:p>
              </w:tc>
              <w:tc>
                <w:tcPr>
                  <w:tcW w:w="2552" w:type="dxa"/>
                  <w:noWrap/>
                  <w:vAlign w:val="center"/>
                </w:tcPr>
                <w:p w14:paraId="7B6F328C">
                  <w:pPr>
                    <w:pStyle w:val="38"/>
                    <w:spacing w:line="240" w:lineRule="auto"/>
                    <w:ind w:left="-105" w:leftChars="-50" w:right="-105" w:rightChars="-50"/>
                    <w:rPr>
                      <w:rFonts w:ascii="Times New Roman" w:hAnsi="Times New Roman"/>
                      <w:bCs/>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drawing>
                      <wp:inline distT="0" distB="0" distL="114300" distR="114300">
                        <wp:extent cx="1551940" cy="1564640"/>
                        <wp:effectExtent l="0" t="0" r="2540" b="508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30"/>
                                <a:stretch>
                                  <a:fillRect/>
                                </a:stretch>
                              </pic:blipFill>
                              <pic:spPr>
                                <a:xfrm>
                                  <a:off x="0" y="0"/>
                                  <a:ext cx="1551940" cy="1564640"/>
                                </a:xfrm>
                                <a:prstGeom prst="rect">
                                  <a:avLst/>
                                </a:prstGeom>
                                <a:noFill/>
                                <a:ln>
                                  <a:noFill/>
                                </a:ln>
                              </pic:spPr>
                            </pic:pic>
                          </a:graphicData>
                        </a:graphic>
                      </wp:inline>
                    </w:drawing>
                  </w:r>
                </w:p>
              </w:tc>
              <w:tc>
                <w:tcPr>
                  <w:tcW w:w="1277" w:type="dxa"/>
                  <w:noWrap/>
                  <w:vAlign w:val="center"/>
                </w:tcPr>
                <w:p w14:paraId="64CCBBC6">
                  <w:pPr>
                    <w:pStyle w:val="38"/>
                    <w:spacing w:line="240" w:lineRule="auto"/>
                    <w:ind w:left="-105" w:leftChars="-50" w:right="-105" w:rightChars="-50"/>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粘贴于储存危废的包装外表面</w:t>
                  </w:r>
                </w:p>
              </w:tc>
              <w:tc>
                <w:tcPr>
                  <w:tcW w:w="4161" w:type="dxa"/>
                  <w:gridSpan w:val="2"/>
                  <w:noWrap/>
                  <w:vAlign w:val="center"/>
                </w:tcPr>
                <w:p w14:paraId="4C72F65F">
                  <w:pPr>
                    <w:pStyle w:val="38"/>
                    <w:spacing w:line="240" w:lineRule="auto"/>
                    <w:ind w:left="-105" w:leftChars="-50" w:right="-105" w:rightChars="-50"/>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w:t>
                  </w:r>
                  <w:r>
                    <w:rPr>
                      <w:rFonts w:ascii="Times New Roman" w:hAnsi="Times New Roman"/>
                      <w:bCs/>
                      <w:color w:val="000000" w:themeColor="text1"/>
                      <w:sz w:val="21"/>
                      <w:szCs w:val="21"/>
                      <w14:textFill>
                        <w14:solidFill>
                          <w14:schemeClr w14:val="tx1"/>
                        </w14:solidFill>
                      </w14:textFill>
                    </w:rPr>
                    <w:t>1</w:t>
                  </w:r>
                  <w:r>
                    <w:rPr>
                      <w:rFonts w:hint="eastAsia" w:ascii="Times New Roman" w:hAnsi="Times New Roman"/>
                      <w:bCs/>
                      <w:color w:val="000000" w:themeColor="text1"/>
                      <w:sz w:val="21"/>
                      <w:szCs w:val="21"/>
                      <w14:textFill>
                        <w14:solidFill>
                          <w14:schemeClr w14:val="tx1"/>
                        </w14:solidFill>
                      </w14:textFill>
                    </w:rPr>
                    <w:t>）尺寸及文字高度：容器或包装物容积（L）≤50，标签最小尺寸100mm</w:t>
                  </w:r>
                  <w:r>
                    <w:rPr>
                      <w:rFonts w:ascii="Times New Roman" w:hAnsi="Times New Roman"/>
                      <w:bCs/>
                      <w:color w:val="000000" w:themeColor="text1"/>
                      <w:sz w:val="21"/>
                      <w:szCs w:val="21"/>
                      <w14:textFill>
                        <w14:solidFill>
                          <w14:schemeClr w14:val="tx1"/>
                        </w14:solidFill>
                      </w14:textFill>
                    </w:rPr>
                    <w:t>×</w:t>
                  </w:r>
                  <w:r>
                    <w:rPr>
                      <w:rFonts w:hint="eastAsia" w:ascii="Times New Roman" w:hAnsi="Times New Roman"/>
                      <w:bCs/>
                      <w:color w:val="000000" w:themeColor="text1"/>
                      <w:sz w:val="21"/>
                      <w:szCs w:val="21"/>
                      <w14:textFill>
                        <w14:solidFill>
                          <w14:schemeClr w14:val="tx1"/>
                        </w14:solidFill>
                      </w14:textFill>
                    </w:rPr>
                    <w:t>100mm，最低文字高度3mm；容器或包装物容积（L）＞50~≤450，标签最小尺寸150mm</w:t>
                  </w:r>
                  <w:r>
                    <w:rPr>
                      <w:rFonts w:ascii="Times New Roman" w:hAnsi="Times New Roman"/>
                      <w:bCs/>
                      <w:color w:val="000000" w:themeColor="text1"/>
                      <w:sz w:val="21"/>
                      <w:szCs w:val="21"/>
                      <w14:textFill>
                        <w14:solidFill>
                          <w14:schemeClr w14:val="tx1"/>
                        </w14:solidFill>
                      </w14:textFill>
                    </w:rPr>
                    <w:t>×</w:t>
                  </w:r>
                  <w:r>
                    <w:rPr>
                      <w:rFonts w:hint="eastAsia" w:ascii="Times New Roman" w:hAnsi="Times New Roman"/>
                      <w:bCs/>
                      <w:color w:val="000000" w:themeColor="text1"/>
                      <w:sz w:val="21"/>
                      <w:szCs w:val="21"/>
                      <w14:textFill>
                        <w14:solidFill>
                          <w14:schemeClr w14:val="tx1"/>
                        </w14:solidFill>
                      </w14:textFill>
                    </w:rPr>
                    <w:t>150mm，最低文字高度5mm；容器或包装物容积（L）＞450，标签最小尺寸200mm</w:t>
                  </w:r>
                  <w:r>
                    <w:rPr>
                      <w:rFonts w:ascii="Times New Roman" w:hAnsi="Times New Roman"/>
                      <w:bCs/>
                      <w:color w:val="000000" w:themeColor="text1"/>
                      <w:sz w:val="21"/>
                      <w:szCs w:val="21"/>
                      <w14:textFill>
                        <w14:solidFill>
                          <w14:schemeClr w14:val="tx1"/>
                        </w14:solidFill>
                      </w14:textFill>
                    </w:rPr>
                    <w:t>×</w:t>
                  </w:r>
                  <w:r>
                    <w:rPr>
                      <w:rFonts w:hint="eastAsia" w:ascii="Times New Roman" w:hAnsi="Times New Roman"/>
                      <w:bCs/>
                      <w:color w:val="000000" w:themeColor="text1"/>
                      <w:sz w:val="21"/>
                      <w:szCs w:val="21"/>
                      <w14:textFill>
                        <w14:solidFill>
                          <w14:schemeClr w14:val="tx1"/>
                        </w14:solidFill>
                      </w14:textFill>
                    </w:rPr>
                    <w:t>200mm，最低文字高度6mm；</w:t>
                  </w:r>
                </w:p>
                <w:p w14:paraId="05E3159A">
                  <w:pPr>
                    <w:pStyle w:val="38"/>
                    <w:spacing w:line="240" w:lineRule="auto"/>
                    <w:ind w:left="-105" w:leftChars="-50" w:right="-105" w:rightChars="-50"/>
                    <w:rPr>
                      <w:rFonts w:ascii="Times New Roman" w:hAnsi="Times New Roman"/>
                      <w:bCs/>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（2）颜色与字体：</w:t>
                  </w:r>
                  <w:r>
                    <w:rPr>
                      <w:rFonts w:hint="eastAsia" w:ascii="Times New Roman" w:hAnsi="Times New Roman"/>
                      <w:bCs/>
                      <w:color w:val="000000" w:themeColor="text1"/>
                      <w:sz w:val="21"/>
                      <w:szCs w:val="21"/>
                      <w14:textFill>
                        <w14:solidFill>
                          <w14:schemeClr w14:val="tx1"/>
                        </w14:solidFill>
                      </w14:textFill>
                    </w:rPr>
                    <w:t>底色为醒目的桔黄色，危险废物标签字体宜采用黑体字，其中“危险废物”字样应加粗放大。</w:t>
                  </w:r>
                </w:p>
                <w:p w14:paraId="6992C73D">
                  <w:pPr>
                    <w:pStyle w:val="38"/>
                    <w:spacing w:line="240" w:lineRule="auto"/>
                    <w:ind w:left="-105" w:leftChars="-50" w:right="-105" w:rightChars="-50"/>
                    <w:jc w:val="both"/>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w:t>
                  </w:r>
                  <w:r>
                    <w:rPr>
                      <w:rFonts w:ascii="Times New Roman" w:hAnsi="Times New Roman"/>
                      <w:bCs/>
                      <w:color w:val="000000" w:themeColor="text1"/>
                      <w:sz w:val="21"/>
                      <w:szCs w:val="21"/>
                      <w14:textFill>
                        <w14:solidFill>
                          <w14:schemeClr w14:val="tx1"/>
                        </w14:solidFill>
                      </w14:textFill>
                    </w:rPr>
                    <w:t>3</w:t>
                  </w:r>
                  <w:r>
                    <w:rPr>
                      <w:rFonts w:hint="eastAsia" w:ascii="Times New Roman" w:hAnsi="Times New Roman"/>
                      <w:bCs/>
                      <w:color w:val="000000" w:themeColor="text1"/>
                      <w:sz w:val="21"/>
                      <w:szCs w:val="21"/>
                      <w14:textFill>
                        <w14:solidFill>
                          <w14:schemeClr w14:val="tx1"/>
                        </w14:solidFill>
                      </w14:textFill>
                    </w:rPr>
                    <w:t>）材料：粘贴式标签为不干胶印刷品。</w:t>
                  </w:r>
                </w:p>
              </w:tc>
            </w:tr>
          </w:tbl>
          <w:p w14:paraId="5FB7F128">
            <w:pPr>
              <w:pStyle w:val="2"/>
              <w:spacing w:before="0" w:after="0" w:line="360" w:lineRule="auto"/>
              <w:ind w:right="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本项目与</w:t>
            </w:r>
            <w:r>
              <w:rPr>
                <w:rFonts w:hint="default"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t>《江苏省固体废物全过程环境监管工作意见》（苏环办[2024]16号）</w:t>
            </w:r>
            <w:r>
              <w:rPr>
                <w:rFonts w:hint="eastAsia"/>
                <w:color w:val="000000" w:themeColor="text1"/>
                <w:sz w:val="21"/>
                <w:szCs w:val="21"/>
                <w14:textFill>
                  <w14:solidFill>
                    <w14:schemeClr w14:val="tx1"/>
                  </w14:solidFill>
                </w14:textFill>
              </w:rPr>
              <w:t>的相符性分析见下表：</w:t>
            </w:r>
          </w:p>
          <w:p w14:paraId="5365363E">
            <w:pPr>
              <w:jc w:val="center"/>
              <w:rPr>
                <w:b/>
                <w:bCs/>
                <w:color w:val="000000" w:themeColor="text1"/>
                <w:sz w:val="24"/>
                <w14:textFill>
                  <w14:solidFill>
                    <w14:schemeClr w14:val="tx1"/>
                  </w14:solidFill>
                </w14:textFill>
              </w:rPr>
            </w:pPr>
            <w:r>
              <w:rPr>
                <w:rFonts w:hint="eastAsia"/>
                <w:b/>
                <w:bCs/>
                <w:color w:val="000000" w:themeColor="text1"/>
                <w:szCs w:val="21"/>
                <w14:textFill>
                  <w14:solidFill>
                    <w14:schemeClr w14:val="tx1"/>
                  </w14:solidFill>
                </w14:textFill>
              </w:rPr>
              <w:t>表4.4-</w:t>
            </w:r>
            <w:r>
              <w:rPr>
                <w:rFonts w:hint="eastAsia"/>
                <w:b/>
                <w:bCs/>
                <w:color w:val="000000" w:themeColor="text1"/>
                <w:szCs w:val="21"/>
                <w:lang w:val="en-US" w:eastAsia="zh-CN"/>
                <w14:textFill>
                  <w14:solidFill>
                    <w14:schemeClr w14:val="tx1"/>
                  </w14:solidFill>
                </w14:textFill>
              </w:rPr>
              <w:t>8</w:t>
            </w:r>
            <w:r>
              <w:rPr>
                <w:rFonts w:hint="eastAsia"/>
                <w:b/>
                <w:bCs/>
                <w:color w:val="000000" w:themeColor="text1"/>
                <w:szCs w:val="21"/>
                <w14:textFill>
                  <w14:solidFill>
                    <w14:schemeClr w14:val="tx1"/>
                  </w14:solidFill>
                </w14:textFill>
              </w:rPr>
              <w:t>与《江苏省固体废物全过程环境监管工作意见》（苏环办[2024]16号）的相符性分析</w:t>
            </w:r>
          </w:p>
          <w:tbl>
            <w:tblPr>
              <w:tblStyle w:val="22"/>
              <w:tblW w:w="500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636"/>
              <w:gridCol w:w="3821"/>
              <w:gridCol w:w="3084"/>
            </w:tblGrid>
            <w:tr w14:paraId="7124D5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50" w:type="pct"/>
                  <w:gridSpan w:val="2"/>
                  <w:noWrap w:val="0"/>
                  <w:vAlign w:val="center"/>
                </w:tcPr>
                <w:p w14:paraId="3B5340EB">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文件名称</w:t>
                  </w:r>
                </w:p>
              </w:tc>
              <w:tc>
                <w:tcPr>
                  <w:tcW w:w="2302" w:type="pct"/>
                  <w:noWrap w:val="0"/>
                  <w:vAlign w:val="center"/>
                </w:tcPr>
                <w:p w14:paraId="60F29F8E">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具体要求</w:t>
                  </w:r>
                </w:p>
              </w:tc>
              <w:tc>
                <w:tcPr>
                  <w:tcW w:w="1846" w:type="pct"/>
                  <w:noWrap w:val="0"/>
                  <w:vAlign w:val="center"/>
                </w:tcPr>
                <w:p w14:paraId="4217D4A0">
                  <w:pPr>
                    <w:jc w:val="center"/>
                    <w:rPr>
                      <w:rFonts w:hint="default" w:eastAsia="宋体"/>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相符性分析</w:t>
                  </w:r>
                </w:p>
              </w:tc>
            </w:tr>
            <w:tr w14:paraId="5F8127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463" w:type="pct"/>
                  <w:vMerge w:val="restart"/>
                  <w:noWrap w:val="0"/>
                  <w:vAlign w:val="center"/>
                </w:tcPr>
                <w:p w14:paraId="60292ED4">
                  <w:pPr>
                    <w:jc w:val="center"/>
                    <w:rPr>
                      <w:bCs/>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t>《江苏省固体废物全过程环境监管工作意见》（苏环办[2024]16号）</w:t>
                  </w:r>
                </w:p>
              </w:tc>
              <w:tc>
                <w:tcPr>
                  <w:tcW w:w="387" w:type="pct"/>
                  <w:vMerge w:val="restart"/>
                  <w:noWrap w:val="0"/>
                  <w:vAlign w:val="center"/>
                </w:tcPr>
                <w:p w14:paraId="4AE7D0CE">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一、注重源头预防</w:t>
                  </w:r>
                </w:p>
              </w:tc>
              <w:tc>
                <w:tcPr>
                  <w:tcW w:w="2302" w:type="pct"/>
                  <w:noWrap w:val="0"/>
                  <w:vAlign w:val="center"/>
                </w:tcPr>
                <w:p w14:paraId="4F6CF3F7">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规范项目环评审批。建设项目环评要评价产生的固体废物种类、数量、来源和属性，论述贮存、转移和利用处置方式合规性、合理性，提出切实可行的污染防治对策措施。所有产物要按照以下五类属性给予明确并规范表述： 目标产物（产品、副产品）、鉴别属于产品（符合国家、行业或地方标准）、可定向用于特定用途按产品管理（如符合团体标准）、一般固体废物和危险废物。不得出现“中间产物”“再生产物”等不规范表述，严禁以“副产品”名义逃避监管。不能排除危险特性的固体废物，须明确具体鉴别方案，鉴别前按危险废物管理，鉴别后根据结论按一般固废或危险废物管理。危险废物经营单位项目环评审批要点要与危险废物经营许可审查要求衔接一致。</w:t>
                  </w:r>
                </w:p>
              </w:tc>
              <w:tc>
                <w:tcPr>
                  <w:tcW w:w="1846" w:type="pct"/>
                  <w:noWrap w:val="0"/>
                  <w:vAlign w:val="center"/>
                </w:tcPr>
                <w:p w14:paraId="4DE463F2">
                  <w:pPr>
                    <w:rPr>
                      <w:b/>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本项目产生</w:t>
                  </w:r>
                  <w:r>
                    <w:rPr>
                      <w:rFonts w:hint="eastAsia"/>
                      <w:bCs/>
                      <w:color w:val="000000" w:themeColor="text1"/>
                      <w:szCs w:val="21"/>
                      <w14:textFill>
                        <w14:solidFill>
                          <w14:schemeClr w14:val="tx1"/>
                        </w14:solidFill>
                      </w14:textFill>
                    </w:rPr>
                    <w:t>固体废物</w:t>
                  </w:r>
                  <w:r>
                    <w:rPr>
                      <w:rFonts w:hint="eastAsia"/>
                      <w:bCs/>
                      <w:color w:val="000000" w:themeColor="text1"/>
                      <w:szCs w:val="21"/>
                      <w:lang w:val="en-US" w:eastAsia="zh-CN"/>
                      <w14:textFill>
                        <w14:solidFill>
                          <w14:schemeClr w14:val="tx1"/>
                        </w14:solidFill>
                      </w14:textFill>
                    </w:rPr>
                    <w:t>均根据</w:t>
                  </w:r>
                  <w:r>
                    <w:rPr>
                      <w:rFonts w:hint="eastAsia"/>
                      <w:bCs/>
                      <w:color w:val="000000" w:themeColor="text1"/>
                      <w:szCs w:val="21"/>
                      <w14:textFill>
                        <w14:solidFill>
                          <w14:schemeClr w14:val="tx1"/>
                        </w14:solidFill>
                      </w14:textFill>
                    </w:rPr>
                    <w:t>种类、数量、来源和属性</w:t>
                  </w:r>
                  <w:r>
                    <w:rPr>
                      <w:rFonts w:hint="eastAsia"/>
                      <w:bCs/>
                      <w:color w:val="000000" w:themeColor="text1"/>
                      <w:szCs w:val="21"/>
                      <w:lang w:val="en-US" w:eastAsia="zh-CN"/>
                      <w14:textFill>
                        <w14:solidFill>
                          <w14:schemeClr w14:val="tx1"/>
                        </w14:solidFill>
                      </w14:textFill>
                    </w:rPr>
                    <w:t>划分为一般固废或危废</w:t>
                  </w:r>
                  <w:r>
                    <w:rPr>
                      <w:rFonts w:hint="eastAsia"/>
                      <w:bCs/>
                      <w:color w:val="000000" w:themeColor="text1"/>
                      <w:szCs w:val="21"/>
                      <w:lang w:eastAsia="zh-CN"/>
                      <w14:textFill>
                        <w14:solidFill>
                          <w14:schemeClr w14:val="tx1"/>
                        </w14:solidFill>
                      </w14:textFill>
                    </w:rPr>
                    <w:t>。</w:t>
                  </w:r>
                  <w:r>
                    <w:rPr>
                      <w:rFonts w:hint="eastAsia"/>
                      <w:bCs/>
                      <w:color w:val="000000" w:themeColor="text1"/>
                      <w:szCs w:val="21"/>
                      <w14:textFill>
                        <w14:solidFill>
                          <w14:schemeClr w14:val="tx1"/>
                        </w14:solidFill>
                      </w14:textFill>
                    </w:rPr>
                    <w:t>一般性固体废物执行《一般工业固体废物贮存和填埋污染控制标准》（GB18599-2020）中标准要求。危险废物分类执行《国家危险废物名录》（202</w:t>
                  </w:r>
                  <w:r>
                    <w:rPr>
                      <w:rFonts w:hint="eastAsia"/>
                      <w:bCs/>
                      <w:color w:val="000000" w:themeColor="text1"/>
                      <w:szCs w:val="21"/>
                      <w:lang w:val="en-US" w:eastAsia="zh-CN"/>
                      <w14:textFill>
                        <w14:solidFill>
                          <w14:schemeClr w14:val="tx1"/>
                        </w14:solidFill>
                      </w14:textFill>
                    </w:rPr>
                    <w:t>5年</w:t>
                  </w:r>
                  <w:r>
                    <w:rPr>
                      <w:rFonts w:hint="eastAsia"/>
                      <w:bCs/>
                      <w:color w:val="000000" w:themeColor="text1"/>
                      <w:szCs w:val="21"/>
                      <w14:textFill>
                        <w14:solidFill>
                          <w14:schemeClr w14:val="tx1"/>
                        </w14:solidFill>
                      </w14:textFill>
                    </w:rPr>
                    <w:t>版）；收集、贮存、运输等过程按照《危险废物贮存污染控制标准》（GB18597-2023）及《危险废物识别标志设置技术规范》（HJ1276-2022）、《危险废物收集、贮存、运输技术规范》（HJ2025-2012）的相关要求执行。</w:t>
                  </w:r>
                </w:p>
              </w:tc>
            </w:tr>
            <w:tr w14:paraId="12600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463" w:type="pct"/>
                  <w:vMerge w:val="continue"/>
                  <w:noWrap w:val="0"/>
                  <w:vAlign w:val="center"/>
                </w:tcPr>
                <w:p w14:paraId="4486929D">
                  <w:pPr>
                    <w:rPr>
                      <w:bCs/>
                      <w:color w:val="000000" w:themeColor="text1"/>
                      <w:szCs w:val="21"/>
                      <w14:textFill>
                        <w14:solidFill>
                          <w14:schemeClr w14:val="tx1"/>
                        </w14:solidFill>
                      </w14:textFill>
                    </w:rPr>
                  </w:pPr>
                </w:p>
              </w:tc>
              <w:tc>
                <w:tcPr>
                  <w:tcW w:w="387" w:type="pct"/>
                  <w:vMerge w:val="continue"/>
                  <w:noWrap w:val="0"/>
                  <w:vAlign w:val="center"/>
                </w:tcPr>
                <w:p w14:paraId="55B7A562">
                  <w:pPr>
                    <w:rPr>
                      <w:bCs/>
                      <w:color w:val="000000" w:themeColor="text1"/>
                      <w:szCs w:val="21"/>
                      <w14:textFill>
                        <w14:solidFill>
                          <w14:schemeClr w14:val="tx1"/>
                        </w14:solidFill>
                      </w14:textFill>
                    </w:rPr>
                  </w:pPr>
                </w:p>
              </w:tc>
              <w:tc>
                <w:tcPr>
                  <w:tcW w:w="2302" w:type="pct"/>
                  <w:noWrap w:val="0"/>
                  <w:vAlign w:val="center"/>
                </w:tcPr>
                <w:p w14:paraId="6705DFA0">
                  <w:pPr>
                    <w:rPr>
                      <w:bCs/>
                      <w:color w:val="000000" w:themeColor="text1"/>
                      <w:szCs w:val="21"/>
                      <w14:textFill>
                        <w14:solidFill>
                          <w14:schemeClr w14:val="tx1"/>
                        </w14:solidFill>
                      </w14:textFill>
                    </w:rPr>
                  </w:pPr>
                  <w:r>
                    <w:rPr>
                      <w:color w:val="000000" w:themeColor="text1"/>
                      <w:spacing w:val="9"/>
                      <w14:textFill>
                        <w14:solidFill>
                          <w14:schemeClr w14:val="tx1"/>
                        </w14:solidFill>
                      </w14:textFill>
                    </w:rPr>
                    <w:t>落实排污许可制度。企业要在排污许可管理系统中全面、准确申</w:t>
                  </w:r>
                  <w:r>
                    <w:rPr>
                      <w:color w:val="000000" w:themeColor="text1"/>
                      <w:spacing w:val="7"/>
                      <w14:textFill>
                        <w14:solidFill>
                          <w14:schemeClr w14:val="tx1"/>
                        </w14:solidFill>
                      </w14:textFill>
                    </w:rPr>
                    <w:t>报工业固体废物产生种类，以及贮存设施和利用处置等相关情况，并对其真实性负责。实际产生、转移、贮存和利用处置情况对照项目环评发</w:t>
                  </w:r>
                  <w:r>
                    <w:rPr>
                      <w:color w:val="000000" w:themeColor="text1"/>
                      <w:spacing w:val="17"/>
                      <w14:textFill>
                        <w14:solidFill>
                          <w14:schemeClr w14:val="tx1"/>
                        </w14:solidFill>
                      </w14:textFill>
                    </w:rPr>
                    <w:t xml:space="preserve"> </w:t>
                  </w:r>
                  <w:r>
                    <w:rPr>
                      <w:color w:val="000000" w:themeColor="text1"/>
                      <w:spacing w:val="7"/>
                      <w14:textFill>
                        <w14:solidFill>
                          <w14:schemeClr w14:val="tx1"/>
                        </w14:solidFill>
                      </w14:textFill>
                    </w:rPr>
                    <w:t>生变动的，要依法履行相关手续并及时变更排污许可。</w:t>
                  </w:r>
                </w:p>
              </w:tc>
              <w:tc>
                <w:tcPr>
                  <w:tcW w:w="1846" w:type="pct"/>
                  <w:noWrap w:val="0"/>
                  <w:vAlign w:val="center"/>
                </w:tcPr>
                <w:p w14:paraId="3824BD1B">
                  <w:pP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本项目建成后，企业启动生产设施或者发生实际排污之前将按实际情况填报排污登记表。</w:t>
                  </w:r>
                </w:p>
              </w:tc>
            </w:tr>
            <w:tr w14:paraId="4DAAF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463" w:type="pct"/>
                  <w:vMerge w:val="continue"/>
                  <w:noWrap w:val="0"/>
                  <w:vAlign w:val="center"/>
                </w:tcPr>
                <w:p w14:paraId="6BC4205D">
                  <w:pPr>
                    <w:rPr>
                      <w:bCs/>
                      <w:color w:val="000000" w:themeColor="text1"/>
                      <w:szCs w:val="21"/>
                      <w14:textFill>
                        <w14:solidFill>
                          <w14:schemeClr w14:val="tx1"/>
                        </w14:solidFill>
                      </w14:textFill>
                    </w:rPr>
                  </w:pPr>
                </w:p>
              </w:tc>
              <w:tc>
                <w:tcPr>
                  <w:tcW w:w="387" w:type="pct"/>
                  <w:vMerge w:val="restart"/>
                  <w:noWrap w:val="0"/>
                  <w:vAlign w:val="center"/>
                </w:tcPr>
                <w:p w14:paraId="158CD613">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二、严格过程控制</w:t>
                  </w:r>
                </w:p>
              </w:tc>
              <w:tc>
                <w:tcPr>
                  <w:tcW w:w="2302" w:type="pct"/>
                  <w:noWrap w:val="0"/>
                  <w:vAlign w:val="center"/>
                </w:tcPr>
                <w:p w14:paraId="2E14A794">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规范贮存管理要求。根据《危险废物贮存污染控制标准》（GB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2021〕290 号）中关于贮存周期和贮存量的要求，I 级、II 级、III 级危险废物贮存时间分别不得超过30天、60天、90天，最大贮存量不得超过1吨。</w:t>
                  </w:r>
                </w:p>
              </w:tc>
              <w:tc>
                <w:tcPr>
                  <w:tcW w:w="1846" w:type="pct"/>
                  <w:noWrap w:val="0"/>
                  <w:vAlign w:val="center"/>
                </w:tcPr>
                <w:p w14:paraId="1EF42D55">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根据《危险废物贮存污染控制标准》（GB18597—2023）</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本项目新建1间危废仓库，</w:t>
                  </w:r>
                  <w:r>
                    <w:rPr>
                      <w:rFonts w:hint="eastAsia"/>
                      <w:bCs/>
                      <w:color w:val="000000" w:themeColor="text1"/>
                      <w:szCs w:val="21"/>
                      <w14:textFill>
                        <w14:solidFill>
                          <w14:schemeClr w14:val="tx1"/>
                        </w14:solidFill>
                      </w14:textFill>
                    </w:rPr>
                    <w:t>危废仓库位于</w:t>
                  </w:r>
                  <w:r>
                    <w:rPr>
                      <w:rFonts w:hint="eastAsia"/>
                      <w:bCs/>
                      <w:color w:val="000000" w:themeColor="text1"/>
                      <w:szCs w:val="21"/>
                      <w:lang w:val="en-US" w:eastAsia="zh-CN"/>
                      <w14:textFill>
                        <w14:solidFill>
                          <w14:schemeClr w14:val="tx1"/>
                        </w14:solidFill>
                      </w14:textFill>
                    </w:rPr>
                    <w:t>厂房3楼东南侧</w:t>
                  </w:r>
                  <w:r>
                    <w:rPr>
                      <w:rFonts w:hint="eastAsia"/>
                      <w:bCs/>
                      <w:color w:val="000000" w:themeColor="text1"/>
                      <w:szCs w:val="21"/>
                      <w14:textFill>
                        <w14:solidFill>
                          <w14:schemeClr w14:val="tx1"/>
                        </w14:solidFill>
                      </w14:textFill>
                    </w:rPr>
                    <w:t>，单独一间，地面及裙角</w:t>
                  </w:r>
                  <w:r>
                    <w:rPr>
                      <w:rFonts w:hint="eastAsia"/>
                      <w:bCs/>
                      <w:color w:val="000000" w:themeColor="text1"/>
                      <w:szCs w:val="21"/>
                      <w:lang w:val="en-US" w:eastAsia="zh-CN"/>
                      <w14:textFill>
                        <w14:solidFill>
                          <w14:schemeClr w14:val="tx1"/>
                        </w14:solidFill>
                      </w14:textFill>
                    </w:rPr>
                    <w:t>已</w:t>
                  </w:r>
                  <w:r>
                    <w:rPr>
                      <w:rFonts w:hint="eastAsia"/>
                      <w:bCs/>
                      <w:color w:val="000000" w:themeColor="text1"/>
                      <w:szCs w:val="21"/>
                      <w14:textFill>
                        <w14:solidFill>
                          <w14:schemeClr w14:val="tx1"/>
                        </w14:solidFill>
                      </w14:textFill>
                    </w:rPr>
                    <w:t>采取重点防渗。</w:t>
                  </w:r>
                </w:p>
              </w:tc>
            </w:tr>
            <w:tr w14:paraId="06AFB6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463" w:type="pct"/>
                  <w:vMerge w:val="continue"/>
                  <w:noWrap w:val="0"/>
                  <w:vAlign w:val="center"/>
                </w:tcPr>
                <w:p w14:paraId="70820E23">
                  <w:pPr>
                    <w:rPr>
                      <w:bCs/>
                      <w:color w:val="000000" w:themeColor="text1"/>
                      <w:szCs w:val="21"/>
                      <w14:textFill>
                        <w14:solidFill>
                          <w14:schemeClr w14:val="tx1"/>
                        </w14:solidFill>
                      </w14:textFill>
                    </w:rPr>
                  </w:pPr>
                </w:p>
              </w:tc>
              <w:tc>
                <w:tcPr>
                  <w:tcW w:w="387" w:type="pct"/>
                  <w:vMerge w:val="continue"/>
                  <w:noWrap w:val="0"/>
                  <w:vAlign w:val="center"/>
                </w:tcPr>
                <w:p w14:paraId="185E2ABA">
                  <w:pPr>
                    <w:rPr>
                      <w:bCs/>
                      <w:color w:val="000000" w:themeColor="text1"/>
                      <w:szCs w:val="21"/>
                      <w14:textFill>
                        <w14:solidFill>
                          <w14:schemeClr w14:val="tx1"/>
                        </w14:solidFill>
                      </w14:textFill>
                    </w:rPr>
                  </w:pPr>
                </w:p>
              </w:tc>
              <w:tc>
                <w:tcPr>
                  <w:tcW w:w="2302" w:type="pct"/>
                  <w:noWrap w:val="0"/>
                  <w:vAlign w:val="center"/>
                </w:tcPr>
                <w:p w14:paraId="0BCF9605">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强化转移过程管理。全面落实危险废物转移电子联单制度，实行省内全域扫描“二维码”转移。加强与危险货物道路运输电子运单数据共享，实现运输轨迹可溯可查。产废单位须依法核实经营单位主体资格和技术能力，并直接签订利用处置合同，违法委托的，应当与造成环境污染和生态破坏的受托方承担连带责任；经营单位须按包装物扫码签收</w:t>
                  </w:r>
                  <w:r>
                    <w:rPr>
                      <w:rFonts w:hint="eastAsia"/>
                      <w:bCs/>
                      <w:color w:val="000000" w:themeColor="text1"/>
                      <w:szCs w:val="21"/>
                      <w:lang w:eastAsia="zh-CN"/>
                      <w14:textFill>
                        <w14:solidFill>
                          <w14:schemeClr w14:val="tx1"/>
                        </w14:solidFill>
                      </w14:textFill>
                    </w:rPr>
                    <w:t>，</w:t>
                  </w:r>
                  <w:r>
                    <w:rPr>
                      <w:rFonts w:hint="eastAsia"/>
                      <w:bCs/>
                      <w:color w:val="000000" w:themeColor="text1"/>
                      <w:szCs w:val="21"/>
                      <w14:textFill>
                        <w14:solidFill>
                          <w14:schemeClr w14:val="tx1"/>
                        </w14:solidFill>
                      </w14:textFill>
                    </w:rPr>
                    <w:t>签收人、车辆信息等须拍照上传至系统，严禁“空转”二维码。积极推行一般工业固体废物转移电子联单制度，优先选择环境风险较大的污泥、 矿渣等试行。</w:t>
                  </w:r>
                </w:p>
              </w:tc>
              <w:tc>
                <w:tcPr>
                  <w:tcW w:w="1846" w:type="pct"/>
                  <w:noWrap w:val="0"/>
                  <w:vAlign w:val="center"/>
                </w:tcPr>
                <w:p w14:paraId="0E6CB92E">
                  <w:pPr>
                    <w:keepNext w:val="0"/>
                    <w:keepLines w:val="0"/>
                    <w:pageBreakBefore w:val="0"/>
                    <w:widowControl w:val="0"/>
                    <w:kinsoku/>
                    <w:wordWrap w:val="0"/>
                    <w:overflowPunct/>
                    <w:topLinePunct w:val="0"/>
                    <w:autoSpaceDE/>
                    <w:autoSpaceDN/>
                    <w:bidi w:val="0"/>
                    <w:adjustRightInd/>
                    <w:snapToGrid/>
                    <w:textAlignment w:val="auto"/>
                    <w:rPr>
                      <w:rFonts w:hint="eastAsia" w:eastAsia="宋体"/>
                      <w:bCs/>
                      <w:color w:val="000000" w:themeColor="text1"/>
                      <w:szCs w:val="21"/>
                      <w:lang w:eastAsia="zh-CN"/>
                      <w14:textFill>
                        <w14:solidFill>
                          <w14:schemeClr w14:val="tx1"/>
                        </w14:solidFill>
                      </w14:textFill>
                    </w:rPr>
                  </w:pPr>
                  <w:r>
                    <w:rPr>
                      <w:rFonts w:hint="eastAsia"/>
                      <w:bCs/>
                      <w:color w:val="000000" w:themeColor="text1"/>
                      <w:szCs w:val="21"/>
                      <w14:textFill>
                        <w14:solidFill>
                          <w14:schemeClr w14:val="tx1"/>
                        </w14:solidFill>
                      </w14:textFill>
                    </w:rPr>
                    <w:t>本项目</w:t>
                  </w:r>
                  <w:r>
                    <w:rPr>
                      <w:rFonts w:hint="eastAsia"/>
                      <w:bCs/>
                      <w:color w:val="000000" w:themeColor="text1"/>
                      <w:szCs w:val="21"/>
                      <w:lang w:val="en-US" w:eastAsia="zh-CN"/>
                      <w14:textFill>
                        <w14:solidFill>
                          <w14:schemeClr w14:val="tx1"/>
                        </w14:solidFill>
                      </w14:textFill>
                    </w:rPr>
                    <w:t>建成后落实</w:t>
                  </w:r>
                  <w:r>
                    <w:rPr>
                      <w:rFonts w:hint="eastAsia"/>
                      <w:bCs/>
                      <w:color w:val="000000" w:themeColor="text1"/>
                      <w:szCs w:val="21"/>
                      <w14:textFill>
                        <w14:solidFill>
                          <w14:schemeClr w14:val="tx1"/>
                        </w14:solidFill>
                      </w14:textFill>
                    </w:rPr>
                    <w:t>危险废物转移电子联单制度，实行省内全域扫</w:t>
                  </w:r>
                  <w:r>
                    <w:rPr>
                      <w:rFonts w:hint="eastAsia"/>
                      <w:bCs/>
                      <w:color w:val="000000" w:themeColor="text1"/>
                      <w:szCs w:val="21"/>
                      <w:highlight w:val="none"/>
                      <w14:textFill>
                        <w14:solidFill>
                          <w14:schemeClr w14:val="tx1"/>
                        </w14:solidFill>
                      </w14:textFill>
                    </w:rPr>
                    <w:t>描“二维码”转移。</w:t>
                  </w:r>
                  <w:r>
                    <w:rPr>
                      <w:color w:val="000000" w:themeColor="text1"/>
                      <w:sz w:val="21"/>
                      <w:szCs w:val="21"/>
                      <w:highlight w:val="none"/>
                      <w14:textFill>
                        <w14:solidFill>
                          <w14:schemeClr w14:val="tx1"/>
                        </w14:solidFill>
                      </w14:textFill>
                    </w:rPr>
                    <w:t>本项目危险废物已委托</w:t>
                  </w:r>
                  <w:r>
                    <w:rPr>
                      <w:rFonts w:hint="eastAsia"/>
                      <w:color w:val="000000" w:themeColor="text1"/>
                      <w:kern w:val="2"/>
                      <w:sz w:val="21"/>
                      <w:szCs w:val="21"/>
                      <w:highlight w:val="none"/>
                      <w:lang w:eastAsia="zh-CN"/>
                      <w14:textFill>
                        <w14:solidFill>
                          <w14:schemeClr w14:val="tx1"/>
                        </w14:solidFill>
                      </w14:textFill>
                    </w:rPr>
                    <w:t>高邮康博环境资源有限公司</w:t>
                  </w:r>
                  <w:r>
                    <w:rPr>
                      <w:color w:val="000000" w:themeColor="text1"/>
                      <w:sz w:val="21"/>
                      <w:szCs w:val="21"/>
                      <w:highlight w:val="none"/>
                      <w14:textFill>
                        <w14:solidFill>
                          <w14:schemeClr w14:val="tx1"/>
                        </w14:solidFill>
                      </w14:textFill>
                    </w:rPr>
                    <w:t>，已签订协议（见附件）</w:t>
                  </w:r>
                  <w:r>
                    <w:rPr>
                      <w:rFonts w:hint="eastAsia"/>
                      <w:color w:val="000000" w:themeColor="text1"/>
                      <w:sz w:val="21"/>
                      <w:szCs w:val="21"/>
                      <w:highlight w:val="none"/>
                      <w:lang w:eastAsia="zh-CN"/>
                      <w14:textFill>
                        <w14:solidFill>
                          <w14:schemeClr w14:val="tx1"/>
                        </w14:solidFill>
                      </w14:textFill>
                    </w:rPr>
                    <w:t>。高邮康博环境资源有限公司的经营许可证编号为JS1084OOI549-5。</w:t>
                  </w:r>
                  <w:r>
                    <w:rPr>
                      <w:color w:val="000000" w:themeColor="text1"/>
                      <w:sz w:val="21"/>
                      <w:szCs w:val="21"/>
                      <w:highlight w:val="none"/>
                      <w14:textFill>
                        <w14:solidFill>
                          <w14:schemeClr w14:val="tx1"/>
                        </w14:solidFill>
                      </w14:textFill>
                    </w:rPr>
                    <w:t>本项目危险废物的类别为HW49</w:t>
                  </w:r>
                  <w:r>
                    <w:rPr>
                      <w:rFonts w:hint="eastAsia"/>
                      <w:color w:val="000000" w:themeColor="text1"/>
                      <w:sz w:val="21"/>
                      <w:szCs w:val="21"/>
                      <w:highlight w:val="none"/>
                      <w14:textFill>
                        <w14:solidFill>
                          <w14:schemeClr w14:val="tx1"/>
                        </w14:solidFill>
                      </w14:textFill>
                    </w:rPr>
                    <w:t>、HW08</w:t>
                  </w:r>
                  <w:r>
                    <w:rPr>
                      <w:color w:val="000000" w:themeColor="text1"/>
                      <w:sz w:val="21"/>
                      <w:szCs w:val="21"/>
                      <w:highlight w:val="none"/>
                      <w14:textFill>
                        <w14:solidFill>
                          <w14:schemeClr w14:val="tx1"/>
                        </w14:solidFill>
                      </w14:textFill>
                    </w:rPr>
                    <w:t>，在</w:t>
                  </w:r>
                  <w:r>
                    <w:rPr>
                      <w:rFonts w:hint="eastAsia"/>
                      <w:color w:val="000000" w:themeColor="text1"/>
                      <w:sz w:val="21"/>
                      <w:szCs w:val="21"/>
                      <w:highlight w:val="none"/>
                      <w:lang w:eastAsia="zh-CN"/>
                      <w14:textFill>
                        <w14:solidFill>
                          <w14:schemeClr w14:val="tx1"/>
                        </w14:solidFill>
                      </w14:textFill>
                    </w:rPr>
                    <w:t>高邮康博环境资源有限公司</w:t>
                  </w:r>
                  <w:r>
                    <w:rPr>
                      <w:color w:val="000000" w:themeColor="text1"/>
                      <w:sz w:val="21"/>
                      <w:szCs w:val="21"/>
                      <w:highlight w:val="none"/>
                      <w14:textFill>
                        <w14:solidFill>
                          <w14:schemeClr w14:val="tx1"/>
                        </w14:solidFill>
                      </w14:textFill>
                    </w:rPr>
                    <w:t>处置范围内</w:t>
                  </w:r>
                  <w:r>
                    <w:rPr>
                      <w:rFonts w:hint="eastAsia"/>
                      <w:color w:val="000000" w:themeColor="text1"/>
                      <w:sz w:val="21"/>
                      <w:szCs w:val="21"/>
                      <w:highlight w:val="none"/>
                      <w:lang w:eastAsia="zh-CN"/>
                      <w14:textFill>
                        <w14:solidFill>
                          <w14:schemeClr w14:val="tx1"/>
                        </w14:solidFill>
                      </w14:textFill>
                    </w:rPr>
                    <w:t>。</w:t>
                  </w:r>
                </w:p>
              </w:tc>
            </w:tr>
            <w:tr w14:paraId="423662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463" w:type="pct"/>
                  <w:vMerge w:val="continue"/>
                  <w:noWrap w:val="0"/>
                  <w:vAlign w:val="center"/>
                </w:tcPr>
                <w:p w14:paraId="2A51AF8A">
                  <w:pPr>
                    <w:rPr>
                      <w:bCs/>
                      <w:color w:val="000000" w:themeColor="text1"/>
                      <w:szCs w:val="21"/>
                      <w14:textFill>
                        <w14:solidFill>
                          <w14:schemeClr w14:val="tx1"/>
                        </w14:solidFill>
                      </w14:textFill>
                    </w:rPr>
                  </w:pPr>
                </w:p>
              </w:tc>
              <w:tc>
                <w:tcPr>
                  <w:tcW w:w="387" w:type="pct"/>
                  <w:vMerge w:val="continue"/>
                  <w:noWrap w:val="0"/>
                  <w:vAlign w:val="center"/>
                </w:tcPr>
                <w:p w14:paraId="50B94CCF">
                  <w:pPr>
                    <w:rPr>
                      <w:bCs/>
                      <w:color w:val="000000" w:themeColor="text1"/>
                      <w:szCs w:val="21"/>
                      <w14:textFill>
                        <w14:solidFill>
                          <w14:schemeClr w14:val="tx1"/>
                        </w14:solidFill>
                      </w14:textFill>
                    </w:rPr>
                  </w:pPr>
                </w:p>
              </w:tc>
              <w:tc>
                <w:tcPr>
                  <w:tcW w:w="2302" w:type="pct"/>
                  <w:noWrap w:val="0"/>
                  <w:vAlign w:val="center"/>
                </w:tcPr>
                <w:p w14:paraId="74D2ADB9">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落实信息公开制度。危险废物环境重点监管单位要在出入口、设 施内部、危险废物运输车辆通道等关键位置设置视频监控并与中控室联网，通过设立公开栏、标志牌等方式，主动公开危险废物产生和利用处 置等有关信息。集中焚烧处置单位及有自建危废焚烧处置设施的单位要 实时公布二燃室温度等工况运行指标以及污染物排放指标、浓度等有关 信息，并联网至属地生态环境部门。危险废物经营单位应同步公开许可 证、许可条件等全文信息。</w:t>
                  </w:r>
                </w:p>
              </w:tc>
              <w:tc>
                <w:tcPr>
                  <w:tcW w:w="1846" w:type="pct"/>
                  <w:noWrap w:val="0"/>
                  <w:vAlign w:val="center"/>
                </w:tcPr>
                <w:p w14:paraId="151C453A">
                  <w:pP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本项目</w:t>
                  </w:r>
                  <w:r>
                    <w:rPr>
                      <w:rFonts w:hint="eastAsia"/>
                      <w:bCs/>
                      <w:color w:val="000000" w:themeColor="text1"/>
                      <w:szCs w:val="21"/>
                      <w14:textFill>
                        <w14:solidFill>
                          <w14:schemeClr w14:val="tx1"/>
                        </w14:solidFill>
                      </w14:textFill>
                    </w:rPr>
                    <w:t>落实信息公开制度。</w:t>
                  </w:r>
                  <w:r>
                    <w:rPr>
                      <w:rFonts w:hint="eastAsia"/>
                      <w:bCs/>
                      <w:color w:val="000000" w:themeColor="text1"/>
                      <w:szCs w:val="21"/>
                      <w:lang w:val="en-US" w:eastAsia="zh-CN"/>
                      <w14:textFill>
                        <w14:solidFill>
                          <w14:schemeClr w14:val="tx1"/>
                        </w14:solidFill>
                      </w14:textFill>
                    </w:rPr>
                    <w:t>危废仓库</w:t>
                  </w:r>
                  <w:r>
                    <w:rPr>
                      <w:rFonts w:hint="eastAsia"/>
                      <w:bCs/>
                      <w:color w:val="000000" w:themeColor="text1"/>
                      <w:szCs w:val="21"/>
                      <w14:textFill>
                        <w14:solidFill>
                          <w14:schemeClr w14:val="tx1"/>
                        </w14:solidFill>
                      </w14:textFill>
                    </w:rPr>
                    <w:t>出入口、设施内部、危险废物运输车辆通道等关键位置设置视频监控并与中控室联网，通过设立公开栏、标志牌等方式，主动公开危险废物产生和利用处置等有关信息。</w:t>
                  </w:r>
                </w:p>
              </w:tc>
            </w:tr>
            <w:tr w14:paraId="3CE033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463" w:type="pct"/>
                  <w:vMerge w:val="continue"/>
                  <w:noWrap w:val="0"/>
                  <w:vAlign w:val="center"/>
                </w:tcPr>
                <w:p w14:paraId="2192AA85">
                  <w:pPr>
                    <w:jc w:val="center"/>
                    <w:rPr>
                      <w:b/>
                      <w:color w:val="000000" w:themeColor="text1"/>
                      <w:szCs w:val="21"/>
                      <w14:textFill>
                        <w14:solidFill>
                          <w14:schemeClr w14:val="tx1"/>
                        </w14:solidFill>
                      </w14:textFill>
                    </w:rPr>
                  </w:pPr>
                </w:p>
              </w:tc>
              <w:tc>
                <w:tcPr>
                  <w:tcW w:w="387" w:type="pct"/>
                  <w:noWrap w:val="0"/>
                  <w:vAlign w:val="center"/>
                </w:tcPr>
                <w:p w14:paraId="613DE75A">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三、强化末端管理</w:t>
                  </w:r>
                </w:p>
              </w:tc>
              <w:tc>
                <w:tcPr>
                  <w:tcW w:w="2302" w:type="pct"/>
                  <w:noWrap w:val="0"/>
                  <w:vAlign w:val="center"/>
                </w:tcPr>
                <w:p w14:paraId="592F387F">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规范一般工业固废管理。企业需按照《一般工业固体废物管理台账制定指南（试行）》（生态环境部2021年第 82号公告）要求，建立一般工业固废台账，污泥、矿渣等同时还需在固废管理信息系统申报，电子台账已有内容，不再另外制作纸质台账。各地要对辖区内一般工业固废利用处置需求和能力进行摸排，建立收运处体系。一般工业固废用于矿山采坑回填和生态恢复的，参照《一般工业固体废物用于矿山采坑 回填和生态恢复技术规范》（DB15/T 2763-2022）执行。</w:t>
                  </w:r>
                </w:p>
              </w:tc>
              <w:tc>
                <w:tcPr>
                  <w:tcW w:w="1846" w:type="pct"/>
                  <w:noWrap w:val="0"/>
                  <w:vAlign w:val="center"/>
                </w:tcPr>
                <w:p w14:paraId="230C7127">
                  <w:pP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14:textFill>
                        <w14:solidFill>
                          <w14:schemeClr w14:val="tx1"/>
                        </w14:solidFill>
                      </w14:textFill>
                    </w:rPr>
                    <w:t>企业按照《一般工业固体废物管理台账制定指南（试行）》（生态环境部2021年第 82号公告）要求，建立一般工业固废台账</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本项目不涉及污泥、矿渣等。</w:t>
                  </w:r>
                </w:p>
              </w:tc>
            </w:tr>
          </w:tbl>
          <w:p w14:paraId="2A70A268">
            <w:pPr>
              <w:pStyle w:val="2"/>
              <w:spacing w:before="0" w:after="0" w:line="360" w:lineRule="auto"/>
              <w:ind w:right="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本项目与</w:t>
            </w:r>
            <w:r>
              <w:rPr>
                <w:rFonts w:hint="default"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t>《危险废物管理计划和管理台账 制定技术导则》（HJ 1259—2022）</w:t>
            </w:r>
            <w:r>
              <w:rPr>
                <w:rFonts w:hint="eastAsia"/>
                <w:color w:val="000000" w:themeColor="text1"/>
                <w:sz w:val="21"/>
                <w:szCs w:val="21"/>
                <w14:textFill>
                  <w14:solidFill>
                    <w14:schemeClr w14:val="tx1"/>
                  </w14:solidFill>
                </w14:textFill>
              </w:rPr>
              <w:t>的相符性分析见下表：</w:t>
            </w:r>
          </w:p>
          <w:p w14:paraId="0B0FB145">
            <w:pPr>
              <w:jc w:val="center"/>
              <w:rPr>
                <w:b/>
                <w:bCs/>
                <w:color w:val="000000" w:themeColor="text1"/>
                <w:sz w:val="24"/>
                <w14:textFill>
                  <w14:solidFill>
                    <w14:schemeClr w14:val="tx1"/>
                  </w14:solidFill>
                </w14:textFill>
              </w:rPr>
            </w:pPr>
            <w:r>
              <w:rPr>
                <w:rFonts w:hint="eastAsia"/>
                <w:b/>
                <w:bCs/>
                <w:color w:val="000000" w:themeColor="text1"/>
                <w:szCs w:val="21"/>
                <w14:textFill>
                  <w14:solidFill>
                    <w14:schemeClr w14:val="tx1"/>
                  </w14:solidFill>
                </w14:textFill>
              </w:rPr>
              <w:t>表4.4-</w:t>
            </w:r>
            <w:r>
              <w:rPr>
                <w:rFonts w:hint="eastAsia"/>
                <w:b/>
                <w:bCs/>
                <w:color w:val="000000" w:themeColor="text1"/>
                <w:szCs w:val="21"/>
                <w:lang w:val="en-US" w:eastAsia="zh-CN"/>
                <w14:textFill>
                  <w14:solidFill>
                    <w14:schemeClr w14:val="tx1"/>
                  </w14:solidFill>
                </w14:textFill>
              </w:rPr>
              <w:t>9</w:t>
            </w:r>
            <w:r>
              <w:rPr>
                <w:rFonts w:hint="eastAsia"/>
                <w:b/>
                <w:bCs/>
                <w:color w:val="000000" w:themeColor="text1"/>
                <w:szCs w:val="21"/>
                <w14:textFill>
                  <w14:solidFill>
                    <w14:schemeClr w14:val="tx1"/>
                  </w14:solidFill>
                </w14:textFill>
              </w:rPr>
              <w:t>与《危险废物管理计划和管理台账 制定技术导则》（HJ 1259—2022）的相符性分析</w:t>
            </w:r>
          </w:p>
          <w:tbl>
            <w:tblPr>
              <w:tblStyle w:val="22"/>
              <w:tblW w:w="500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431"/>
              <w:gridCol w:w="3698"/>
              <w:gridCol w:w="2922"/>
            </w:tblGrid>
            <w:tr w14:paraId="13268F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50" w:type="pct"/>
                  <w:gridSpan w:val="2"/>
                  <w:noWrap w:val="0"/>
                  <w:vAlign w:val="center"/>
                </w:tcPr>
                <w:p w14:paraId="7C0F6A33">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文件名称</w:t>
                  </w:r>
                </w:p>
              </w:tc>
              <w:tc>
                <w:tcPr>
                  <w:tcW w:w="2302" w:type="pct"/>
                  <w:noWrap w:val="0"/>
                  <w:vAlign w:val="center"/>
                </w:tcPr>
                <w:p w14:paraId="37D86770">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具体要求</w:t>
                  </w:r>
                </w:p>
              </w:tc>
              <w:tc>
                <w:tcPr>
                  <w:tcW w:w="1847" w:type="pct"/>
                  <w:noWrap w:val="0"/>
                  <w:vAlign w:val="center"/>
                </w:tcPr>
                <w:p w14:paraId="7DD7AD8C">
                  <w:pPr>
                    <w:jc w:val="center"/>
                    <w:rPr>
                      <w:rFonts w:hint="default" w:eastAsia="宋体"/>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相符性分析</w:t>
                  </w:r>
                </w:p>
              </w:tc>
            </w:tr>
            <w:tr w14:paraId="5ACD79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463" w:type="pct"/>
                  <w:vMerge w:val="restart"/>
                  <w:noWrap w:val="0"/>
                  <w:vAlign w:val="center"/>
                </w:tcPr>
                <w:p w14:paraId="2BD18AB8">
                  <w:pPr>
                    <w:jc w:val="center"/>
                    <w:rPr>
                      <w:bCs/>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t>《危险废物管理计划和管理台账 制定技术导则》（HJ 1259—2022）</w:t>
                  </w:r>
                </w:p>
              </w:tc>
              <w:tc>
                <w:tcPr>
                  <w:tcW w:w="387" w:type="pct"/>
                  <w:noWrap w:val="0"/>
                  <w:vAlign w:val="center"/>
                </w:tcPr>
                <w:p w14:paraId="78928984">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危险废物管理计划制定要求</w:t>
                  </w:r>
                </w:p>
              </w:tc>
              <w:tc>
                <w:tcPr>
                  <w:tcW w:w="2302" w:type="pct"/>
                  <w:noWrap w:val="0"/>
                  <w:vAlign w:val="center"/>
                </w:tcPr>
                <w:p w14:paraId="6CB3CA63">
                  <w:pPr>
                    <w:numPr>
                      <w:ilvl w:val="0"/>
                      <w:numId w:val="5"/>
                    </w:numPr>
                    <w:rPr>
                      <w:color w:val="000000" w:themeColor="text1"/>
                      <w14:textFill>
                        <w14:solidFill>
                          <w14:schemeClr w14:val="tx1"/>
                        </w14:solidFill>
                      </w14:textFill>
                    </w:rPr>
                  </w:pPr>
                  <w:r>
                    <w:rPr>
                      <w:color w:val="000000" w:themeColor="text1"/>
                      <w14:textFill>
                        <w14:solidFill>
                          <w14:schemeClr w14:val="tx1"/>
                        </w14:solidFill>
                      </w14:textFill>
                    </w:rPr>
                    <w:t>产生危险废物的单位应当按年度制定危险废物管理计划。</w:t>
                  </w:r>
                </w:p>
                <w:p w14:paraId="1A1913AA">
                  <w:pPr>
                    <w:numPr>
                      <w:ilvl w:val="0"/>
                      <w:numId w:val="5"/>
                    </w:numPr>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产生危险废物的单位应当于每年3月31日前通过国家危险废物信息管理系统在线填写并提交当年度的危险废物管理计划，由国家危险废物信息管理系统自动生成备案编号和回执，完成备案。</w:t>
                  </w:r>
                </w:p>
                <w:p w14:paraId="63A265A8">
                  <w:pPr>
                    <w:numPr>
                      <w:ilvl w:val="0"/>
                      <w:numId w:val="0"/>
                    </w:numPr>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危险废物管理计划备案内容需要调整的，产生危险废物的单位应当及时变更。</w:t>
                  </w:r>
                </w:p>
              </w:tc>
              <w:tc>
                <w:tcPr>
                  <w:tcW w:w="1847" w:type="pct"/>
                  <w:noWrap w:val="0"/>
                  <w:vAlign w:val="center"/>
                </w:tcPr>
                <w:p w14:paraId="283D5036">
                  <w:pPr>
                    <w:rPr>
                      <w:rFonts w:hint="eastAsia"/>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1、本项目投产运行后</w:t>
                  </w:r>
                  <w:r>
                    <w:rPr>
                      <w:color w:val="000000" w:themeColor="text1"/>
                      <w14:textFill>
                        <w14:solidFill>
                          <w14:schemeClr w14:val="tx1"/>
                        </w14:solidFill>
                      </w14:textFill>
                    </w:rPr>
                    <w:t>按年度制定危险废物管理计划</w:t>
                  </w:r>
                  <w:r>
                    <w:rPr>
                      <w:rFonts w:hint="eastAsia"/>
                      <w:bCs/>
                      <w:color w:val="000000" w:themeColor="text1"/>
                      <w:szCs w:val="21"/>
                      <w14:textFill>
                        <w14:solidFill>
                          <w14:schemeClr w14:val="tx1"/>
                        </w14:solidFill>
                      </w14:textFill>
                    </w:rPr>
                    <w:t>。</w:t>
                  </w:r>
                </w:p>
                <w:p w14:paraId="5076BB26">
                  <w:pPr>
                    <w:rPr>
                      <w:rFonts w:hint="eastAsia"/>
                      <w:color w:val="000000" w:themeColor="text1"/>
                      <w:lang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2、本项目投产运行后</w:t>
                  </w:r>
                  <w:r>
                    <w:rPr>
                      <w:color w:val="000000" w:themeColor="text1"/>
                      <w14:textFill>
                        <w14:solidFill>
                          <w14:schemeClr w14:val="tx1"/>
                        </w14:solidFill>
                      </w14:textFill>
                    </w:rPr>
                    <w:t>通过国家危险废物信息管理系统在线填写并提交当年度的危险废物管理计划</w:t>
                  </w:r>
                  <w:r>
                    <w:rPr>
                      <w:rFonts w:hint="eastAsia"/>
                      <w:color w:val="000000" w:themeColor="text1"/>
                      <w:lang w:eastAsia="zh-CN"/>
                      <w14:textFill>
                        <w14:solidFill>
                          <w14:schemeClr w14:val="tx1"/>
                        </w14:solidFill>
                      </w14:textFill>
                    </w:rPr>
                    <w:t>。</w:t>
                  </w:r>
                </w:p>
                <w:p w14:paraId="78C14F15">
                  <w:pPr>
                    <w:rPr>
                      <w:rFonts w:hint="default" w:eastAsia="宋体"/>
                      <w:b/>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3、若</w:t>
                  </w:r>
                  <w:r>
                    <w:rPr>
                      <w:color w:val="000000" w:themeColor="text1"/>
                      <w14:textFill>
                        <w14:solidFill>
                          <w14:schemeClr w14:val="tx1"/>
                        </w14:solidFill>
                      </w14:textFill>
                    </w:rPr>
                    <w:t>危险废物管理计划备案内容需要调整的，</w:t>
                  </w:r>
                  <w:r>
                    <w:rPr>
                      <w:rFonts w:hint="eastAsia"/>
                      <w:color w:val="000000" w:themeColor="text1"/>
                      <w:lang w:val="en-US" w:eastAsia="zh-CN"/>
                      <w14:textFill>
                        <w14:solidFill>
                          <w14:schemeClr w14:val="tx1"/>
                        </w14:solidFill>
                      </w14:textFill>
                    </w:rPr>
                    <w:t>公司</w:t>
                  </w:r>
                  <w:r>
                    <w:rPr>
                      <w:color w:val="000000" w:themeColor="text1"/>
                      <w14:textFill>
                        <w14:solidFill>
                          <w14:schemeClr w14:val="tx1"/>
                        </w14:solidFill>
                      </w14:textFill>
                    </w:rPr>
                    <w:t>及时变更。</w:t>
                  </w:r>
                </w:p>
              </w:tc>
            </w:tr>
            <w:tr w14:paraId="396FF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463" w:type="pct"/>
                  <w:vMerge w:val="continue"/>
                  <w:noWrap w:val="0"/>
                  <w:vAlign w:val="center"/>
                </w:tcPr>
                <w:p w14:paraId="2AC39EBD">
                  <w:pPr>
                    <w:rPr>
                      <w:bCs/>
                      <w:color w:val="000000" w:themeColor="text1"/>
                      <w:szCs w:val="21"/>
                      <w14:textFill>
                        <w14:solidFill>
                          <w14:schemeClr w14:val="tx1"/>
                        </w14:solidFill>
                      </w14:textFill>
                    </w:rPr>
                  </w:pPr>
                </w:p>
              </w:tc>
              <w:tc>
                <w:tcPr>
                  <w:tcW w:w="387" w:type="pct"/>
                  <w:vMerge w:val="restart"/>
                  <w:noWrap w:val="0"/>
                  <w:vAlign w:val="center"/>
                </w:tcPr>
                <w:p w14:paraId="2DC59E55">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危险废物管理台账制定要求</w:t>
                  </w:r>
                </w:p>
              </w:tc>
              <w:tc>
                <w:tcPr>
                  <w:tcW w:w="2302" w:type="pct"/>
                  <w:noWrap w:val="0"/>
                  <w:vAlign w:val="center"/>
                </w:tcPr>
                <w:p w14:paraId="71DD8FCB">
                  <w:pPr>
                    <w:numPr>
                      <w:ilvl w:val="0"/>
                      <w:numId w:val="6"/>
                    </w:numPr>
                    <w:rPr>
                      <w:color w:val="000000" w:themeColor="text1"/>
                      <w14:textFill>
                        <w14:solidFill>
                          <w14:schemeClr w14:val="tx1"/>
                        </w14:solidFill>
                      </w14:textFill>
                    </w:rPr>
                  </w:pPr>
                  <w:r>
                    <w:rPr>
                      <w:color w:val="000000" w:themeColor="text1"/>
                      <w14:textFill>
                        <w14:solidFill>
                          <w14:schemeClr w14:val="tx1"/>
                        </w14:solidFill>
                      </w14:textFill>
                    </w:rPr>
                    <w:t>产生危险废物的单位应建立危险废物管理台账，落实危险废物管理台账记录的责任人，明确工 作职责，并对危险废物管理台账的真实性、准确性和完整性负法律责任。</w:t>
                  </w:r>
                </w:p>
                <w:p w14:paraId="24C91A8A">
                  <w:pPr>
                    <w:numPr>
                      <w:ilvl w:val="0"/>
                      <w:numId w:val="6"/>
                    </w:numPr>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产生危险废物的单位应根据危险废物产生、贮存、利用、处置等环节的动态流向，如实建立各环节的危险废物管理台账，记录内容参见附录B。</w:t>
                  </w:r>
                </w:p>
                <w:p w14:paraId="262F09CD">
                  <w:pPr>
                    <w:numPr>
                      <w:ilvl w:val="0"/>
                      <w:numId w:val="0"/>
                    </w:numPr>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危险废物管理台账分为电子管理台账和纸质管理台账两种形式。产生危险废物的单位可通过国家危险废物信息管理系统、企业自建信息管理系统或第三方平台等方式记录电子管理台账。</w:t>
                  </w:r>
                </w:p>
              </w:tc>
              <w:tc>
                <w:tcPr>
                  <w:tcW w:w="1847" w:type="pct"/>
                  <w:noWrap w:val="0"/>
                  <w:vAlign w:val="center"/>
                </w:tcPr>
                <w:p w14:paraId="72BA245C">
                  <w:pPr>
                    <w:rPr>
                      <w:color w:val="000000" w:themeColor="text1"/>
                      <w14:textFill>
                        <w14:solidFill>
                          <w14:schemeClr w14:val="tx1"/>
                        </w14:solidFill>
                      </w14:textFill>
                    </w:rPr>
                  </w:pPr>
                  <w:r>
                    <w:rPr>
                      <w:rFonts w:hint="eastAsia"/>
                      <w:bCs/>
                      <w:color w:val="000000" w:themeColor="text1"/>
                      <w:szCs w:val="21"/>
                      <w:lang w:val="en-US" w:eastAsia="zh-CN"/>
                      <w14:textFill>
                        <w14:solidFill>
                          <w14:schemeClr w14:val="tx1"/>
                        </w14:solidFill>
                      </w14:textFill>
                    </w:rPr>
                    <w:t>1、本项目投产运行后</w:t>
                  </w:r>
                  <w:r>
                    <w:rPr>
                      <w:color w:val="000000" w:themeColor="text1"/>
                      <w14:textFill>
                        <w14:solidFill>
                          <w14:schemeClr w14:val="tx1"/>
                        </w14:solidFill>
                      </w14:textFill>
                    </w:rPr>
                    <w:t>建立危险废物管理台账，落实危险废物管理台账记录的责任人，明确工 作职责，并对危险废物管理台账的真实性、准确性和完整性负法律责任。</w:t>
                  </w:r>
                </w:p>
                <w:p w14:paraId="62917D5E">
                  <w:pPr>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2、企业</w:t>
                  </w:r>
                  <w:r>
                    <w:rPr>
                      <w:color w:val="000000" w:themeColor="text1"/>
                      <w14:textFill>
                        <w14:solidFill>
                          <w14:schemeClr w14:val="tx1"/>
                        </w14:solidFill>
                      </w14:textFill>
                    </w:rPr>
                    <w:t>根据危险废物产生、贮存、利用、处置等环节的动态流向，如实建立各环节的危险废物管理台账</w:t>
                  </w:r>
                  <w:r>
                    <w:rPr>
                      <w:rFonts w:hint="eastAsia"/>
                      <w:color w:val="000000" w:themeColor="text1"/>
                      <w:lang w:eastAsia="zh-CN"/>
                      <w14:textFill>
                        <w14:solidFill>
                          <w14:schemeClr w14:val="tx1"/>
                        </w14:solidFill>
                      </w14:textFill>
                    </w:rPr>
                    <w:t>。</w:t>
                  </w:r>
                </w:p>
                <w:p w14:paraId="266AF124">
                  <w:pPr>
                    <w:rPr>
                      <w:rFonts w:hint="default" w:eastAsia="宋体"/>
                      <w:bCs/>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3、企业</w:t>
                  </w:r>
                  <w:r>
                    <w:rPr>
                      <w:color w:val="000000" w:themeColor="text1"/>
                      <w14:textFill>
                        <w14:solidFill>
                          <w14:schemeClr w14:val="tx1"/>
                        </w14:solidFill>
                      </w14:textFill>
                    </w:rPr>
                    <w:t>通过国家危险废物信息管理系统、</w:t>
                  </w:r>
                  <w:r>
                    <w:rPr>
                      <w:rFonts w:hint="eastAsia"/>
                      <w:color w:val="000000" w:themeColor="text1"/>
                      <w:lang w:val="en-US" w:eastAsia="zh-CN"/>
                      <w14:textFill>
                        <w14:solidFill>
                          <w14:schemeClr w14:val="tx1"/>
                        </w14:solidFill>
                      </w14:textFill>
                    </w:rPr>
                    <w:t>企业</w:t>
                  </w:r>
                  <w:r>
                    <w:rPr>
                      <w:color w:val="000000" w:themeColor="text1"/>
                      <w14:textFill>
                        <w14:solidFill>
                          <w14:schemeClr w14:val="tx1"/>
                        </w14:solidFill>
                      </w14:textFill>
                    </w:rPr>
                    <w:t>自建信息管理系统或第三方平台等方式记录电子管理台账。</w:t>
                  </w:r>
                </w:p>
              </w:tc>
            </w:tr>
            <w:tr w14:paraId="429D5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463" w:type="pct"/>
                  <w:vMerge w:val="continue"/>
                  <w:noWrap w:val="0"/>
                  <w:vAlign w:val="center"/>
                </w:tcPr>
                <w:p w14:paraId="3B76172D">
                  <w:pPr>
                    <w:rPr>
                      <w:bCs/>
                      <w:color w:val="000000" w:themeColor="text1"/>
                      <w:szCs w:val="21"/>
                      <w14:textFill>
                        <w14:solidFill>
                          <w14:schemeClr w14:val="tx1"/>
                        </w14:solidFill>
                      </w14:textFill>
                    </w:rPr>
                  </w:pPr>
                </w:p>
              </w:tc>
              <w:tc>
                <w:tcPr>
                  <w:tcW w:w="387" w:type="pct"/>
                  <w:vMerge w:val="continue"/>
                  <w:noWrap w:val="0"/>
                  <w:vAlign w:val="center"/>
                </w:tcPr>
                <w:p w14:paraId="7DB881B5">
                  <w:pPr>
                    <w:rPr>
                      <w:bCs/>
                      <w:color w:val="000000" w:themeColor="text1"/>
                      <w:szCs w:val="21"/>
                      <w14:textFill>
                        <w14:solidFill>
                          <w14:schemeClr w14:val="tx1"/>
                        </w14:solidFill>
                      </w14:textFill>
                    </w:rPr>
                  </w:pPr>
                </w:p>
              </w:tc>
              <w:tc>
                <w:tcPr>
                  <w:tcW w:w="2302" w:type="pct"/>
                  <w:noWrap w:val="0"/>
                  <w:vAlign w:val="center"/>
                </w:tcPr>
                <w:p w14:paraId="1807F911">
                  <w:pPr>
                    <w:rPr>
                      <w:color w:val="000000" w:themeColor="text1"/>
                      <w14:textFill>
                        <w14:solidFill>
                          <w14:schemeClr w14:val="tx1"/>
                        </w14:solidFill>
                      </w14:textFill>
                    </w:rPr>
                  </w:pPr>
                  <w:r>
                    <w:rPr>
                      <w:color w:val="000000" w:themeColor="text1"/>
                      <w14:textFill>
                        <w14:solidFill>
                          <w14:schemeClr w14:val="tx1"/>
                        </w14:solidFill>
                      </w14:textFill>
                    </w:rPr>
                    <w:t>产生后盛放至容器和包装物的，应按每个容器和包装物进行记录；产生后采用管道等方式输送至贮 存场所的，按日记录；其他特殊情形的，根据危险废物产生规律确定记录频次。</w:t>
                  </w:r>
                </w:p>
              </w:tc>
              <w:tc>
                <w:tcPr>
                  <w:tcW w:w="1847" w:type="pct"/>
                  <w:noWrap w:val="0"/>
                  <w:vAlign w:val="center"/>
                </w:tcPr>
                <w:p w14:paraId="078EC21F">
                  <w:pPr>
                    <w:keepNext w:val="0"/>
                    <w:keepLines w:val="0"/>
                    <w:pageBreakBefore w:val="0"/>
                    <w:widowControl w:val="0"/>
                    <w:kinsoku/>
                    <w:wordWrap w:val="0"/>
                    <w:overflowPunct/>
                    <w:topLinePunct w:val="0"/>
                    <w:autoSpaceDE/>
                    <w:autoSpaceDN/>
                    <w:bidi w:val="0"/>
                    <w:adjustRightInd/>
                    <w:snapToGrid/>
                    <w:textAlignment w:val="auto"/>
                    <w:rPr>
                      <w:rFonts w:hint="eastAsia" w:eastAsia="宋体"/>
                      <w:bCs/>
                      <w:color w:val="000000" w:themeColor="text1"/>
                      <w:szCs w:val="21"/>
                      <w:lang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本项目投产运行后产生的固废</w:t>
                  </w:r>
                  <w:r>
                    <w:rPr>
                      <w:color w:val="000000" w:themeColor="text1"/>
                      <w14:textFill>
                        <w14:solidFill>
                          <w14:schemeClr w14:val="tx1"/>
                        </w14:solidFill>
                      </w14:textFill>
                    </w:rPr>
                    <w:t>盛放至容器和包装物，</w:t>
                  </w:r>
                  <w:r>
                    <w:rPr>
                      <w:rFonts w:hint="eastAsia"/>
                      <w:color w:val="000000" w:themeColor="text1"/>
                      <w:lang w:val="en-US" w:eastAsia="zh-CN"/>
                      <w14:textFill>
                        <w14:solidFill>
                          <w14:schemeClr w14:val="tx1"/>
                        </w14:solidFill>
                      </w14:textFill>
                    </w:rPr>
                    <w:t>并</w:t>
                  </w:r>
                  <w:r>
                    <w:rPr>
                      <w:color w:val="000000" w:themeColor="text1"/>
                      <w14:textFill>
                        <w14:solidFill>
                          <w14:schemeClr w14:val="tx1"/>
                        </w14:solidFill>
                      </w14:textFill>
                    </w:rPr>
                    <w:t>按每个容器和包装物进行记录。</w:t>
                  </w:r>
                </w:p>
              </w:tc>
            </w:tr>
            <w:tr w14:paraId="5E70A4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463" w:type="pct"/>
                  <w:vMerge w:val="continue"/>
                  <w:noWrap w:val="0"/>
                  <w:vAlign w:val="center"/>
                </w:tcPr>
                <w:p w14:paraId="3D68D0F2">
                  <w:pPr>
                    <w:rPr>
                      <w:bCs/>
                      <w:color w:val="000000" w:themeColor="text1"/>
                      <w:szCs w:val="21"/>
                      <w14:textFill>
                        <w14:solidFill>
                          <w14:schemeClr w14:val="tx1"/>
                        </w14:solidFill>
                      </w14:textFill>
                    </w:rPr>
                  </w:pPr>
                </w:p>
              </w:tc>
              <w:tc>
                <w:tcPr>
                  <w:tcW w:w="387" w:type="pct"/>
                  <w:vMerge w:val="continue"/>
                  <w:noWrap w:val="0"/>
                  <w:vAlign w:val="center"/>
                </w:tcPr>
                <w:p w14:paraId="5BC2D18B">
                  <w:pPr>
                    <w:rPr>
                      <w:bCs/>
                      <w:color w:val="000000" w:themeColor="text1"/>
                      <w:szCs w:val="21"/>
                      <w14:textFill>
                        <w14:solidFill>
                          <w14:schemeClr w14:val="tx1"/>
                        </w14:solidFill>
                      </w14:textFill>
                    </w:rPr>
                  </w:pPr>
                </w:p>
              </w:tc>
              <w:tc>
                <w:tcPr>
                  <w:tcW w:w="2302" w:type="pct"/>
                  <w:noWrap w:val="0"/>
                  <w:vAlign w:val="center"/>
                </w:tcPr>
                <w:p w14:paraId="76B608CD">
                  <w:pPr>
                    <w:rPr>
                      <w:color w:val="000000" w:themeColor="text1"/>
                      <w14:textFill>
                        <w14:solidFill>
                          <w14:schemeClr w14:val="tx1"/>
                        </w14:solidFill>
                      </w14:textFill>
                    </w:rPr>
                  </w:pPr>
                  <w:r>
                    <w:rPr>
                      <w:color w:val="000000" w:themeColor="text1"/>
                      <w14:textFill>
                        <w14:solidFill>
                          <w14:schemeClr w14:val="tx1"/>
                        </w14:solidFill>
                      </w14:textFill>
                    </w:rPr>
                    <w:t>保存时间原则上应存档5年以上。</w:t>
                  </w:r>
                </w:p>
              </w:tc>
              <w:tc>
                <w:tcPr>
                  <w:tcW w:w="1847" w:type="pct"/>
                  <w:noWrap w:val="0"/>
                  <w:vAlign w:val="center"/>
                </w:tcPr>
                <w:p w14:paraId="3A0FE8E7">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危险废物管理台账</w:t>
                  </w:r>
                  <w:r>
                    <w:rPr>
                      <w:color w:val="000000" w:themeColor="text1"/>
                      <w14:textFill>
                        <w14:solidFill>
                          <w14:schemeClr w14:val="tx1"/>
                        </w14:solidFill>
                      </w14:textFill>
                    </w:rPr>
                    <w:t>保存时间存档5年以上。</w:t>
                  </w:r>
                </w:p>
              </w:tc>
            </w:tr>
            <w:tr w14:paraId="469541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463" w:type="pct"/>
                  <w:vMerge w:val="continue"/>
                  <w:noWrap w:val="0"/>
                  <w:vAlign w:val="center"/>
                </w:tcPr>
                <w:p w14:paraId="413D9039">
                  <w:pPr>
                    <w:jc w:val="center"/>
                    <w:rPr>
                      <w:b/>
                      <w:color w:val="000000" w:themeColor="text1"/>
                      <w:szCs w:val="21"/>
                      <w14:textFill>
                        <w14:solidFill>
                          <w14:schemeClr w14:val="tx1"/>
                        </w14:solidFill>
                      </w14:textFill>
                    </w:rPr>
                  </w:pPr>
                </w:p>
              </w:tc>
              <w:tc>
                <w:tcPr>
                  <w:tcW w:w="387" w:type="pct"/>
                  <w:noWrap w:val="0"/>
                  <w:vAlign w:val="center"/>
                </w:tcPr>
                <w:p w14:paraId="79F667DC">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危险废物申报要求</w:t>
                  </w:r>
                </w:p>
              </w:tc>
              <w:tc>
                <w:tcPr>
                  <w:tcW w:w="2302" w:type="pct"/>
                  <w:noWrap w:val="0"/>
                  <w:vAlign w:val="center"/>
                </w:tcPr>
                <w:p w14:paraId="057365DD">
                  <w:pPr>
                    <w:numPr>
                      <w:ilvl w:val="0"/>
                      <w:numId w:val="7"/>
                    </w:numPr>
                    <w:rPr>
                      <w:color w:val="000000" w:themeColor="text1"/>
                      <w14:textFill>
                        <w14:solidFill>
                          <w14:schemeClr w14:val="tx1"/>
                        </w14:solidFill>
                      </w14:textFill>
                    </w:rPr>
                  </w:pPr>
                  <w:r>
                    <w:rPr>
                      <w:color w:val="000000" w:themeColor="text1"/>
                      <w14:textFill>
                        <w14:solidFill>
                          <w14:schemeClr w14:val="tx1"/>
                        </w14:solidFill>
                      </w14:textFill>
                    </w:rPr>
                    <w:t>产生危险废物的单位应定期通过国家危险废物信息管理系统向所在地生态环境主管部门申报危险废物的种类、产生量、流向、贮存、利用、处置等有关资料。</w:t>
                  </w:r>
                </w:p>
                <w:p w14:paraId="37E63B8C">
                  <w:pPr>
                    <w:numPr>
                      <w:ilvl w:val="0"/>
                      <w:numId w:val="7"/>
                    </w:numPr>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产生危险废物的单位应根据危险废物管理台账记录归纳总结申报期内危险废物有关情况，保证申报内容的真实性、准确性和完整性，按时在线提交至所在地生态环境主管部门，台账记录留存备查。</w:t>
                  </w:r>
                </w:p>
                <w:p w14:paraId="6DF35881">
                  <w:pPr>
                    <w:numPr>
                      <w:ilvl w:val="0"/>
                      <w:numId w:val="0"/>
                    </w:numPr>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产生危险废物的单位可以自行申报，也可以委托危险废物经营许可证持有单位或者经所在地生态环境主管部门同意的第三方单位代为申报。</w:t>
                  </w:r>
                </w:p>
              </w:tc>
              <w:tc>
                <w:tcPr>
                  <w:tcW w:w="1847" w:type="pct"/>
                  <w:noWrap w:val="0"/>
                  <w:vAlign w:val="center"/>
                </w:tcPr>
                <w:p w14:paraId="4476524C">
                  <w:pPr>
                    <w:rPr>
                      <w:color w:val="000000" w:themeColor="text1"/>
                      <w14:textFill>
                        <w14:solidFill>
                          <w14:schemeClr w14:val="tx1"/>
                        </w14:solidFill>
                      </w14:textFill>
                    </w:rPr>
                  </w:pPr>
                  <w:r>
                    <w:rPr>
                      <w:rFonts w:hint="eastAsia" w:eastAsia="宋体"/>
                      <w:bCs/>
                      <w:color w:val="000000" w:themeColor="text1"/>
                      <w:szCs w:val="21"/>
                      <w:lang w:val="en-US" w:eastAsia="zh-CN"/>
                      <w14:textFill>
                        <w14:solidFill>
                          <w14:schemeClr w14:val="tx1"/>
                        </w14:solidFill>
                      </w14:textFill>
                    </w:rPr>
                    <w:t>1、本公司</w:t>
                  </w:r>
                  <w:r>
                    <w:rPr>
                      <w:color w:val="000000" w:themeColor="text1"/>
                      <w14:textFill>
                        <w14:solidFill>
                          <w14:schemeClr w14:val="tx1"/>
                        </w14:solidFill>
                      </w14:textFill>
                    </w:rPr>
                    <w:t>定期通过国家危险废物信息管理系统向所在地生态环境主管部门申报危险废物的种类、产生量、流向、贮存、利用、处置等有关资料。</w:t>
                  </w:r>
                </w:p>
                <w:p w14:paraId="729010B3">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eastAsia="宋体"/>
                      <w:bCs/>
                      <w:color w:val="000000" w:themeColor="text1"/>
                      <w:szCs w:val="21"/>
                      <w:lang w:val="en-US" w:eastAsia="zh-CN"/>
                      <w14:textFill>
                        <w14:solidFill>
                          <w14:schemeClr w14:val="tx1"/>
                        </w14:solidFill>
                      </w14:textFill>
                    </w:rPr>
                    <w:t>本公司</w:t>
                  </w:r>
                  <w:r>
                    <w:rPr>
                      <w:color w:val="000000" w:themeColor="text1"/>
                      <w14:textFill>
                        <w14:solidFill>
                          <w14:schemeClr w14:val="tx1"/>
                        </w14:solidFill>
                      </w14:textFill>
                    </w:rPr>
                    <w:t>根据危险废物管理台账记录归纳总结申报期内危险废物有关情况，保证申报内容的真实性、准确性和完整性，按时在线提交至所在地生态环境主管部门，台账记录留存备查。</w:t>
                  </w:r>
                </w:p>
                <w:p w14:paraId="7DE00F2A">
                  <w:pPr>
                    <w:rPr>
                      <w:rFonts w:hint="eastAsia" w:eastAsia="宋体"/>
                      <w:bCs/>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bCs/>
                      <w:color w:val="000000" w:themeColor="text1"/>
                      <w:szCs w:val="21"/>
                      <w:lang w:val="en-US" w:eastAsia="zh-CN"/>
                      <w14:textFill>
                        <w14:solidFill>
                          <w14:schemeClr w14:val="tx1"/>
                        </w14:solidFill>
                      </w14:textFill>
                    </w:rPr>
                    <w:t>本项目投产运行后</w:t>
                  </w:r>
                  <w:r>
                    <w:rPr>
                      <w:color w:val="000000" w:themeColor="text1"/>
                      <w14:textFill>
                        <w14:solidFill>
                          <w14:schemeClr w14:val="tx1"/>
                        </w14:solidFill>
                      </w14:textFill>
                    </w:rPr>
                    <w:t>委托危险废物经营许可证持有单位代为申报。</w:t>
                  </w:r>
                </w:p>
              </w:tc>
            </w:tr>
          </w:tbl>
          <w:p w14:paraId="6CA78725">
            <w:pPr>
              <w:spacing w:line="360" w:lineRule="auto"/>
              <w:ind w:firstLine="420" w:firstLineChars="20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危险废物应尽快送往委托单位处理，不宜存放过长时间，确需暂存的，应做到以下几点： </w:t>
            </w:r>
          </w:p>
          <w:p w14:paraId="1B18E047">
            <w:pPr>
              <w:spacing w:line="360" w:lineRule="auto"/>
              <w:ind w:firstLine="420" w:firstLineChars="20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a贮存场所应符合《危险废物贮存污染控制标准》（GB18597-2023）规定的贮存控制标准，有符合要求的专用标志。</w:t>
            </w:r>
          </w:p>
          <w:p w14:paraId="6003333E">
            <w:pPr>
              <w:spacing w:line="360" w:lineRule="auto"/>
              <w:ind w:firstLine="420" w:firstLineChars="20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b贮存区内禁止混放不相容危险废物。 </w:t>
            </w:r>
          </w:p>
          <w:p w14:paraId="4742B2B5">
            <w:pPr>
              <w:spacing w:line="360" w:lineRule="auto"/>
              <w:ind w:firstLine="420" w:firstLineChars="20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c贮存区考虑相应的集排水和防渗设施。 </w:t>
            </w:r>
          </w:p>
          <w:p w14:paraId="54213C85">
            <w:pPr>
              <w:spacing w:line="360" w:lineRule="auto"/>
              <w:ind w:firstLine="420" w:firstLineChars="20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d贮存区符合消防要求。</w:t>
            </w:r>
          </w:p>
          <w:p w14:paraId="13E00F58">
            <w:pPr>
              <w:spacing w:line="360" w:lineRule="auto"/>
              <w:ind w:firstLine="420" w:firstLineChars="20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e贮存容器必须有明显标志，具有耐腐蚀、耐压、密封和不与所贮存的废物发生</w:t>
            </w:r>
            <w:r>
              <w:rPr>
                <w:rFonts w:hint="eastAsia"/>
                <w:color w:val="000000" w:themeColor="text1"/>
                <w:sz w:val="21"/>
                <w:szCs w:val="21"/>
                <w:lang w:eastAsia="zh-CN"/>
                <w14:textFill>
                  <w14:solidFill>
                    <w14:schemeClr w14:val="tx1"/>
                  </w14:solidFill>
                </w14:textFill>
              </w:rPr>
              <w:t>反应</w:t>
            </w:r>
            <w:r>
              <w:rPr>
                <w:color w:val="000000" w:themeColor="text1"/>
                <w:sz w:val="21"/>
                <w:szCs w:val="21"/>
                <w14:textFill>
                  <w14:solidFill>
                    <w14:schemeClr w14:val="tx1"/>
                  </w14:solidFill>
                </w14:textFill>
              </w:rPr>
              <w:t xml:space="preserve">等特性。 </w:t>
            </w:r>
          </w:p>
          <w:p w14:paraId="3BCC4ADC">
            <w:pPr>
              <w:pStyle w:val="2"/>
              <w:spacing w:before="0" w:after="0" w:line="420" w:lineRule="exact"/>
              <w:ind w:right="0"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f基础防渗层为至少1m厚粘土层（渗透系数≤10</w:t>
            </w:r>
            <w:r>
              <w:rPr>
                <w:color w:val="000000" w:themeColor="text1"/>
                <w:sz w:val="21"/>
                <w:szCs w:val="21"/>
                <w:vertAlign w:val="superscript"/>
                <w14:textFill>
                  <w14:solidFill>
                    <w14:schemeClr w14:val="tx1"/>
                  </w14:solidFill>
                </w14:textFill>
              </w:rPr>
              <w:t>-7</w:t>
            </w:r>
            <w:r>
              <w:rPr>
                <w:color w:val="000000" w:themeColor="text1"/>
                <w:sz w:val="21"/>
                <w:szCs w:val="21"/>
                <w14:textFill>
                  <w14:solidFill>
                    <w14:schemeClr w14:val="tx1"/>
                  </w14:solidFill>
                </w14:textFill>
              </w:rPr>
              <w:t>cm/s），或2mm厚高密度聚乙烯，或至少2mm厚的其他人工材料，渗透系数≤10</w:t>
            </w:r>
            <w:r>
              <w:rPr>
                <w:color w:val="000000" w:themeColor="text1"/>
                <w:sz w:val="21"/>
                <w:szCs w:val="21"/>
                <w:vertAlign w:val="superscript"/>
                <w14:textFill>
                  <w14:solidFill>
                    <w14:schemeClr w14:val="tx1"/>
                  </w14:solidFill>
                </w14:textFill>
              </w:rPr>
              <w:t>-10</w:t>
            </w:r>
            <w:r>
              <w:rPr>
                <w:color w:val="000000" w:themeColor="text1"/>
                <w:sz w:val="21"/>
                <w:szCs w:val="21"/>
                <w14:textFill>
                  <w14:solidFill>
                    <w14:schemeClr w14:val="tx1"/>
                  </w14:solidFill>
                </w14:textFill>
              </w:rPr>
              <w:t>cm/s。项目产生的固体废物均暂存于厂区内设 置的固废暂存场所，并且定期清运出厂区。废弃物无颗粒物产生，故不会增加大气中的粉尘含量和大气的粉尘污染，不会导致大气的污染。固废禁止直接倾倒入水体中，故不会使项目周围水质受到污染。避免雨水的浸渍和废物本身的分解，不会对附近地区的地下水造成污染。 固体废弃物厂内堆存，不会占用大量土地，各类固废场所采用水泥地面硬化，设置顶棚防风、防雨、防晒且分类存放，不会使土壤碱化、酸化、毒化，破坏土壤中微生物的生存条件，影响动植物生长发育。</w:t>
            </w:r>
          </w:p>
          <w:p w14:paraId="400033D2">
            <w:pPr>
              <w:pStyle w:val="2"/>
              <w:spacing w:before="0" w:after="0" w:line="420" w:lineRule="exact"/>
              <w:ind w:right="0"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③运输过程的环境管理要求</w:t>
            </w:r>
          </w:p>
          <w:p w14:paraId="7656718A">
            <w:pPr>
              <w:pStyle w:val="2"/>
              <w:spacing w:before="0" w:after="0" w:line="420" w:lineRule="exact"/>
              <w:ind w:right="0"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Ⅰ.厂内运输</w:t>
            </w:r>
          </w:p>
          <w:p w14:paraId="707A0DFA">
            <w:pPr>
              <w:pStyle w:val="2"/>
              <w:spacing w:before="0" w:after="0" w:line="420" w:lineRule="exact"/>
              <w:ind w:right="0"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建设单位生产过程中产生的危险废物于车间内经容器收集后运输至危废仓库。</w:t>
            </w:r>
          </w:p>
          <w:p w14:paraId="0A77661D">
            <w:pPr>
              <w:pStyle w:val="2"/>
              <w:spacing w:before="0" w:after="0" w:line="420" w:lineRule="exact"/>
              <w:ind w:right="0"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厂内危险废物收集过程</w:t>
            </w:r>
            <w:r>
              <w:rPr>
                <w:rFonts w:hint="eastAsia"/>
                <w:color w:val="000000" w:themeColor="text1"/>
                <w:sz w:val="21"/>
                <w:szCs w:val="22"/>
                <w14:textFill>
                  <w14:solidFill>
                    <w14:schemeClr w14:val="tx1"/>
                  </w14:solidFill>
                </w14:textFill>
              </w:rPr>
              <w:t>：</w:t>
            </w:r>
          </w:p>
          <w:p w14:paraId="640B7E4B">
            <w:pPr>
              <w:pStyle w:val="2"/>
              <w:spacing w:before="0" w:after="0" w:line="420" w:lineRule="exact"/>
              <w:ind w:right="0"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1）应根据收集设备、转运车辆以及现场人员等实际情况确定相应作业区域，同时要设置作业界限标志和警示牌。</w:t>
            </w:r>
          </w:p>
          <w:p w14:paraId="76255AA2">
            <w:pPr>
              <w:pStyle w:val="2"/>
              <w:spacing w:before="0" w:after="0" w:line="420" w:lineRule="exact"/>
              <w:ind w:right="0"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2）作业区域内应设置危险废物收集专用通道和人员避险通道。</w:t>
            </w:r>
          </w:p>
          <w:p w14:paraId="6C382CE9">
            <w:pPr>
              <w:pStyle w:val="2"/>
              <w:spacing w:before="0" w:after="0" w:line="420" w:lineRule="exact"/>
              <w:ind w:right="0"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3）收集时应配备必要的收集工具和包装物，以及必要的应急监测设备及应急装备。</w:t>
            </w:r>
          </w:p>
          <w:p w14:paraId="298C9990">
            <w:pPr>
              <w:pStyle w:val="2"/>
              <w:spacing w:before="0" w:after="0" w:line="420" w:lineRule="exact"/>
              <w:ind w:right="0"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4）收集结束后应清理和恢复收集作业区域，确保作业区域环境整洁安全。</w:t>
            </w:r>
          </w:p>
          <w:p w14:paraId="4E2A13BD">
            <w:pPr>
              <w:pStyle w:val="2"/>
              <w:spacing w:before="0" w:after="0" w:line="420" w:lineRule="exact"/>
              <w:ind w:right="0"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5）收集过危险废物的容器、设备、设施、场所及其它物品转作它用时，应消除污染，确保其使用安全。</w:t>
            </w:r>
          </w:p>
          <w:p w14:paraId="1937A261">
            <w:pPr>
              <w:pStyle w:val="2"/>
              <w:spacing w:before="0" w:after="0" w:line="420" w:lineRule="exact"/>
              <w:ind w:right="0"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厂内危险废物转运作业要求</w:t>
            </w:r>
            <w:r>
              <w:rPr>
                <w:rFonts w:hint="eastAsia"/>
                <w:color w:val="000000" w:themeColor="text1"/>
                <w:sz w:val="21"/>
                <w:szCs w:val="22"/>
                <w14:textFill>
                  <w14:solidFill>
                    <w14:schemeClr w14:val="tx1"/>
                  </w14:solidFill>
                </w14:textFill>
              </w:rPr>
              <w:t>：</w:t>
            </w:r>
          </w:p>
          <w:p w14:paraId="746A76B4">
            <w:pPr>
              <w:pStyle w:val="2"/>
              <w:spacing w:before="0" w:after="0" w:line="420" w:lineRule="exact"/>
              <w:ind w:right="0"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1）危险废物内部转运应综合考虑厂区的实际情况确定转运路线，尽量避开办公区。</w:t>
            </w:r>
          </w:p>
          <w:p w14:paraId="5A00CC46">
            <w:pPr>
              <w:pStyle w:val="2"/>
              <w:spacing w:before="0" w:after="0" w:line="420" w:lineRule="exact"/>
              <w:ind w:right="0"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2）危险废物内部转运作业应采用专用的工具，危险废物内部转运应填写转运记录。</w:t>
            </w:r>
          </w:p>
          <w:p w14:paraId="366D9A31">
            <w:pPr>
              <w:pStyle w:val="2"/>
              <w:spacing w:before="0" w:after="0" w:line="420" w:lineRule="exact"/>
              <w:ind w:right="0"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3）危险废物内部转运结束后，应对转运路线进行检查和清理，确保无危险废物遗失在转运路线上，并对转运工具进行清洗。</w:t>
            </w:r>
          </w:p>
          <w:p w14:paraId="1FEA96DA">
            <w:pPr>
              <w:pStyle w:val="2"/>
              <w:spacing w:before="0" w:after="0" w:line="420" w:lineRule="exact"/>
              <w:ind w:right="0"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Ⅱ.厂外运输</w:t>
            </w:r>
          </w:p>
          <w:p w14:paraId="1BE1F7F5">
            <w:pPr>
              <w:pStyle w:val="2"/>
              <w:spacing w:before="0" w:after="0" w:line="420" w:lineRule="exact"/>
              <w:ind w:right="0"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企业危险废物外部运输均由危险废物处置单位委托有资质的运输单位运输。</w:t>
            </w:r>
          </w:p>
          <w:p w14:paraId="29D0EC7F">
            <w:pPr>
              <w:pStyle w:val="2"/>
              <w:spacing w:before="0" w:after="0" w:line="420" w:lineRule="exact"/>
              <w:ind w:right="0"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④委托处置的环境管理要求</w:t>
            </w:r>
          </w:p>
          <w:p w14:paraId="79FE2781">
            <w:pPr>
              <w:pStyle w:val="2"/>
              <w:spacing w:before="0" w:after="0" w:line="420" w:lineRule="exact"/>
              <w:ind w:right="0"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建设单位须和有危险废物处理资质的单位签订协议，将危险废物全部委托给具有相应危险废物处理资质的单位处理。本项目危险废物已委托</w:t>
            </w:r>
            <w:r>
              <w:rPr>
                <w:rFonts w:hint="eastAsia"/>
                <w:color w:val="000000" w:themeColor="text1"/>
                <w:sz w:val="21"/>
                <w:szCs w:val="21"/>
                <w:lang w:val="en-US" w:eastAsia="zh-CN"/>
                <w14:textFill>
                  <w14:solidFill>
                    <w14:schemeClr w14:val="tx1"/>
                  </w14:solidFill>
                </w14:textFill>
              </w:rPr>
              <w:t>高邮康博环境资源有限公司</w:t>
            </w:r>
            <w:r>
              <w:rPr>
                <w:color w:val="000000" w:themeColor="text1"/>
                <w:sz w:val="21"/>
                <w:szCs w:val="21"/>
                <w14:textFill>
                  <w14:solidFill>
                    <w14:schemeClr w14:val="tx1"/>
                  </w14:solidFill>
                </w14:textFill>
              </w:rPr>
              <w:t>处置，已签订协议（见附件）。</w:t>
            </w:r>
          </w:p>
          <w:p w14:paraId="6E3A4FF2">
            <w:pPr>
              <w:pStyle w:val="2"/>
              <w:spacing w:before="0" w:after="0" w:line="420" w:lineRule="exact"/>
              <w:ind w:right="0" w:firstLine="420" w:firstLineChars="200"/>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高邮康博环境资源有限公司</w:t>
            </w:r>
            <w:r>
              <w:rPr>
                <w:rFonts w:hint="eastAsia"/>
                <w:color w:val="000000" w:themeColor="text1"/>
                <w:sz w:val="21"/>
                <w:szCs w:val="21"/>
                <w:highlight w:val="none"/>
                <w14:textFill>
                  <w14:solidFill>
                    <w14:schemeClr w14:val="tx1"/>
                  </w14:solidFill>
                </w14:textFill>
              </w:rPr>
              <w:t>位于</w:t>
            </w:r>
            <w:r>
              <w:rPr>
                <w:rFonts w:hint="eastAsia"/>
                <w:color w:val="000000" w:themeColor="text1"/>
                <w:sz w:val="21"/>
                <w:szCs w:val="21"/>
                <w:highlight w:val="none"/>
                <w:lang w:val="en-US" w:eastAsia="zh-CN"/>
                <w14:textFill>
                  <w14:solidFill>
                    <w14:schemeClr w14:val="tx1"/>
                  </w14:solidFill>
                </w14:textFill>
              </w:rPr>
              <w:t>高邮市龙虬镇兴南村</w:t>
            </w:r>
            <w:r>
              <w:rPr>
                <w:rFonts w:hint="eastAsia"/>
                <w:color w:val="000000" w:themeColor="text1"/>
                <w:sz w:val="21"/>
                <w:szCs w:val="21"/>
                <w:highlight w:val="none"/>
                <w14:textFill>
                  <w14:solidFill>
                    <w14:schemeClr w14:val="tx1"/>
                  </w14:solidFill>
                </w14:textFill>
              </w:rPr>
              <w:t>，是一家专门从事危险废物焚烧处置的公司，核准经营范围包括：</w:t>
            </w:r>
          </w:p>
          <w:p w14:paraId="5B8B8210">
            <w:pPr>
              <w:pStyle w:val="2"/>
              <w:spacing w:before="0" w:after="0" w:line="420" w:lineRule="exact"/>
              <w:ind w:righ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焚烧处置医药废物(HW02)，废药物、药品(HW03)，农药废物(HW04)，木材防腐剂废物(HW05)，废有机溶剂与含有机溶剂废物(HW06)，废矿物油与含矿物油废物(HW08)，油/水、烃/水混合物或乳化液(HW09)，精(蒸)馏残渣(HW11)，染料、涂料废物(HW12)，有机树脂类废物(HW13)，感光材料废物(HW16)，有机磷化合物废物(HW37)，含酚废物(HW39)，含醚废物(HW40)，含有机卤化物废物(HW45)，其他废物(HW49，仅限900-039-49、900-041-49、900-046-49、900-047-49、900-999-49)，合计30000吨/年</w:t>
            </w:r>
            <w:r>
              <w:rPr>
                <w:color w:val="000000" w:themeColor="text1"/>
                <w:sz w:val="21"/>
                <w:szCs w:val="21"/>
                <w:highlight w:val="none"/>
                <w14:textFill>
                  <w14:solidFill>
                    <w14:schemeClr w14:val="tx1"/>
                  </w14:solidFill>
                </w14:textFill>
              </w:rPr>
              <w:t>。</w:t>
            </w:r>
          </w:p>
          <w:p w14:paraId="75198BF8">
            <w:pPr>
              <w:pStyle w:val="2"/>
              <w:spacing w:before="0" w:after="0" w:line="420" w:lineRule="exact"/>
              <w:ind w:right="0" w:firstLine="420" w:firstLineChars="200"/>
              <w:rPr>
                <w:rFonts w:hint="default"/>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本项目危险废物类别为</w:t>
            </w:r>
            <w:r>
              <w:rPr>
                <w:rFonts w:hint="eastAsia"/>
                <w:color w:val="000000" w:themeColor="text1"/>
                <w:sz w:val="21"/>
                <w:szCs w:val="21"/>
                <w:highlight w:val="none"/>
                <w14:textFill>
                  <w14:solidFill>
                    <w14:schemeClr w14:val="tx1"/>
                  </w14:solidFill>
                </w14:textFill>
              </w:rPr>
              <w:t>HW08、</w:t>
            </w:r>
            <w:r>
              <w:rPr>
                <w:color w:val="000000" w:themeColor="text1"/>
                <w:sz w:val="21"/>
                <w:szCs w:val="21"/>
                <w:highlight w:val="none"/>
                <w14:textFill>
                  <w14:solidFill>
                    <w14:schemeClr w14:val="tx1"/>
                  </w14:solidFill>
                </w14:textFill>
              </w:rPr>
              <w:t>HW49，</w:t>
            </w:r>
            <w:r>
              <w:rPr>
                <w:rFonts w:hint="eastAsia"/>
                <w:color w:val="000000" w:themeColor="text1"/>
                <w:sz w:val="21"/>
                <w:szCs w:val="21"/>
                <w:highlight w:val="none"/>
                <w14:textFill>
                  <w14:solidFill>
                    <w14:schemeClr w14:val="tx1"/>
                  </w14:solidFill>
                </w14:textFill>
              </w:rPr>
              <w:t>均</w:t>
            </w:r>
            <w:r>
              <w:rPr>
                <w:color w:val="000000" w:themeColor="text1"/>
                <w:sz w:val="21"/>
                <w:szCs w:val="21"/>
                <w:highlight w:val="none"/>
                <w14:textFill>
                  <w14:solidFill>
                    <w14:schemeClr w14:val="tx1"/>
                  </w14:solidFill>
                </w14:textFill>
              </w:rPr>
              <w:t>在</w:t>
            </w:r>
            <w:r>
              <w:rPr>
                <w:rFonts w:hint="eastAsia"/>
                <w:color w:val="000000" w:themeColor="text1"/>
                <w:sz w:val="21"/>
                <w:szCs w:val="21"/>
                <w:highlight w:val="none"/>
                <w:lang w:val="en-US" w:eastAsia="zh-CN"/>
                <w14:textFill>
                  <w14:solidFill>
                    <w14:schemeClr w14:val="tx1"/>
                  </w14:solidFill>
                </w14:textFill>
              </w:rPr>
              <w:t>高邮康博环境资源有限公司</w:t>
            </w:r>
            <w:r>
              <w:rPr>
                <w:color w:val="000000" w:themeColor="text1"/>
                <w:sz w:val="21"/>
                <w:szCs w:val="21"/>
                <w:highlight w:val="none"/>
                <w14:textFill>
                  <w14:solidFill>
                    <w14:schemeClr w14:val="tx1"/>
                  </w14:solidFill>
                </w14:textFill>
              </w:rPr>
              <w:t>处置范围内</w:t>
            </w:r>
            <w:r>
              <w:rPr>
                <w:rFonts w:hint="eastAsia"/>
                <w:color w:val="000000" w:themeColor="text1"/>
                <w:sz w:val="21"/>
                <w:szCs w:val="21"/>
                <w:highlight w:val="none"/>
                <w14:textFill>
                  <w14:solidFill>
                    <w14:schemeClr w14:val="tx1"/>
                  </w14:solidFill>
                </w14:textFill>
              </w:rPr>
              <w:t>，且</w:t>
            </w:r>
            <w:r>
              <w:rPr>
                <w:rFonts w:hint="eastAsia"/>
                <w:color w:val="000000" w:themeColor="text1"/>
                <w:sz w:val="21"/>
                <w:szCs w:val="21"/>
                <w:highlight w:val="none"/>
                <w:lang w:val="en-US" w:eastAsia="zh-CN"/>
                <w14:textFill>
                  <w14:solidFill>
                    <w14:schemeClr w14:val="tx1"/>
                  </w14:solidFill>
                </w14:textFill>
              </w:rPr>
              <w:t>高邮康博环境资源有限公司</w:t>
            </w:r>
            <w:r>
              <w:rPr>
                <w:color w:val="000000" w:themeColor="text1"/>
                <w:sz w:val="21"/>
                <w:szCs w:val="21"/>
                <w:highlight w:val="none"/>
                <w14:textFill>
                  <w14:solidFill>
                    <w14:schemeClr w14:val="tx1"/>
                  </w14:solidFill>
                </w14:textFill>
              </w:rPr>
              <w:t>尚有余量。因此，上述危险废物交由</w:t>
            </w:r>
            <w:r>
              <w:rPr>
                <w:rFonts w:hint="eastAsia"/>
                <w:color w:val="000000" w:themeColor="text1"/>
                <w:sz w:val="21"/>
                <w:szCs w:val="21"/>
                <w:highlight w:val="none"/>
                <w:lang w:val="en-US" w:eastAsia="zh-CN"/>
                <w14:textFill>
                  <w14:solidFill>
                    <w14:schemeClr w14:val="tx1"/>
                  </w14:solidFill>
                </w14:textFill>
              </w:rPr>
              <w:t>高邮康博环境资源有限公司</w:t>
            </w:r>
            <w:r>
              <w:rPr>
                <w:color w:val="000000" w:themeColor="text1"/>
                <w:sz w:val="21"/>
                <w:szCs w:val="21"/>
                <w:highlight w:val="none"/>
                <w14:textFill>
                  <w14:solidFill>
                    <w14:schemeClr w14:val="tx1"/>
                  </w14:solidFill>
                </w14:textFill>
              </w:rPr>
              <w:t>处理从技术上可行</w:t>
            </w:r>
            <w:r>
              <w:rPr>
                <w:rFonts w:hint="eastAsia"/>
                <w:color w:val="000000" w:themeColor="text1"/>
                <w:sz w:val="21"/>
                <w:szCs w:val="21"/>
                <w:highlight w:val="none"/>
                <w:lang w:val="en-US" w:eastAsia="zh-CN"/>
                <w14:textFill>
                  <w14:solidFill>
                    <w14:schemeClr w14:val="tx1"/>
                  </w14:solidFill>
                </w14:textFill>
              </w:rPr>
              <w:t>。</w:t>
            </w:r>
          </w:p>
          <w:p w14:paraId="32B481B3">
            <w:pPr>
              <w:pStyle w:val="2"/>
              <w:spacing w:before="0" w:after="0" w:line="420" w:lineRule="exact"/>
              <w:ind w:right="0" w:firstLine="422" w:firstLineChars="200"/>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4.5地下水、土壤</w:t>
            </w:r>
          </w:p>
          <w:p w14:paraId="6282EBAF">
            <w:pPr>
              <w:pStyle w:val="2"/>
              <w:spacing w:before="0" w:after="0" w:line="420" w:lineRule="exact"/>
              <w:ind w:right="0" w:firstLine="422" w:firstLineChars="20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4.5.1地下水、土壤污染源</w:t>
            </w:r>
          </w:p>
          <w:p w14:paraId="3935F6D9">
            <w:pPr>
              <w:pStyle w:val="2"/>
              <w:spacing w:before="0" w:after="0" w:line="420" w:lineRule="exact"/>
              <w:ind w:right="0"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项目土壤、地下水主要污染源有以下方面：</w:t>
            </w:r>
          </w:p>
          <w:p w14:paraId="234A888C">
            <w:pPr>
              <w:pStyle w:val="2"/>
              <w:spacing w:before="0" w:after="0" w:line="420" w:lineRule="exact"/>
              <w:ind w:right="0"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（1）原辅料储存与使用：本项目</w:t>
            </w:r>
            <w:r>
              <w:rPr>
                <w:rFonts w:hint="eastAsia"/>
                <w:color w:val="000000" w:themeColor="text1"/>
                <w:sz w:val="21"/>
                <w:szCs w:val="21"/>
                <w:lang w:val="en-US" w:eastAsia="zh-CN"/>
                <w14:textFill>
                  <w14:solidFill>
                    <w14:schemeClr w14:val="tx1"/>
                  </w14:solidFill>
                </w14:textFill>
              </w:rPr>
              <w:t>油墨、清洗剂、液压油</w:t>
            </w:r>
            <w:r>
              <w:rPr>
                <w:rFonts w:hint="eastAsia"/>
                <w:color w:val="000000" w:themeColor="text1"/>
                <w:sz w:val="21"/>
                <w:szCs w:val="21"/>
                <w14:textFill>
                  <w14:solidFill>
                    <w14:schemeClr w14:val="tx1"/>
                  </w14:solidFill>
                </w14:textFill>
              </w:rPr>
              <w:t>等采用</w:t>
            </w:r>
            <w:r>
              <w:rPr>
                <w:color w:val="000000" w:themeColor="text1"/>
                <w:sz w:val="21"/>
                <w:szCs w:val="21"/>
                <w14:textFill>
                  <w14:solidFill>
                    <w14:schemeClr w14:val="tx1"/>
                  </w14:solidFill>
                </w14:textFill>
              </w:rPr>
              <w:t>密封桶装</w:t>
            </w:r>
            <w:r>
              <w:rPr>
                <w:rFonts w:hint="eastAsia"/>
                <w:color w:val="000000" w:themeColor="text1"/>
                <w:sz w:val="21"/>
                <w:szCs w:val="21"/>
                <w14:textFill>
                  <w14:solidFill>
                    <w14:schemeClr w14:val="tx1"/>
                  </w14:solidFill>
                </w14:textFill>
              </w:rPr>
              <w:t>贮存</w:t>
            </w:r>
            <w:r>
              <w:rPr>
                <w:color w:val="000000" w:themeColor="text1"/>
                <w:sz w:val="21"/>
                <w:szCs w:val="21"/>
                <w14:textFill>
                  <w14:solidFill>
                    <w14:schemeClr w14:val="tx1"/>
                  </w14:solidFill>
                </w14:textFill>
              </w:rPr>
              <w:t>，非使用状态时均加盖密闭</w:t>
            </w:r>
            <w:r>
              <w:rPr>
                <w:rFonts w:hint="eastAsia"/>
                <w:color w:val="000000" w:themeColor="text1"/>
                <w:sz w:val="21"/>
                <w:szCs w:val="21"/>
                <w14:textFill>
                  <w14:solidFill>
                    <w14:schemeClr w14:val="tx1"/>
                  </w14:solidFill>
                </w14:textFill>
              </w:rPr>
              <w:t>，基本不会对土壤和地下水造成影响</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油墨、清洗剂、液压油</w:t>
            </w:r>
            <w:r>
              <w:rPr>
                <w:rFonts w:hint="eastAsia"/>
                <w:color w:val="000000" w:themeColor="text1"/>
                <w:sz w:val="21"/>
                <w:szCs w:val="21"/>
                <w14:textFill>
                  <w14:solidFill>
                    <w14:schemeClr w14:val="tx1"/>
                  </w14:solidFill>
                </w14:textFill>
              </w:rPr>
              <w:t>使用和迁移过程可能发生泄漏，通过</w:t>
            </w:r>
            <w:r>
              <w:rPr>
                <w:color w:val="000000" w:themeColor="text1"/>
                <w:sz w:val="21"/>
                <w:szCs w:val="21"/>
                <w14:textFill>
                  <w14:solidFill>
                    <w14:schemeClr w14:val="tx1"/>
                  </w14:solidFill>
                </w14:textFill>
              </w:rPr>
              <w:t>垂直入渗、地面漫流</w:t>
            </w:r>
            <w:r>
              <w:rPr>
                <w:rFonts w:hint="eastAsia"/>
                <w:color w:val="000000" w:themeColor="text1"/>
                <w:sz w:val="21"/>
                <w:szCs w:val="21"/>
                <w14:textFill>
                  <w14:solidFill>
                    <w14:schemeClr w14:val="tx1"/>
                  </w14:solidFill>
                </w14:textFill>
              </w:rPr>
              <w:t>对土壤和地下水造成影响</w:t>
            </w:r>
            <w:r>
              <w:rPr>
                <w:color w:val="000000" w:themeColor="text1"/>
                <w:sz w:val="21"/>
                <w:szCs w:val="21"/>
                <w14:textFill>
                  <w14:solidFill>
                    <w14:schemeClr w14:val="tx1"/>
                  </w14:solidFill>
                </w14:textFill>
              </w:rPr>
              <w:t>。</w:t>
            </w:r>
          </w:p>
          <w:p w14:paraId="7FEF7D43">
            <w:pPr>
              <w:pStyle w:val="2"/>
              <w:spacing w:before="0" w:after="0" w:line="420" w:lineRule="exact"/>
              <w:ind w:right="0"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（2）废气排放：</w:t>
            </w:r>
            <w:r>
              <w:rPr>
                <w:rFonts w:hint="eastAsia"/>
                <w:color w:val="000000" w:themeColor="text1"/>
                <w:sz w:val="21"/>
                <w:szCs w:val="21"/>
                <w14:textFill>
                  <w14:solidFill>
                    <w14:schemeClr w14:val="tx1"/>
                  </w14:solidFill>
                </w14:textFill>
              </w:rPr>
              <w:t>本项目非甲烷总烃、颗粒物排放浓度较低，对土壤及地下水几乎无影响</w:t>
            </w:r>
            <w:r>
              <w:rPr>
                <w:color w:val="000000" w:themeColor="text1"/>
                <w:sz w:val="21"/>
                <w:szCs w:val="21"/>
                <w14:textFill>
                  <w14:solidFill>
                    <w14:schemeClr w14:val="tx1"/>
                  </w14:solidFill>
                </w14:textFill>
              </w:rPr>
              <w:t>。</w:t>
            </w:r>
          </w:p>
          <w:p w14:paraId="6D9FD540">
            <w:pPr>
              <w:pStyle w:val="2"/>
              <w:spacing w:before="0" w:after="0" w:line="420" w:lineRule="exact"/>
              <w:ind w:right="0"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（3）废水排放：本项目</w:t>
            </w:r>
            <w:r>
              <w:rPr>
                <w:rFonts w:hint="eastAsia"/>
                <w:color w:val="000000" w:themeColor="text1"/>
                <w:sz w:val="21"/>
                <w:szCs w:val="21"/>
                <w14:textFill>
                  <w14:solidFill>
                    <w14:schemeClr w14:val="tx1"/>
                  </w14:solidFill>
                </w14:textFill>
              </w:rPr>
              <w:t>生活污水水质简单，生活污水</w:t>
            </w:r>
            <w:r>
              <w:rPr>
                <w:color w:val="000000" w:themeColor="text1"/>
                <w:sz w:val="21"/>
                <w:szCs w:val="21"/>
                <w14:textFill>
                  <w14:solidFill>
                    <w14:schemeClr w14:val="tx1"/>
                  </w14:solidFill>
                </w14:textFill>
              </w:rPr>
              <w:t>接管至</w:t>
            </w:r>
            <w:r>
              <w:rPr>
                <w:rFonts w:hint="eastAsia"/>
                <w:color w:val="000000" w:themeColor="text1"/>
                <w:sz w:val="21"/>
                <w:szCs w:val="21"/>
                <w:lang w:eastAsia="zh-CN"/>
                <w14:textFill>
                  <w14:solidFill>
                    <w14:schemeClr w14:val="tx1"/>
                  </w14:solidFill>
                </w14:textFill>
              </w:rPr>
              <w:t>江苏中法水务股份有限公司（城东水质净化厂）</w:t>
            </w:r>
            <w:r>
              <w:rPr>
                <w:color w:val="000000" w:themeColor="text1"/>
                <w:sz w:val="21"/>
                <w:szCs w:val="21"/>
                <w14:textFill>
                  <w14:solidFill>
                    <w14:schemeClr w14:val="tx1"/>
                  </w14:solidFill>
                </w14:textFill>
              </w:rPr>
              <w:t>集中处理，对土壤及地下水的影响概率较小。</w:t>
            </w:r>
          </w:p>
          <w:p w14:paraId="444364AD">
            <w:pPr>
              <w:pStyle w:val="2"/>
              <w:spacing w:before="0" w:after="0" w:line="420" w:lineRule="exact"/>
              <w:ind w:right="0"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（4）固废暂存：一般固废</w:t>
            </w:r>
            <w:r>
              <w:rPr>
                <w:rFonts w:hint="eastAsia"/>
                <w:color w:val="000000" w:themeColor="text1"/>
                <w:sz w:val="21"/>
                <w:szCs w:val="21"/>
                <w14:textFill>
                  <w14:solidFill>
                    <w14:schemeClr w14:val="tx1"/>
                  </w14:solidFill>
                </w14:textFill>
              </w:rPr>
              <w:t>、生活垃圾基本无液体，对</w:t>
            </w:r>
            <w:r>
              <w:rPr>
                <w:color w:val="000000" w:themeColor="text1"/>
                <w:sz w:val="21"/>
                <w:szCs w:val="21"/>
                <w14:textFill>
                  <w14:solidFill>
                    <w14:schemeClr w14:val="tx1"/>
                  </w14:solidFill>
                </w14:textFill>
              </w:rPr>
              <w:t>土壤及地下水产生影响</w:t>
            </w:r>
            <w:r>
              <w:rPr>
                <w:rFonts w:hint="eastAsia"/>
                <w:color w:val="000000" w:themeColor="text1"/>
                <w:sz w:val="21"/>
                <w:szCs w:val="21"/>
                <w14:textFill>
                  <w14:solidFill>
                    <w14:schemeClr w14:val="tx1"/>
                  </w14:solidFill>
                </w14:textFill>
              </w:rPr>
              <w:t>较小；废液压油</w:t>
            </w:r>
            <w:r>
              <w:rPr>
                <w:color w:val="000000" w:themeColor="text1"/>
                <w:sz w:val="21"/>
                <w:szCs w:val="21"/>
                <w14:textFill>
                  <w14:solidFill>
                    <w14:schemeClr w14:val="tx1"/>
                  </w14:solidFill>
                </w14:textFill>
              </w:rPr>
              <w:t>密</w:t>
            </w:r>
            <w:r>
              <w:rPr>
                <w:color w:val="000000" w:themeColor="text1"/>
                <w:sz w:val="21"/>
                <w:szCs w:val="21"/>
                <w:highlight w:val="none"/>
                <w14:textFill>
                  <w14:solidFill>
                    <w14:schemeClr w14:val="tx1"/>
                  </w14:solidFill>
                </w14:textFill>
              </w:rPr>
              <w:t>封存储</w:t>
            </w:r>
            <w:r>
              <w:rPr>
                <w:rFonts w:hint="eastAsia"/>
                <w:color w:val="000000" w:themeColor="text1"/>
                <w:sz w:val="21"/>
                <w:szCs w:val="21"/>
                <w:highlight w:val="none"/>
                <w14:textFill>
                  <w14:solidFill>
                    <w14:schemeClr w14:val="tx1"/>
                  </w14:solidFill>
                </w14:textFill>
              </w:rPr>
              <w:t>，且危废仓库设置在三层</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不会泄漏到地面，</w:t>
            </w:r>
            <w:r>
              <w:rPr>
                <w:rFonts w:hint="eastAsia"/>
                <w:color w:val="000000" w:themeColor="text1"/>
                <w:sz w:val="21"/>
                <w:szCs w:val="21"/>
                <w14:textFill>
                  <w14:solidFill>
                    <w14:schemeClr w14:val="tx1"/>
                  </w14:solidFill>
                </w14:textFill>
              </w:rPr>
              <w:t>因此，废液压油在储存过程中</w:t>
            </w:r>
            <w:r>
              <w:rPr>
                <w:color w:val="000000" w:themeColor="text1"/>
                <w:sz w:val="21"/>
                <w:szCs w:val="21"/>
                <w14:textFill>
                  <w14:solidFill>
                    <w14:schemeClr w14:val="tx1"/>
                  </w14:solidFill>
                </w14:textFill>
              </w:rPr>
              <w:t>对地下水及土壤几乎无影响。</w:t>
            </w:r>
          </w:p>
          <w:p w14:paraId="7C5F925E">
            <w:pPr>
              <w:jc w:val="center"/>
              <w:rPr>
                <w:b/>
                <w:color w:val="000000" w:themeColor="text1"/>
                <w:szCs w:val="21"/>
                <w14:textFill>
                  <w14:solidFill>
                    <w14:schemeClr w14:val="tx1"/>
                  </w14:solidFill>
                </w14:textFill>
              </w:rPr>
            </w:pPr>
            <w:bookmarkStart w:id="10" w:name="_Hlk532566904"/>
            <w:bookmarkStart w:id="11" w:name="_Hlk532589549"/>
            <w:r>
              <w:rPr>
                <w:b/>
                <w:color w:val="000000" w:themeColor="text1"/>
                <w:szCs w:val="21"/>
                <w14:textFill>
                  <w14:solidFill>
                    <w14:schemeClr w14:val="tx1"/>
                  </w14:solidFill>
                </w14:textFill>
              </w:rPr>
              <w:t xml:space="preserve">表4.5-1  </w:t>
            </w:r>
            <w:r>
              <w:rPr>
                <w:rFonts w:hint="eastAsia"/>
                <w:b/>
                <w:color w:val="000000" w:themeColor="text1"/>
                <w:szCs w:val="21"/>
                <w14:textFill>
                  <w14:solidFill>
                    <w14:schemeClr w14:val="tx1"/>
                  </w14:solidFill>
                </w14:textFill>
              </w:rPr>
              <w:t>本项目</w:t>
            </w:r>
            <w:r>
              <w:rPr>
                <w:b/>
                <w:color w:val="000000" w:themeColor="text1"/>
                <w:szCs w:val="21"/>
                <w14:textFill>
                  <w14:solidFill>
                    <w14:schemeClr w14:val="tx1"/>
                  </w14:solidFill>
                </w14:textFill>
              </w:rPr>
              <w:t>分区防控措施一览表</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5"/>
              <w:gridCol w:w="1939"/>
              <w:gridCol w:w="1858"/>
              <w:gridCol w:w="1858"/>
              <w:gridCol w:w="1063"/>
              <w:gridCol w:w="1252"/>
            </w:tblGrid>
            <w:tr w14:paraId="5C967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0" w:type="pct"/>
                  <w:noWrap/>
                  <w:vAlign w:val="center"/>
                </w:tcPr>
                <w:p w14:paraId="69A7E345">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1161" w:type="pct"/>
                  <w:noWrap/>
                  <w:vAlign w:val="center"/>
                </w:tcPr>
                <w:p w14:paraId="740D2AE3">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单元名称</w:t>
                  </w:r>
                </w:p>
              </w:tc>
              <w:tc>
                <w:tcPr>
                  <w:tcW w:w="965" w:type="pct"/>
                  <w:noWrap/>
                  <w:vAlign w:val="center"/>
                </w:tcPr>
                <w:p w14:paraId="75C8A277">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污染源</w:t>
                  </w:r>
                </w:p>
              </w:tc>
              <w:tc>
                <w:tcPr>
                  <w:tcW w:w="932" w:type="pct"/>
                  <w:noWrap/>
                  <w:vAlign w:val="center"/>
                </w:tcPr>
                <w:p w14:paraId="507F1395">
                  <w:pPr>
                    <w:pStyle w:val="60"/>
                    <w:spacing w:line="240" w:lineRule="auto"/>
                    <w:rPr>
                      <w:b/>
                      <w:bCs/>
                      <w:color w:val="000000" w:themeColor="text1"/>
                      <w14:textFill>
                        <w14:solidFill>
                          <w14:schemeClr w14:val="tx1"/>
                        </w14:solidFill>
                      </w14:textFill>
                    </w:rPr>
                  </w:pPr>
                  <w:r>
                    <w:rPr>
                      <w:b/>
                      <w:bCs/>
                      <w:color w:val="000000" w:themeColor="text1"/>
                      <w14:textFill>
                        <w14:solidFill>
                          <w14:schemeClr w14:val="tx1"/>
                        </w14:solidFill>
                      </w14:textFill>
                    </w:rPr>
                    <w:t>污染物</w:t>
                  </w:r>
                </w:p>
              </w:tc>
              <w:tc>
                <w:tcPr>
                  <w:tcW w:w="772" w:type="pct"/>
                  <w:noWrap/>
                  <w:vAlign w:val="center"/>
                </w:tcPr>
                <w:p w14:paraId="267F3859">
                  <w:pPr>
                    <w:pStyle w:val="60"/>
                    <w:spacing w:line="240" w:lineRule="auto"/>
                    <w:rPr>
                      <w:b/>
                      <w:bCs/>
                      <w:color w:val="000000" w:themeColor="text1"/>
                      <w14:textFill>
                        <w14:solidFill>
                          <w14:schemeClr w14:val="tx1"/>
                        </w14:solidFill>
                      </w14:textFill>
                    </w:rPr>
                  </w:pPr>
                  <w:r>
                    <w:rPr>
                      <w:b/>
                      <w:bCs/>
                      <w:color w:val="000000" w:themeColor="text1"/>
                      <w14:textFill>
                        <w14:solidFill>
                          <w14:schemeClr w14:val="tx1"/>
                        </w14:solidFill>
                      </w14:textFill>
                    </w:rPr>
                    <w:t>污染防治</w:t>
                  </w:r>
                </w:p>
                <w:p w14:paraId="01D8DE3E">
                  <w:pPr>
                    <w:pStyle w:val="60"/>
                    <w:spacing w:line="240" w:lineRule="auto"/>
                    <w:rPr>
                      <w:b/>
                      <w:bCs/>
                      <w:color w:val="000000" w:themeColor="text1"/>
                      <w14:textFill>
                        <w14:solidFill>
                          <w14:schemeClr w14:val="tx1"/>
                        </w14:solidFill>
                      </w14:textFill>
                    </w:rPr>
                  </w:pPr>
                  <w:r>
                    <w:rPr>
                      <w:b/>
                      <w:bCs/>
                      <w:color w:val="000000" w:themeColor="text1"/>
                      <w14:textFill>
                        <w14:solidFill>
                          <w14:schemeClr w14:val="tx1"/>
                        </w14:solidFill>
                      </w14:textFill>
                    </w:rPr>
                    <w:t>类别</w:t>
                  </w:r>
                </w:p>
              </w:tc>
              <w:tc>
                <w:tcPr>
                  <w:tcW w:w="916" w:type="pct"/>
                  <w:noWrap/>
                  <w:vAlign w:val="center"/>
                </w:tcPr>
                <w:p w14:paraId="4E658218">
                  <w:pPr>
                    <w:pStyle w:val="60"/>
                    <w:spacing w:line="240" w:lineRule="auto"/>
                    <w:rPr>
                      <w:b/>
                      <w:bCs/>
                      <w:color w:val="000000" w:themeColor="text1"/>
                      <w14:textFill>
                        <w14:solidFill>
                          <w14:schemeClr w14:val="tx1"/>
                        </w14:solidFill>
                      </w14:textFill>
                    </w:rPr>
                  </w:pPr>
                  <w:r>
                    <w:rPr>
                      <w:b/>
                      <w:bCs/>
                      <w:color w:val="000000" w:themeColor="text1"/>
                      <w14:textFill>
                        <w14:solidFill>
                          <w14:schemeClr w14:val="tx1"/>
                        </w14:solidFill>
                      </w14:textFill>
                    </w:rPr>
                    <w:t>污染防治</w:t>
                  </w:r>
                </w:p>
                <w:p w14:paraId="0C6EE357">
                  <w:pPr>
                    <w:pStyle w:val="60"/>
                    <w:spacing w:line="240" w:lineRule="auto"/>
                    <w:rPr>
                      <w:b/>
                      <w:bCs/>
                      <w:color w:val="000000" w:themeColor="text1"/>
                      <w14:textFill>
                        <w14:solidFill>
                          <w14:schemeClr w14:val="tx1"/>
                        </w14:solidFill>
                      </w14:textFill>
                    </w:rPr>
                  </w:pPr>
                  <w:r>
                    <w:rPr>
                      <w:b/>
                      <w:bCs/>
                      <w:color w:val="000000" w:themeColor="text1"/>
                      <w14:textFill>
                        <w14:solidFill>
                          <w14:schemeClr w14:val="tx1"/>
                        </w14:solidFill>
                      </w14:textFill>
                    </w:rPr>
                    <w:t>区域及部位</w:t>
                  </w:r>
                </w:p>
              </w:tc>
            </w:tr>
            <w:tr w14:paraId="7AE719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noWrap/>
                  <w:vAlign w:val="center"/>
                </w:tcPr>
                <w:p w14:paraId="09A3B96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161" w:type="pct"/>
                  <w:noWrap/>
                  <w:vAlign w:val="center"/>
                </w:tcPr>
                <w:p w14:paraId="34F598EE">
                  <w:pPr>
                    <w:jc w:val="center"/>
                    <w:rPr>
                      <w:rFonts w:hint="eastAsia" w:ascii="宋体" w:hAnsi="宋体" w:eastAsia="宋体"/>
                      <w:color w:val="000000" w:themeColor="text1"/>
                      <w:kern w:val="0"/>
                      <w:szCs w:val="21"/>
                      <w:lang w:eastAsia="zh-CN"/>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办公</w:t>
                  </w:r>
                  <w:r>
                    <w:rPr>
                      <w:rFonts w:hint="eastAsia" w:ascii="宋体" w:hAnsi="宋体"/>
                      <w:color w:val="000000" w:themeColor="text1"/>
                      <w:kern w:val="0"/>
                      <w:szCs w:val="21"/>
                      <w:lang w:val="en-US" w:eastAsia="zh-CN"/>
                      <w14:textFill>
                        <w14:solidFill>
                          <w14:schemeClr w14:val="tx1"/>
                        </w14:solidFill>
                      </w14:textFill>
                    </w:rPr>
                    <w:t>区</w:t>
                  </w:r>
                </w:p>
              </w:tc>
              <w:tc>
                <w:tcPr>
                  <w:tcW w:w="965" w:type="pct"/>
                  <w:noWrap/>
                  <w:vAlign w:val="center"/>
                </w:tcPr>
                <w:p w14:paraId="452F9844">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932" w:type="pct"/>
                  <w:noWrap/>
                  <w:vAlign w:val="center"/>
                </w:tcPr>
                <w:p w14:paraId="56A6DA4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72" w:type="pct"/>
                  <w:noWrap/>
                  <w:vAlign w:val="center"/>
                </w:tcPr>
                <w:p w14:paraId="20AFE3D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简单防渗</w:t>
                  </w:r>
                </w:p>
              </w:tc>
              <w:tc>
                <w:tcPr>
                  <w:tcW w:w="916" w:type="pct"/>
                  <w:noWrap/>
                  <w:vAlign w:val="center"/>
                </w:tcPr>
                <w:p w14:paraId="09B71B3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地面</w:t>
                  </w:r>
                </w:p>
              </w:tc>
            </w:tr>
            <w:tr w14:paraId="22968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noWrap/>
                  <w:vAlign w:val="center"/>
                </w:tcPr>
                <w:p w14:paraId="6ECF751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161" w:type="pct"/>
                  <w:noWrap/>
                  <w:vAlign w:val="center"/>
                </w:tcPr>
                <w:p w14:paraId="2A98C53E">
                  <w:pPr>
                    <w:jc w:val="center"/>
                    <w:rPr>
                      <w:rFonts w:ascii="宋体" w:hAnsi="宋体"/>
                      <w:color w:val="000000" w:themeColor="text1"/>
                      <w:kern w:val="0"/>
                      <w:szCs w:val="21"/>
                      <w14:textFill>
                        <w14:solidFill>
                          <w14:schemeClr w14:val="tx1"/>
                        </w14:solidFill>
                      </w14:textFill>
                    </w:rPr>
                  </w:pPr>
                  <w:r>
                    <w:rPr>
                      <w:color w:val="000000" w:themeColor="text1"/>
                      <w:szCs w:val="21"/>
                      <w:highlight w:val="none"/>
                      <w14:textFill>
                        <w14:solidFill>
                          <w14:schemeClr w14:val="tx1"/>
                        </w14:solidFill>
                      </w14:textFill>
                    </w:rPr>
                    <w:t>成品</w:t>
                  </w:r>
                  <w:r>
                    <w:rPr>
                      <w:rFonts w:hint="eastAsia" w:cs="Times New Roman"/>
                      <w:color w:val="000000" w:themeColor="text1"/>
                      <w:szCs w:val="21"/>
                      <w:highlight w:val="none"/>
                      <w:lang w:val="en-US" w:eastAsia="zh-CN"/>
                      <w14:textFill>
                        <w14:solidFill>
                          <w14:schemeClr w14:val="tx1"/>
                        </w14:solidFill>
                      </w14:textFill>
                    </w:rPr>
                    <w:t>仓库</w:t>
                  </w:r>
                </w:p>
              </w:tc>
              <w:tc>
                <w:tcPr>
                  <w:tcW w:w="965" w:type="pct"/>
                  <w:noWrap/>
                  <w:vAlign w:val="center"/>
                </w:tcPr>
                <w:p w14:paraId="0BDD3B79">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932" w:type="pct"/>
                  <w:noWrap/>
                  <w:vAlign w:val="center"/>
                </w:tcPr>
                <w:p w14:paraId="6B4CF51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72" w:type="pct"/>
                  <w:noWrap/>
                  <w:vAlign w:val="center"/>
                </w:tcPr>
                <w:p w14:paraId="6B9213F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一般防渗</w:t>
                  </w:r>
                </w:p>
              </w:tc>
              <w:tc>
                <w:tcPr>
                  <w:tcW w:w="916" w:type="pct"/>
                  <w:noWrap/>
                  <w:vAlign w:val="center"/>
                </w:tcPr>
                <w:p w14:paraId="34A539C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地面</w:t>
                  </w:r>
                </w:p>
              </w:tc>
            </w:tr>
            <w:tr w14:paraId="4367BC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dxa"/>
                  <w:noWrap/>
                  <w:vAlign w:val="center"/>
                </w:tcPr>
                <w:p w14:paraId="095B5D60">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161" w:type="pct"/>
                  <w:noWrap/>
                  <w:vAlign w:val="center"/>
                </w:tcPr>
                <w:p w14:paraId="5366D672">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化学品库</w:t>
                  </w:r>
                </w:p>
              </w:tc>
              <w:tc>
                <w:tcPr>
                  <w:tcW w:w="965" w:type="pct"/>
                  <w:noWrap/>
                  <w:vAlign w:val="center"/>
                </w:tcPr>
                <w:p w14:paraId="61E4551C">
                  <w:pPr>
                    <w:widowControl/>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油墨、清洗剂</w:t>
                  </w:r>
                </w:p>
              </w:tc>
              <w:tc>
                <w:tcPr>
                  <w:tcW w:w="1568" w:type="dxa"/>
                  <w:noWrap/>
                  <w:vAlign w:val="center"/>
                </w:tcPr>
                <w:p w14:paraId="764BB3ED">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挥发性有机物、石油类</w:t>
                  </w:r>
                </w:p>
              </w:tc>
              <w:tc>
                <w:tcPr>
                  <w:tcW w:w="1299" w:type="dxa"/>
                  <w:noWrap/>
                  <w:vAlign w:val="center"/>
                </w:tcPr>
                <w:p w14:paraId="4FBF26EC">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重点防渗</w:t>
                  </w:r>
                </w:p>
              </w:tc>
              <w:tc>
                <w:tcPr>
                  <w:tcW w:w="1541" w:type="dxa"/>
                  <w:noWrap/>
                  <w:vAlign w:val="center"/>
                </w:tcPr>
                <w:p w14:paraId="59A32838">
                  <w:pPr>
                    <w:jc w:val="center"/>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地面与裙角</w:t>
                  </w:r>
                </w:p>
              </w:tc>
            </w:tr>
            <w:tr w14:paraId="190309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dxa"/>
                  <w:noWrap/>
                  <w:vAlign w:val="center"/>
                </w:tcPr>
                <w:p w14:paraId="35CEA09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161" w:type="pct"/>
                  <w:noWrap/>
                  <w:vAlign w:val="center"/>
                </w:tcPr>
                <w:p w14:paraId="565F072A">
                  <w:pPr>
                    <w:jc w:val="center"/>
                    <w:rPr>
                      <w:rFonts w:ascii="宋体" w:hAnsi="宋体"/>
                      <w:color w:val="000000" w:themeColor="text1"/>
                      <w:kern w:val="0"/>
                      <w:szCs w:val="21"/>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原辅料</w:t>
                  </w:r>
                  <w:r>
                    <w:rPr>
                      <w:rFonts w:hint="eastAsia" w:cs="Times New Roman"/>
                      <w:color w:val="000000" w:themeColor="text1"/>
                      <w:szCs w:val="21"/>
                      <w:highlight w:val="none"/>
                      <w:lang w:val="en-US" w:eastAsia="zh-CN"/>
                      <w14:textFill>
                        <w14:solidFill>
                          <w14:schemeClr w14:val="tx1"/>
                        </w14:solidFill>
                      </w14:textFill>
                    </w:rPr>
                    <w:t>仓库</w:t>
                  </w:r>
                </w:p>
              </w:tc>
              <w:tc>
                <w:tcPr>
                  <w:tcW w:w="965" w:type="pct"/>
                  <w:noWrap/>
                  <w:vAlign w:val="center"/>
                </w:tcPr>
                <w:p w14:paraId="264054FA">
                  <w:pPr>
                    <w:widowControl/>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液压油</w:t>
                  </w:r>
                </w:p>
              </w:tc>
              <w:tc>
                <w:tcPr>
                  <w:tcW w:w="932" w:type="pct"/>
                  <w:noWrap/>
                  <w:vAlign w:val="center"/>
                </w:tcPr>
                <w:p w14:paraId="5B8ABA8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石油类</w:t>
                  </w:r>
                </w:p>
              </w:tc>
              <w:tc>
                <w:tcPr>
                  <w:tcW w:w="1299" w:type="dxa"/>
                  <w:noWrap/>
                  <w:vAlign w:val="center"/>
                </w:tcPr>
                <w:p w14:paraId="0846D4D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重点防渗</w:t>
                  </w:r>
                </w:p>
              </w:tc>
              <w:tc>
                <w:tcPr>
                  <w:tcW w:w="1541" w:type="dxa"/>
                  <w:noWrap/>
                  <w:vAlign w:val="center"/>
                </w:tcPr>
                <w:p w14:paraId="27A9954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地面与裙角</w:t>
                  </w:r>
                </w:p>
              </w:tc>
            </w:tr>
            <w:tr w14:paraId="7750A8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dxa"/>
                  <w:noWrap/>
                  <w:vAlign w:val="center"/>
                </w:tcPr>
                <w:p w14:paraId="3DD7EB0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161" w:type="pct"/>
                  <w:noWrap/>
                  <w:vAlign w:val="center"/>
                </w:tcPr>
                <w:p w14:paraId="3128F5F2">
                  <w:pPr>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生产</w:t>
                  </w:r>
                  <w:r>
                    <w:rPr>
                      <w:rFonts w:hint="eastAsia" w:ascii="宋体" w:hAnsi="宋体"/>
                      <w:color w:val="000000" w:themeColor="text1"/>
                      <w:kern w:val="0"/>
                      <w:szCs w:val="21"/>
                      <w:lang w:val="en-US" w:eastAsia="zh-CN"/>
                      <w14:textFill>
                        <w14:solidFill>
                          <w14:schemeClr w14:val="tx1"/>
                        </w14:solidFill>
                      </w14:textFill>
                    </w:rPr>
                    <w:t>厂房</w:t>
                  </w:r>
                  <w:r>
                    <w:rPr>
                      <w:rFonts w:hint="eastAsia" w:ascii="宋体" w:hAnsi="宋体"/>
                      <w:color w:val="000000" w:themeColor="text1"/>
                      <w:kern w:val="0"/>
                      <w:szCs w:val="21"/>
                      <w14:textFill>
                        <w14:solidFill>
                          <w14:schemeClr w14:val="tx1"/>
                        </w14:solidFill>
                      </w14:textFill>
                    </w:rPr>
                    <w:t>（</w:t>
                  </w:r>
                  <w:r>
                    <w:rPr>
                      <w:rFonts w:hint="eastAsia" w:ascii="宋体" w:hAnsi="宋体"/>
                      <w:color w:val="000000" w:themeColor="text1"/>
                      <w:kern w:val="0"/>
                      <w:szCs w:val="21"/>
                      <w:lang w:val="en-US" w:eastAsia="zh-CN"/>
                      <w14:textFill>
                        <w14:solidFill>
                          <w14:schemeClr w14:val="tx1"/>
                        </w14:solidFill>
                      </w14:textFill>
                    </w:rPr>
                    <w:t>1层、2层</w:t>
                  </w:r>
                  <w:r>
                    <w:rPr>
                      <w:rFonts w:hint="eastAsia" w:ascii="宋体" w:hAnsi="宋体"/>
                      <w:color w:val="000000" w:themeColor="text1"/>
                      <w:kern w:val="0"/>
                      <w:szCs w:val="21"/>
                      <w14:textFill>
                        <w14:solidFill>
                          <w14:schemeClr w14:val="tx1"/>
                        </w14:solidFill>
                      </w14:textFill>
                    </w:rPr>
                    <w:t>）</w:t>
                  </w:r>
                </w:p>
              </w:tc>
              <w:tc>
                <w:tcPr>
                  <w:tcW w:w="965" w:type="pct"/>
                  <w:noWrap/>
                  <w:vAlign w:val="center"/>
                </w:tcPr>
                <w:p w14:paraId="09764F1A">
                  <w:pPr>
                    <w:widowControl/>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油墨、清洗剂、液压油</w:t>
                  </w:r>
                </w:p>
              </w:tc>
              <w:tc>
                <w:tcPr>
                  <w:tcW w:w="932" w:type="pct"/>
                  <w:noWrap/>
                  <w:vAlign w:val="center"/>
                </w:tcPr>
                <w:p w14:paraId="5096091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挥发性有机物、石油类</w:t>
                  </w:r>
                </w:p>
              </w:tc>
              <w:tc>
                <w:tcPr>
                  <w:tcW w:w="772" w:type="pct"/>
                  <w:noWrap/>
                  <w:vAlign w:val="center"/>
                </w:tcPr>
                <w:p w14:paraId="3A39D4E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重点防渗</w:t>
                  </w:r>
                </w:p>
              </w:tc>
              <w:tc>
                <w:tcPr>
                  <w:tcW w:w="916" w:type="pct"/>
                  <w:noWrap/>
                  <w:vAlign w:val="center"/>
                </w:tcPr>
                <w:p w14:paraId="6921B7F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地面与裙角</w:t>
                  </w:r>
                </w:p>
              </w:tc>
            </w:tr>
            <w:tr w14:paraId="6C57AA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dxa"/>
                  <w:noWrap/>
                  <w:vAlign w:val="center"/>
                </w:tcPr>
                <w:p w14:paraId="48A62D9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161" w:type="pct"/>
                  <w:noWrap/>
                  <w:vAlign w:val="center"/>
                </w:tcPr>
                <w:p w14:paraId="56361CE1">
                  <w:pPr>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一般工业固废仓库</w:t>
                  </w:r>
                </w:p>
              </w:tc>
              <w:tc>
                <w:tcPr>
                  <w:tcW w:w="965" w:type="pct"/>
                  <w:noWrap/>
                  <w:vAlign w:val="center"/>
                </w:tcPr>
                <w:p w14:paraId="7620D167">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一般工业固废</w:t>
                  </w:r>
                </w:p>
              </w:tc>
              <w:tc>
                <w:tcPr>
                  <w:tcW w:w="932" w:type="pct"/>
                  <w:noWrap/>
                  <w:vAlign w:val="center"/>
                </w:tcPr>
                <w:p w14:paraId="315527D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72" w:type="pct"/>
                  <w:noWrap/>
                  <w:vAlign w:val="center"/>
                </w:tcPr>
                <w:p w14:paraId="2A6059D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一般防渗</w:t>
                  </w:r>
                </w:p>
              </w:tc>
              <w:tc>
                <w:tcPr>
                  <w:tcW w:w="916" w:type="pct"/>
                  <w:noWrap/>
                  <w:vAlign w:val="center"/>
                </w:tcPr>
                <w:p w14:paraId="7768A5A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地面</w:t>
                  </w:r>
                </w:p>
              </w:tc>
            </w:tr>
            <w:tr w14:paraId="29FE3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noWrap/>
                  <w:vAlign w:val="center"/>
                </w:tcPr>
                <w:p w14:paraId="3BED603D">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c>
                <w:tcPr>
                  <w:tcW w:w="1161" w:type="pct"/>
                  <w:noWrap/>
                  <w:vAlign w:val="center"/>
                </w:tcPr>
                <w:p w14:paraId="17E24A8E">
                  <w:pPr>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危废仓库</w:t>
                  </w:r>
                </w:p>
              </w:tc>
              <w:tc>
                <w:tcPr>
                  <w:tcW w:w="965" w:type="pct"/>
                  <w:noWrap/>
                  <w:vAlign w:val="center"/>
                </w:tcPr>
                <w:p w14:paraId="38DD793F">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危险废物</w:t>
                  </w:r>
                </w:p>
              </w:tc>
              <w:tc>
                <w:tcPr>
                  <w:tcW w:w="932" w:type="pct"/>
                  <w:noWrap/>
                  <w:vAlign w:val="center"/>
                </w:tcPr>
                <w:p w14:paraId="3CA945B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挥发性有机物、石油类</w:t>
                  </w:r>
                </w:p>
              </w:tc>
              <w:tc>
                <w:tcPr>
                  <w:tcW w:w="772" w:type="pct"/>
                  <w:noWrap/>
                  <w:vAlign w:val="center"/>
                </w:tcPr>
                <w:p w14:paraId="6FB8346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重点防渗</w:t>
                  </w:r>
                </w:p>
              </w:tc>
              <w:tc>
                <w:tcPr>
                  <w:tcW w:w="916" w:type="pct"/>
                  <w:noWrap/>
                  <w:vAlign w:val="center"/>
                </w:tcPr>
                <w:p w14:paraId="6914FB9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地面与裙角</w:t>
                  </w:r>
                </w:p>
              </w:tc>
            </w:tr>
            <w:bookmarkEnd w:id="10"/>
            <w:bookmarkEnd w:id="11"/>
          </w:tbl>
          <w:p w14:paraId="43BB4E6C">
            <w:pPr>
              <w:pStyle w:val="2"/>
              <w:spacing w:before="0" w:after="0" w:line="420" w:lineRule="exact"/>
              <w:ind w:right="0"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为保护地下水及土壤环境，建议</w:t>
            </w:r>
            <w:r>
              <w:rPr>
                <w:rFonts w:hint="eastAsia"/>
                <w:color w:val="000000" w:themeColor="text1"/>
                <w:sz w:val="21"/>
                <w:szCs w:val="21"/>
                <w14:textFill>
                  <w14:solidFill>
                    <w14:schemeClr w14:val="tx1"/>
                  </w14:solidFill>
                </w14:textFill>
              </w:rPr>
              <w:t>建设单位</w:t>
            </w:r>
            <w:r>
              <w:rPr>
                <w:color w:val="000000" w:themeColor="text1"/>
                <w:sz w:val="21"/>
                <w:szCs w:val="21"/>
                <w14:textFill>
                  <w14:solidFill>
                    <w14:schemeClr w14:val="tx1"/>
                  </w14:solidFill>
                </w14:textFill>
              </w:rPr>
              <w:t>采取以下污染防治措施及环境管理措施：</w:t>
            </w:r>
          </w:p>
          <w:p w14:paraId="59645B00">
            <w:pPr>
              <w:pStyle w:val="2"/>
              <w:spacing w:before="0" w:after="0" w:line="420" w:lineRule="exact"/>
              <w:ind w:right="0"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①建设单位固废分类收集、存放，一般工业固废暂存于</w:t>
            </w:r>
            <w:r>
              <w:rPr>
                <w:rFonts w:hint="eastAsia"/>
                <w:color w:val="000000" w:themeColor="text1"/>
                <w:sz w:val="21"/>
                <w:szCs w:val="21"/>
                <w14:textFill>
                  <w14:solidFill>
                    <w14:schemeClr w14:val="tx1"/>
                  </w14:solidFill>
                </w14:textFill>
              </w:rPr>
              <w:t>一般固废</w:t>
            </w:r>
            <w:r>
              <w:rPr>
                <w:rFonts w:hint="eastAsia"/>
                <w:color w:val="000000" w:themeColor="text1"/>
                <w:sz w:val="21"/>
                <w:szCs w:val="21"/>
                <w:lang w:val="en-US" w:eastAsia="zh-CN"/>
                <w14:textFill>
                  <w14:solidFill>
                    <w14:schemeClr w14:val="tx1"/>
                  </w14:solidFill>
                </w14:textFill>
              </w:rPr>
              <w:t>仓库</w:t>
            </w:r>
            <w:r>
              <w:rPr>
                <w:color w:val="000000" w:themeColor="text1"/>
                <w:sz w:val="21"/>
                <w:szCs w:val="21"/>
                <w14:textFill>
                  <w14:solidFill>
                    <w14:schemeClr w14:val="tx1"/>
                  </w14:solidFill>
                </w14:textFill>
              </w:rPr>
              <w:t>，防风、防雨，地面进行硬化；危险废物贮存于危废仓</w:t>
            </w:r>
            <w:r>
              <w:rPr>
                <w:rFonts w:hint="default" w:ascii="Times New Roman" w:hAnsi="Times New Roman" w:cs="Times New Roman"/>
                <w:color w:val="000000" w:themeColor="text1"/>
                <w:sz w:val="21"/>
                <w:szCs w:val="21"/>
                <w14:textFill>
                  <w14:solidFill>
                    <w14:schemeClr w14:val="tx1"/>
                  </w14:solidFill>
                </w14:textFill>
              </w:rPr>
              <w:t>库，危废仓库、</w:t>
            </w:r>
            <w:r>
              <w:rPr>
                <w:rFonts w:hint="default" w:ascii="Times New Roman" w:hAnsi="Times New Roman" w:cs="Times New Roman"/>
                <w:color w:val="000000" w:themeColor="text1"/>
                <w:kern w:val="0"/>
                <w:sz w:val="21"/>
                <w:szCs w:val="21"/>
                <w14:textFill>
                  <w14:solidFill>
                    <w14:schemeClr w14:val="tx1"/>
                  </w14:solidFill>
                </w14:textFill>
              </w:rPr>
              <w:t>生产</w:t>
            </w:r>
            <w:r>
              <w:rPr>
                <w:rFonts w:hint="default" w:ascii="Times New Roman" w:hAnsi="Times New Roman" w:cs="Times New Roman"/>
                <w:color w:val="000000" w:themeColor="text1"/>
                <w:kern w:val="0"/>
                <w:sz w:val="21"/>
                <w:szCs w:val="21"/>
                <w:lang w:val="en-US" w:eastAsia="zh-CN"/>
                <w14:textFill>
                  <w14:solidFill>
                    <w14:schemeClr w14:val="tx1"/>
                  </w14:solidFill>
                </w14:textFill>
              </w:rPr>
              <w:t>厂房</w:t>
            </w:r>
            <w:r>
              <w:rPr>
                <w:rFonts w:hint="default" w:ascii="Times New Roman" w:hAnsi="Times New Roman" w:cs="Times New Roman"/>
                <w:color w:val="000000" w:themeColor="text1"/>
                <w:kern w:val="0"/>
                <w:sz w:val="21"/>
                <w:szCs w:val="21"/>
                <w14:textFill>
                  <w14:solidFill>
                    <w14:schemeClr w14:val="tx1"/>
                  </w14:solidFill>
                </w14:textFill>
              </w:rPr>
              <w:t>（</w:t>
            </w:r>
            <w:r>
              <w:rPr>
                <w:rFonts w:hint="default" w:ascii="Times New Roman" w:hAnsi="Times New Roman" w:cs="Times New Roman"/>
                <w:color w:val="000000" w:themeColor="text1"/>
                <w:kern w:val="0"/>
                <w:sz w:val="21"/>
                <w:szCs w:val="21"/>
                <w:lang w:val="en-US" w:eastAsia="zh-CN"/>
                <w14:textFill>
                  <w14:solidFill>
                    <w14:schemeClr w14:val="tx1"/>
                  </w14:solidFill>
                </w14:textFill>
              </w:rPr>
              <w:t>1层、2层</w:t>
            </w:r>
            <w:r>
              <w:rPr>
                <w:rFonts w:hint="default" w:ascii="Times New Roman" w:hAnsi="Times New Roman" w:cs="Times New Roman"/>
                <w:color w:val="000000" w:themeColor="text1"/>
                <w:kern w:val="0"/>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地面</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原辅料仓库</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化学品库</w:t>
            </w:r>
            <w:r>
              <w:rPr>
                <w:rFonts w:hint="default" w:ascii="Times New Roman" w:hAnsi="Times New Roman" w:cs="Times New Roman"/>
                <w:color w:val="000000" w:themeColor="text1"/>
                <w:sz w:val="21"/>
                <w:szCs w:val="21"/>
                <w14:textFill>
                  <w14:solidFill>
                    <w14:schemeClr w14:val="tx1"/>
                  </w14:solidFill>
                </w14:textFill>
              </w:rPr>
              <w:t>铺设环氧地坪等，做好防渗、防漏、防腐蚀、防晒、防淋等措施。</w:t>
            </w:r>
          </w:p>
          <w:p w14:paraId="232CD2E1">
            <w:pPr>
              <w:pStyle w:val="2"/>
              <w:spacing w:before="0" w:after="0" w:line="420" w:lineRule="exact"/>
              <w:ind w:right="0"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②</w:t>
            </w:r>
            <w:r>
              <w:rPr>
                <w:rFonts w:hint="eastAsia"/>
                <w:color w:val="000000" w:themeColor="text1"/>
                <w:sz w:val="21"/>
                <w:szCs w:val="21"/>
                <w14:textFill>
                  <w14:solidFill>
                    <w14:schemeClr w14:val="tx1"/>
                  </w14:solidFill>
                </w14:textFill>
              </w:rPr>
              <w:t>生产过程严格控制，定期对设备等进行检修，防止跑、冒、滴、漏现象发生；企业原料均堆放在原料区内，分区存放，能有效避免雨水淋溶等对土壤和地表水造成二次污染</w:t>
            </w:r>
            <w:r>
              <w:rPr>
                <w:color w:val="000000" w:themeColor="text1"/>
                <w:sz w:val="21"/>
                <w:szCs w:val="21"/>
                <w14:textFill>
                  <w14:solidFill>
                    <w14:schemeClr w14:val="tx1"/>
                  </w14:solidFill>
                </w14:textFill>
              </w:rPr>
              <w:t>。</w:t>
            </w:r>
          </w:p>
          <w:p w14:paraId="352F953E">
            <w:pPr>
              <w:pStyle w:val="2"/>
              <w:spacing w:before="0" w:after="0" w:line="420" w:lineRule="exact"/>
              <w:ind w:right="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③厂区内污水管网均采用管道输送，清污分流，定期对污水管网进行检查维护，防止污水管网破裂导致废水泄漏到外环境。</w:t>
            </w:r>
          </w:p>
          <w:p w14:paraId="2C6ADE67">
            <w:pPr>
              <w:pStyle w:val="2"/>
              <w:spacing w:before="0" w:after="0" w:line="420" w:lineRule="exact"/>
              <w:ind w:right="0" w:firstLine="420" w:firstLineChars="200"/>
              <w:rPr>
                <w:b/>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本项目在充分落实防渗措施及加强管理的前提下，可有效切断土壤地下水污染途径。</w:t>
            </w:r>
          </w:p>
          <w:p w14:paraId="304C954D">
            <w:pPr>
              <w:pStyle w:val="2"/>
              <w:spacing w:before="0" w:after="0" w:line="420" w:lineRule="exact"/>
              <w:ind w:right="0" w:firstLine="422" w:firstLineChars="20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4.5.2跟踪监测要求</w:t>
            </w:r>
          </w:p>
          <w:p w14:paraId="0AF6A57D">
            <w:pPr>
              <w:pStyle w:val="2"/>
              <w:spacing w:before="0" w:after="0" w:line="420" w:lineRule="exact"/>
              <w:ind w:right="0" w:firstLine="420" w:firstLineChars="200"/>
              <w:rPr>
                <w:b/>
                <w:bCs/>
                <w:color w:val="000000" w:themeColor="text1"/>
                <w14:textFill>
                  <w14:solidFill>
                    <w14:schemeClr w14:val="tx1"/>
                  </w14:solidFill>
                </w14:textFill>
              </w:rPr>
            </w:pPr>
            <w:r>
              <w:rPr>
                <w:color w:val="000000" w:themeColor="text1"/>
                <w:sz w:val="21"/>
                <w:szCs w:val="21"/>
                <w14:textFill>
                  <w14:solidFill>
                    <w14:schemeClr w14:val="tx1"/>
                  </w14:solidFill>
                </w14:textFill>
              </w:rPr>
              <w:t>本项目土壤及地下水跟踪监测要求见表4.5-2。</w:t>
            </w:r>
          </w:p>
          <w:p w14:paraId="7025CE71">
            <w:pPr>
              <w:pStyle w:val="16"/>
              <w:rPr>
                <w:b/>
                <w:bCs/>
                <w:color w:val="000000" w:themeColor="text1"/>
                <w14:textFill>
                  <w14:solidFill>
                    <w14:schemeClr w14:val="tx1"/>
                  </w14:solidFill>
                </w14:textFill>
              </w:rPr>
            </w:pPr>
            <w:r>
              <w:rPr>
                <w:b/>
                <w:bCs/>
                <w:color w:val="000000" w:themeColor="text1"/>
                <w14:textFill>
                  <w14:solidFill>
                    <w14:schemeClr w14:val="tx1"/>
                  </w14:solidFill>
                </w14:textFill>
              </w:rPr>
              <w:t>表4.5-2 本项目土壤及地下水环境监测计划表</w:t>
            </w:r>
          </w:p>
          <w:tbl>
            <w:tblPr>
              <w:tblStyle w:val="22"/>
              <w:tblW w:w="8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1729"/>
              <w:gridCol w:w="1344"/>
              <w:gridCol w:w="839"/>
              <w:gridCol w:w="3761"/>
            </w:tblGrid>
            <w:tr w14:paraId="0741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764" w:type="dxa"/>
                  <w:tcBorders>
                    <w:top w:val="single" w:color="auto" w:sz="12" w:space="0"/>
                    <w:left w:val="nil"/>
                  </w:tcBorders>
                  <w:vAlign w:val="center"/>
                </w:tcPr>
                <w:p w14:paraId="5844A60A">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w:t>
                  </w:r>
                </w:p>
                <w:p w14:paraId="4BF9F8D3">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项目</w:t>
                  </w:r>
                </w:p>
              </w:tc>
              <w:tc>
                <w:tcPr>
                  <w:tcW w:w="1729" w:type="dxa"/>
                  <w:tcBorders>
                    <w:top w:val="single" w:color="auto" w:sz="12" w:space="0"/>
                  </w:tcBorders>
                  <w:vAlign w:val="center"/>
                </w:tcPr>
                <w:p w14:paraId="7436FACA">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点位/断面</w:t>
                  </w:r>
                </w:p>
              </w:tc>
              <w:tc>
                <w:tcPr>
                  <w:tcW w:w="1344" w:type="dxa"/>
                  <w:tcBorders>
                    <w:top w:val="single" w:color="auto" w:sz="12" w:space="0"/>
                  </w:tcBorders>
                  <w:vAlign w:val="center"/>
                </w:tcPr>
                <w:p w14:paraId="5E8427EC">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监测指标</w:t>
                  </w:r>
                </w:p>
              </w:tc>
              <w:tc>
                <w:tcPr>
                  <w:tcW w:w="839" w:type="dxa"/>
                  <w:tcBorders>
                    <w:top w:val="single" w:color="auto" w:sz="12" w:space="0"/>
                  </w:tcBorders>
                  <w:vAlign w:val="center"/>
                </w:tcPr>
                <w:p w14:paraId="7AB06EC4">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w:t>
                  </w:r>
                </w:p>
                <w:p w14:paraId="7F4C0364">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频次</w:t>
                  </w:r>
                </w:p>
              </w:tc>
              <w:tc>
                <w:tcPr>
                  <w:tcW w:w="3761" w:type="dxa"/>
                  <w:tcBorders>
                    <w:top w:val="single" w:color="auto" w:sz="12" w:space="0"/>
                    <w:right w:val="nil"/>
                  </w:tcBorders>
                  <w:vAlign w:val="center"/>
                </w:tcPr>
                <w:p w14:paraId="4FAADC8E">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执行标准</w:t>
                  </w:r>
                </w:p>
              </w:tc>
            </w:tr>
            <w:tr w14:paraId="4D88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764" w:type="dxa"/>
                  <w:tcBorders>
                    <w:left w:val="nil"/>
                  </w:tcBorders>
                  <w:vAlign w:val="center"/>
                </w:tcPr>
                <w:p w14:paraId="15B85A2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土壤</w:t>
                  </w:r>
                </w:p>
              </w:tc>
              <w:tc>
                <w:tcPr>
                  <w:tcW w:w="1729" w:type="dxa"/>
                  <w:vAlign w:val="center"/>
                </w:tcPr>
                <w:p w14:paraId="48D3B721">
                  <w:pPr>
                    <w:jc w:val="center"/>
                    <w:rPr>
                      <w:color w:val="000000" w:themeColor="text1"/>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生产</w:t>
                  </w:r>
                  <w:r>
                    <w:rPr>
                      <w:rFonts w:hint="default" w:ascii="Times New Roman" w:hAnsi="Times New Roman" w:cs="Times New Roman"/>
                      <w:color w:val="000000" w:themeColor="text1"/>
                      <w:kern w:val="0"/>
                      <w:szCs w:val="21"/>
                      <w:lang w:val="en-US" w:eastAsia="zh-CN"/>
                      <w14:textFill>
                        <w14:solidFill>
                          <w14:schemeClr w14:val="tx1"/>
                        </w14:solidFill>
                      </w14:textFill>
                    </w:rPr>
                    <w:t>厂房</w:t>
                  </w:r>
                  <w:r>
                    <w:rPr>
                      <w:rFonts w:hint="default" w:ascii="Times New Roman" w:hAnsi="Times New Roman" w:cs="Times New Roman"/>
                      <w:color w:val="000000" w:themeColor="text1"/>
                      <w:kern w:val="0"/>
                      <w:szCs w:val="21"/>
                      <w14:textFill>
                        <w14:solidFill>
                          <w14:schemeClr w14:val="tx1"/>
                        </w14:solidFill>
                      </w14:textFill>
                    </w:rPr>
                    <w:t>（</w:t>
                  </w:r>
                  <w:r>
                    <w:rPr>
                      <w:rFonts w:hint="default" w:ascii="Times New Roman" w:hAnsi="Times New Roman" w:cs="Times New Roman"/>
                      <w:color w:val="000000" w:themeColor="text1"/>
                      <w:kern w:val="0"/>
                      <w:szCs w:val="21"/>
                      <w:lang w:val="en-US" w:eastAsia="zh-CN"/>
                      <w14:textFill>
                        <w14:solidFill>
                          <w14:schemeClr w14:val="tx1"/>
                        </w14:solidFill>
                      </w14:textFill>
                    </w:rPr>
                    <w:t>1层、2层</w:t>
                  </w:r>
                  <w:r>
                    <w:rPr>
                      <w:rFonts w:hint="default" w:ascii="Times New Roman" w:hAnsi="Times New Roman" w:cs="Times New Roman"/>
                      <w:color w:val="000000" w:themeColor="text1"/>
                      <w:kern w:val="0"/>
                      <w:szCs w:val="21"/>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原辅料</w:t>
                  </w:r>
                  <w:r>
                    <w:rPr>
                      <w:rFonts w:hint="eastAsia" w:cs="Times New Roman"/>
                      <w:color w:val="000000" w:themeColor="text1"/>
                      <w:szCs w:val="21"/>
                      <w:highlight w:val="none"/>
                      <w:lang w:val="en-US" w:eastAsia="zh-CN"/>
                      <w14:textFill>
                        <w14:solidFill>
                          <w14:schemeClr w14:val="tx1"/>
                        </w14:solidFill>
                      </w14:textFill>
                    </w:rPr>
                    <w:t>仓库</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危废仓库</w:t>
                  </w:r>
                </w:p>
              </w:tc>
              <w:tc>
                <w:tcPr>
                  <w:tcW w:w="1344" w:type="dxa"/>
                  <w:vAlign w:val="center"/>
                </w:tcPr>
                <w:p w14:paraId="59F27DF8">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pH、</w:t>
                  </w:r>
                  <w:r>
                    <w:rPr>
                      <w:rFonts w:hint="eastAsia"/>
                      <w:color w:val="000000" w:themeColor="text1"/>
                      <w:szCs w:val="21"/>
                      <w14:textFill>
                        <w14:solidFill>
                          <w14:schemeClr w14:val="tx1"/>
                        </w14:solidFill>
                      </w14:textFill>
                    </w:rPr>
                    <w:t>VOCs</w:t>
                  </w:r>
                </w:p>
              </w:tc>
              <w:tc>
                <w:tcPr>
                  <w:tcW w:w="839" w:type="dxa"/>
                  <w:vMerge w:val="restart"/>
                  <w:vAlign w:val="center"/>
                </w:tcPr>
                <w:p w14:paraId="2B657F6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必要时</w:t>
                  </w:r>
                </w:p>
              </w:tc>
              <w:tc>
                <w:tcPr>
                  <w:tcW w:w="3761" w:type="dxa"/>
                  <w:tcBorders>
                    <w:right w:val="nil"/>
                  </w:tcBorders>
                  <w:vAlign w:val="center"/>
                </w:tcPr>
                <w:p w14:paraId="4B67F49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《土壤环境标准 建设用地土壤污染风险管控标准（试行）》（GB36600-2018）第二类用地筛选值</w:t>
                  </w:r>
                </w:p>
              </w:tc>
            </w:tr>
            <w:tr w14:paraId="33A1B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764" w:type="dxa"/>
                  <w:tcBorders>
                    <w:left w:val="nil"/>
                    <w:bottom w:val="single" w:color="auto" w:sz="12" w:space="0"/>
                  </w:tcBorders>
                  <w:vAlign w:val="center"/>
                </w:tcPr>
                <w:p w14:paraId="26E02F3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地下水</w:t>
                  </w:r>
                </w:p>
              </w:tc>
              <w:tc>
                <w:tcPr>
                  <w:tcW w:w="1729" w:type="dxa"/>
                  <w:tcBorders>
                    <w:bottom w:val="single" w:color="auto" w:sz="12" w:space="0"/>
                  </w:tcBorders>
                  <w:vAlign w:val="center"/>
                </w:tcPr>
                <w:p w14:paraId="2FF3210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项目所在地下游靠近项目位置</w:t>
                  </w:r>
                </w:p>
              </w:tc>
              <w:tc>
                <w:tcPr>
                  <w:tcW w:w="1344" w:type="dxa"/>
                  <w:tcBorders>
                    <w:bottom w:val="single" w:color="auto" w:sz="12" w:space="0"/>
                  </w:tcBorders>
                  <w:vAlign w:val="center"/>
                </w:tcPr>
                <w:p w14:paraId="63EEA893">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pH、高锰酸盐指数</w:t>
                  </w:r>
                </w:p>
              </w:tc>
              <w:tc>
                <w:tcPr>
                  <w:tcW w:w="839" w:type="dxa"/>
                  <w:vMerge w:val="continue"/>
                  <w:tcBorders>
                    <w:bottom w:val="single" w:color="auto" w:sz="12" w:space="0"/>
                  </w:tcBorders>
                  <w:vAlign w:val="center"/>
                </w:tcPr>
                <w:p w14:paraId="6ED8AE1E">
                  <w:pPr>
                    <w:jc w:val="center"/>
                    <w:rPr>
                      <w:color w:val="000000" w:themeColor="text1"/>
                      <w:szCs w:val="21"/>
                      <w14:textFill>
                        <w14:solidFill>
                          <w14:schemeClr w14:val="tx1"/>
                        </w14:solidFill>
                      </w14:textFill>
                    </w:rPr>
                  </w:pPr>
                </w:p>
              </w:tc>
              <w:tc>
                <w:tcPr>
                  <w:tcW w:w="3761" w:type="dxa"/>
                  <w:tcBorders>
                    <w:bottom w:val="single" w:color="auto" w:sz="12" w:space="0"/>
                    <w:right w:val="nil"/>
                  </w:tcBorders>
                  <w:vAlign w:val="center"/>
                </w:tcPr>
                <w:p w14:paraId="5A4A1762">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《地下水质量标准》（GB/T 14848-2017）</w:t>
                  </w:r>
                </w:p>
              </w:tc>
            </w:tr>
          </w:tbl>
          <w:p w14:paraId="685CBE4C">
            <w:pPr>
              <w:pStyle w:val="2"/>
              <w:spacing w:before="0" w:after="0" w:line="420" w:lineRule="exact"/>
              <w:ind w:right="0" w:firstLine="422" w:firstLineChars="20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4.6生态</w:t>
            </w:r>
          </w:p>
          <w:p w14:paraId="7CB668D6">
            <w:pPr>
              <w:widowControl/>
              <w:spacing w:line="420" w:lineRule="exact"/>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项目占地范围内无生态环境保护目标，因此不开展生态环境影响分析。</w:t>
            </w:r>
          </w:p>
          <w:p w14:paraId="00612472">
            <w:pPr>
              <w:pStyle w:val="6"/>
              <w:spacing w:line="420" w:lineRule="exact"/>
              <w:ind w:firstLine="422" w:firstLineChars="200"/>
              <w:rPr>
                <w:rFonts w:ascii="Times New Roman" w:eastAsia="宋体"/>
                <w:bCs/>
                <w:color w:val="000000" w:themeColor="text1"/>
                <w:sz w:val="21"/>
                <w:szCs w:val="21"/>
                <w14:textFill>
                  <w14:solidFill>
                    <w14:schemeClr w14:val="tx1"/>
                  </w14:solidFill>
                </w14:textFill>
              </w:rPr>
            </w:pPr>
            <w:r>
              <w:rPr>
                <w:rFonts w:ascii="Times New Roman" w:eastAsia="宋体"/>
                <w:bCs/>
                <w:color w:val="000000" w:themeColor="text1"/>
                <w:sz w:val="21"/>
                <w:szCs w:val="21"/>
                <w14:textFill>
                  <w14:solidFill>
                    <w14:schemeClr w14:val="tx1"/>
                  </w14:solidFill>
                </w14:textFill>
              </w:rPr>
              <w:t>4.7环境风险</w:t>
            </w:r>
          </w:p>
          <w:p w14:paraId="55725AE0">
            <w:pPr>
              <w:pStyle w:val="6"/>
              <w:spacing w:line="420" w:lineRule="exact"/>
              <w:ind w:firstLine="422" w:firstLineChars="200"/>
              <w:rPr>
                <w:rFonts w:ascii="Times New Roman" w:eastAsia="宋体"/>
                <w:bCs/>
                <w:color w:val="000000" w:themeColor="text1"/>
                <w:sz w:val="21"/>
                <w:szCs w:val="21"/>
                <w14:textFill>
                  <w14:solidFill>
                    <w14:schemeClr w14:val="tx1"/>
                  </w14:solidFill>
                </w14:textFill>
              </w:rPr>
            </w:pPr>
            <w:r>
              <w:rPr>
                <w:rFonts w:ascii="Times New Roman" w:eastAsia="宋体"/>
                <w:bCs/>
                <w:color w:val="000000" w:themeColor="text1"/>
                <w:sz w:val="21"/>
                <w:szCs w:val="21"/>
                <w14:textFill>
                  <w14:solidFill>
                    <w14:schemeClr w14:val="tx1"/>
                  </w14:solidFill>
                </w14:textFill>
              </w:rPr>
              <w:t>4.7.1</w:t>
            </w:r>
            <w:r>
              <w:rPr>
                <w:rFonts w:hint="eastAsia" w:ascii="Times New Roman" w:eastAsia="宋体"/>
                <w:bCs/>
                <w:color w:val="000000" w:themeColor="text1"/>
                <w:sz w:val="21"/>
                <w:szCs w:val="21"/>
                <w14:textFill>
                  <w14:solidFill>
                    <w14:schemeClr w14:val="tx1"/>
                  </w14:solidFill>
                </w14:textFill>
              </w:rPr>
              <w:t>环境风险识别</w:t>
            </w:r>
          </w:p>
          <w:p w14:paraId="14695DCE">
            <w:pPr>
              <w:pStyle w:val="6"/>
              <w:spacing w:line="420" w:lineRule="exact"/>
              <w:ind w:firstLine="420" w:firstLineChars="200"/>
              <w:rPr>
                <w:rFonts w:ascii="Times New Roman" w:eastAsia="宋体"/>
                <w:b w:val="0"/>
                <w:color w:val="000000" w:themeColor="text1"/>
                <w:sz w:val="21"/>
                <w:szCs w:val="21"/>
                <w14:textFill>
                  <w14:solidFill>
                    <w14:schemeClr w14:val="tx1"/>
                  </w14:solidFill>
                </w14:textFill>
              </w:rPr>
            </w:pPr>
            <w:r>
              <w:rPr>
                <w:rFonts w:ascii="Times New Roman" w:eastAsia="宋体"/>
                <w:b w:val="0"/>
                <w:color w:val="000000" w:themeColor="text1"/>
                <w:sz w:val="21"/>
                <w:szCs w:val="21"/>
                <w14:textFill>
                  <w14:solidFill>
                    <w14:schemeClr w14:val="tx1"/>
                  </w14:solidFill>
                </w14:textFill>
              </w:rPr>
              <w:t>参考《建设项目环境风险评价技术导则》（HJ169-2018）附录B，并根据企业所涉及的每种风险物质在厂界内的最大存在量与其在（HJ169-2018）附录B中对应临界量，计算比值Q，计算公式如下：</w:t>
            </w:r>
          </w:p>
          <w:p w14:paraId="43E3F532">
            <w:pPr>
              <w:pStyle w:val="6"/>
              <w:spacing w:line="420" w:lineRule="exact"/>
              <w:ind w:firstLine="420" w:firstLineChars="200"/>
              <w:rPr>
                <w:rFonts w:ascii="Times New Roman" w:eastAsia="宋体"/>
                <w:b w:val="0"/>
                <w:color w:val="000000" w:themeColor="text1"/>
                <w:sz w:val="21"/>
                <w:szCs w:val="21"/>
                <w14:textFill>
                  <w14:solidFill>
                    <w14:schemeClr w14:val="tx1"/>
                  </w14:solidFill>
                </w14:textFill>
              </w:rPr>
            </w:pPr>
            <w:r>
              <w:rPr>
                <w:rFonts w:ascii="Times New Roman" w:eastAsia="宋体"/>
                <w:b w:val="0"/>
                <w:color w:val="000000" w:themeColor="text1"/>
                <w:sz w:val="21"/>
                <w:szCs w:val="21"/>
                <w14:textFill>
                  <w14:solidFill>
                    <w14:schemeClr w14:val="tx1"/>
                  </w14:solidFill>
                </w14:textFill>
              </w:rPr>
              <w:t xml:space="preserve">当涉及一种风险物质时，计算该物质的总量与其临界量比值，即为Q； </w:t>
            </w:r>
          </w:p>
          <w:p w14:paraId="6EFBCDBC">
            <w:pPr>
              <w:spacing w:line="42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当存在多种风险物质时，则按式（C.1）计算物质总量与其临界量比值（Q）；</w:t>
            </w:r>
          </w:p>
          <w:p w14:paraId="2C2800B3">
            <w:pPr>
              <w:pStyle w:val="6"/>
              <w:spacing w:line="480" w:lineRule="exact"/>
              <w:ind w:firstLine="560" w:firstLineChars="200"/>
              <w:rPr>
                <w:rFonts w:ascii="Times New Roman" w:eastAsia="宋体"/>
                <w:b w:val="0"/>
                <w:color w:val="000000" w:themeColor="text1"/>
                <w:sz w:val="21"/>
                <w:szCs w:val="16"/>
                <w14:textFill>
                  <w14:solidFill>
                    <w14:schemeClr w14:val="tx1"/>
                  </w14:solidFill>
                </w14:textFill>
              </w:rPr>
            </w:pPr>
            <w:r>
              <w:rPr>
                <w:rFonts w:ascii="Times New Roman"/>
                <w:b w:val="0"/>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1534795</wp:posOffset>
                  </wp:positionH>
                  <wp:positionV relativeFrom="paragraph">
                    <wp:posOffset>20955</wp:posOffset>
                  </wp:positionV>
                  <wp:extent cx="1797685" cy="548005"/>
                  <wp:effectExtent l="0" t="0" r="12065" b="4445"/>
                  <wp:wrapNone/>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31" cstate="print"/>
                          <a:stretch>
                            <a:fillRect/>
                          </a:stretch>
                        </pic:blipFill>
                        <pic:spPr>
                          <a:xfrm>
                            <a:off x="0" y="0"/>
                            <a:ext cx="1797685" cy="548005"/>
                          </a:xfrm>
                          <a:prstGeom prst="rect">
                            <a:avLst/>
                          </a:prstGeom>
                          <a:noFill/>
                          <a:ln>
                            <a:noFill/>
                          </a:ln>
                        </pic:spPr>
                      </pic:pic>
                    </a:graphicData>
                  </a:graphic>
                </wp:anchor>
              </w:drawing>
            </w:r>
          </w:p>
          <w:p w14:paraId="395F6FA5">
            <w:pPr>
              <w:pStyle w:val="6"/>
              <w:spacing w:line="420" w:lineRule="exact"/>
              <w:ind w:firstLine="420" w:firstLineChars="200"/>
              <w:rPr>
                <w:rFonts w:ascii="Times New Roman" w:eastAsia="宋体"/>
                <w:b w:val="0"/>
                <w:color w:val="000000" w:themeColor="text1"/>
                <w:sz w:val="21"/>
                <w:szCs w:val="16"/>
                <w14:textFill>
                  <w14:solidFill>
                    <w14:schemeClr w14:val="tx1"/>
                  </w14:solidFill>
                </w14:textFill>
              </w:rPr>
            </w:pPr>
          </w:p>
          <w:p w14:paraId="60F1FF83">
            <w:pPr>
              <w:pStyle w:val="6"/>
              <w:spacing w:line="420" w:lineRule="exact"/>
              <w:ind w:firstLine="420" w:firstLineChars="200"/>
              <w:rPr>
                <w:rFonts w:ascii="Times New Roman" w:eastAsia="宋体"/>
                <w:b w:val="0"/>
                <w:color w:val="000000" w:themeColor="text1"/>
                <w:sz w:val="21"/>
                <w:szCs w:val="16"/>
                <w14:textFill>
                  <w14:solidFill>
                    <w14:schemeClr w14:val="tx1"/>
                  </w14:solidFill>
                </w14:textFill>
              </w:rPr>
            </w:pPr>
            <w:r>
              <w:rPr>
                <w:rFonts w:ascii="Times New Roman" w:eastAsia="宋体"/>
                <w:b w:val="0"/>
                <w:color w:val="000000" w:themeColor="text1"/>
                <w:sz w:val="21"/>
                <w:szCs w:val="16"/>
                <w14:textFill>
                  <w14:solidFill>
                    <w14:schemeClr w14:val="tx1"/>
                  </w14:solidFill>
                </w14:textFill>
              </w:rPr>
              <w:t>式中：</w:t>
            </w:r>
          </w:p>
          <w:p w14:paraId="146B2EE1">
            <w:pPr>
              <w:pStyle w:val="6"/>
              <w:spacing w:line="420" w:lineRule="exact"/>
              <w:ind w:firstLine="420" w:firstLineChars="200"/>
              <w:rPr>
                <w:rFonts w:ascii="Times New Roman" w:eastAsia="宋体"/>
                <w:b w:val="0"/>
                <w:color w:val="000000" w:themeColor="text1"/>
                <w:sz w:val="21"/>
                <w:szCs w:val="16"/>
                <w14:textFill>
                  <w14:solidFill>
                    <w14:schemeClr w14:val="tx1"/>
                  </w14:solidFill>
                </w14:textFill>
              </w:rPr>
            </w:pPr>
            <w:r>
              <w:rPr>
                <w:rFonts w:ascii="Times New Roman" w:eastAsia="宋体"/>
                <w:b w:val="0"/>
                <w:color w:val="000000" w:themeColor="text1"/>
                <w:sz w:val="21"/>
                <w:szCs w:val="16"/>
                <w14:textFill>
                  <w14:solidFill>
                    <w14:schemeClr w14:val="tx1"/>
                  </w14:solidFill>
                </w14:textFill>
              </w:rPr>
              <w:t>q</w:t>
            </w:r>
            <w:r>
              <w:rPr>
                <w:rFonts w:ascii="Times New Roman" w:eastAsia="宋体"/>
                <w:b w:val="0"/>
                <w:color w:val="000000" w:themeColor="text1"/>
                <w:sz w:val="21"/>
                <w:szCs w:val="16"/>
                <w:vertAlign w:val="subscript"/>
                <w14:textFill>
                  <w14:solidFill>
                    <w14:schemeClr w14:val="tx1"/>
                  </w14:solidFill>
                </w14:textFill>
              </w:rPr>
              <w:t>1</w:t>
            </w:r>
            <w:r>
              <w:rPr>
                <w:rFonts w:ascii="Times New Roman" w:eastAsia="宋体"/>
                <w:b w:val="0"/>
                <w:color w:val="000000" w:themeColor="text1"/>
                <w:sz w:val="21"/>
                <w:szCs w:val="16"/>
                <w14:textFill>
                  <w14:solidFill>
                    <w14:schemeClr w14:val="tx1"/>
                  </w14:solidFill>
                </w14:textFill>
              </w:rPr>
              <w:t>、q</w:t>
            </w:r>
            <w:r>
              <w:rPr>
                <w:rFonts w:ascii="Times New Roman" w:eastAsia="宋体"/>
                <w:b w:val="0"/>
                <w:color w:val="000000" w:themeColor="text1"/>
                <w:sz w:val="21"/>
                <w:szCs w:val="16"/>
                <w:vertAlign w:val="subscript"/>
                <w14:textFill>
                  <w14:solidFill>
                    <w14:schemeClr w14:val="tx1"/>
                  </w14:solidFill>
                </w14:textFill>
              </w:rPr>
              <w:t>2</w:t>
            </w:r>
            <w:r>
              <w:rPr>
                <w:rFonts w:ascii="Times New Roman" w:eastAsia="宋体"/>
                <w:b w:val="0"/>
                <w:color w:val="000000" w:themeColor="text1"/>
                <w:sz w:val="21"/>
                <w:szCs w:val="16"/>
                <w14:textFill>
                  <w14:solidFill>
                    <w14:schemeClr w14:val="tx1"/>
                  </w14:solidFill>
                </w14:textFill>
              </w:rPr>
              <w:t>、… qn-------每种风险物质的最大存在量，t；</w:t>
            </w:r>
          </w:p>
          <w:p w14:paraId="427FB269">
            <w:pPr>
              <w:pStyle w:val="6"/>
              <w:spacing w:line="420" w:lineRule="exact"/>
              <w:ind w:firstLine="420" w:firstLineChars="200"/>
              <w:rPr>
                <w:rFonts w:ascii="Times New Roman" w:eastAsia="宋体"/>
                <w:b w:val="0"/>
                <w:color w:val="000000" w:themeColor="text1"/>
                <w:sz w:val="21"/>
                <w:szCs w:val="16"/>
                <w14:textFill>
                  <w14:solidFill>
                    <w14:schemeClr w14:val="tx1"/>
                  </w14:solidFill>
                </w14:textFill>
              </w:rPr>
            </w:pPr>
            <w:r>
              <w:rPr>
                <w:rFonts w:ascii="Times New Roman" w:eastAsia="宋体"/>
                <w:b w:val="0"/>
                <w:color w:val="000000" w:themeColor="text1"/>
                <w:sz w:val="21"/>
                <w:szCs w:val="16"/>
                <w14:textFill>
                  <w14:solidFill>
                    <w14:schemeClr w14:val="tx1"/>
                  </w14:solidFill>
                </w14:textFill>
              </w:rPr>
              <w:t>Q</w:t>
            </w:r>
            <w:r>
              <w:rPr>
                <w:rFonts w:ascii="Times New Roman" w:eastAsia="宋体"/>
                <w:b w:val="0"/>
                <w:color w:val="000000" w:themeColor="text1"/>
                <w:sz w:val="21"/>
                <w:szCs w:val="16"/>
                <w:vertAlign w:val="subscript"/>
                <w14:textFill>
                  <w14:solidFill>
                    <w14:schemeClr w14:val="tx1"/>
                  </w14:solidFill>
                </w14:textFill>
              </w:rPr>
              <w:t>1</w:t>
            </w:r>
            <w:r>
              <w:rPr>
                <w:rFonts w:ascii="Times New Roman" w:eastAsia="宋体"/>
                <w:b w:val="0"/>
                <w:color w:val="000000" w:themeColor="text1"/>
                <w:sz w:val="21"/>
                <w:szCs w:val="16"/>
                <w14:textFill>
                  <w14:solidFill>
                    <w14:schemeClr w14:val="tx1"/>
                  </w14:solidFill>
                </w14:textFill>
              </w:rPr>
              <w:t>、Q</w:t>
            </w:r>
            <w:r>
              <w:rPr>
                <w:rFonts w:ascii="Times New Roman" w:eastAsia="宋体"/>
                <w:b w:val="0"/>
                <w:color w:val="000000" w:themeColor="text1"/>
                <w:sz w:val="21"/>
                <w:szCs w:val="16"/>
                <w:vertAlign w:val="subscript"/>
                <w14:textFill>
                  <w14:solidFill>
                    <w14:schemeClr w14:val="tx1"/>
                  </w14:solidFill>
                </w14:textFill>
              </w:rPr>
              <w:t>2</w:t>
            </w:r>
            <w:r>
              <w:rPr>
                <w:rFonts w:ascii="Times New Roman" w:eastAsia="宋体"/>
                <w:b w:val="0"/>
                <w:color w:val="000000" w:themeColor="text1"/>
                <w:sz w:val="21"/>
                <w:szCs w:val="16"/>
                <w14:textFill>
                  <w14:solidFill>
                    <w14:schemeClr w14:val="tx1"/>
                  </w14:solidFill>
                </w14:textFill>
              </w:rPr>
              <w:t>、… Qn------每种风险物质的临界量，t。</w:t>
            </w:r>
          </w:p>
          <w:p w14:paraId="5C64DF9B">
            <w:pPr>
              <w:pStyle w:val="6"/>
              <w:spacing w:line="420" w:lineRule="exact"/>
              <w:ind w:firstLine="420" w:firstLineChars="200"/>
              <w:rPr>
                <w:rFonts w:ascii="Times New Roman" w:eastAsia="宋体"/>
                <w:b w:val="0"/>
                <w:color w:val="000000" w:themeColor="text1"/>
                <w:sz w:val="21"/>
                <w:szCs w:val="16"/>
                <w14:textFill>
                  <w14:solidFill>
                    <w14:schemeClr w14:val="tx1"/>
                  </w14:solidFill>
                </w14:textFill>
              </w:rPr>
            </w:pPr>
            <w:r>
              <w:rPr>
                <w:rFonts w:ascii="Times New Roman" w:eastAsia="宋体"/>
                <w:b w:val="0"/>
                <w:color w:val="000000" w:themeColor="text1"/>
                <w:sz w:val="21"/>
                <w:szCs w:val="16"/>
                <w14:textFill>
                  <w14:solidFill>
                    <w14:schemeClr w14:val="tx1"/>
                  </w14:solidFill>
                </w14:textFill>
              </w:rPr>
              <w:t xml:space="preserve">计算出Q值后： </w:t>
            </w:r>
          </w:p>
          <w:p w14:paraId="0C73D32B">
            <w:pPr>
              <w:pStyle w:val="6"/>
              <w:spacing w:line="420" w:lineRule="exact"/>
              <w:ind w:firstLine="420" w:firstLineChars="200"/>
              <w:rPr>
                <w:rFonts w:ascii="Times New Roman" w:eastAsia="宋体"/>
                <w:b w:val="0"/>
                <w:color w:val="000000" w:themeColor="text1"/>
                <w:sz w:val="21"/>
                <w:szCs w:val="16"/>
                <w14:textFill>
                  <w14:solidFill>
                    <w14:schemeClr w14:val="tx1"/>
                  </w14:solidFill>
                </w14:textFill>
              </w:rPr>
            </w:pPr>
            <w:r>
              <w:rPr>
                <w:rFonts w:ascii="Times New Roman" w:eastAsia="宋体"/>
                <w:b w:val="0"/>
                <w:color w:val="000000" w:themeColor="text1"/>
                <w:sz w:val="21"/>
                <w:szCs w:val="16"/>
                <w14:textFill>
                  <w14:solidFill>
                    <w14:schemeClr w14:val="tx1"/>
                  </w14:solidFill>
                </w14:textFill>
              </w:rPr>
              <w:t xml:space="preserve">当Q&lt;1 时，该项目环境风险潜势为Ⅰ。 </w:t>
            </w:r>
          </w:p>
          <w:p w14:paraId="6152FC82">
            <w:pPr>
              <w:pStyle w:val="6"/>
              <w:spacing w:line="420" w:lineRule="exact"/>
              <w:ind w:firstLine="420" w:firstLineChars="200"/>
              <w:rPr>
                <w:bCs/>
                <w:color w:val="000000" w:themeColor="text1"/>
                <w:sz w:val="21"/>
                <w:szCs w:val="21"/>
                <w14:textFill>
                  <w14:solidFill>
                    <w14:schemeClr w14:val="tx1"/>
                  </w14:solidFill>
                </w14:textFill>
              </w:rPr>
            </w:pPr>
            <w:r>
              <w:rPr>
                <w:rFonts w:ascii="Times New Roman" w:eastAsia="宋体"/>
                <w:b w:val="0"/>
                <w:color w:val="000000" w:themeColor="text1"/>
                <w:sz w:val="21"/>
                <w:szCs w:val="16"/>
                <w14:textFill>
                  <w14:solidFill>
                    <w14:schemeClr w14:val="tx1"/>
                  </w14:solidFill>
                </w14:textFill>
              </w:rPr>
              <w:t>当Q≥1 时，将Q值划分为：①1≤Q&lt;10；②10≤Q&lt;100；③Q≥100，再结合项目行业及生产工艺（M）进一步判断项目风险物质与工艺系统危险性（P）分级，然后再根据建设项目的P值及其项目所在地的环境敏感程度确定项目环境风险潜势。</w:t>
            </w:r>
          </w:p>
          <w:p w14:paraId="7A49444F">
            <w:pPr>
              <w:pStyle w:val="2"/>
              <w:spacing w:beforeLines="3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 xml:space="preserve">表4.7-1  </w:t>
            </w:r>
            <w:r>
              <w:rPr>
                <w:rFonts w:hint="eastAsia"/>
                <w:b/>
                <w:bCs/>
                <w:color w:val="000000" w:themeColor="text1"/>
                <w:sz w:val="21"/>
                <w:szCs w:val="21"/>
                <w14:textFill>
                  <w14:solidFill>
                    <w14:schemeClr w14:val="tx1"/>
                  </w14:solidFill>
                </w14:textFill>
              </w:rPr>
              <w:t>本项目危险物质</w:t>
            </w:r>
            <w:r>
              <w:rPr>
                <w:b/>
                <w:bCs/>
                <w:color w:val="000000" w:themeColor="text1"/>
                <w:sz w:val="21"/>
                <w:szCs w:val="21"/>
                <w14:textFill>
                  <w14:solidFill>
                    <w14:schemeClr w14:val="tx1"/>
                  </w14:solidFill>
                </w14:textFill>
              </w:rPr>
              <w:t>Q值确定表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468"/>
              <w:gridCol w:w="973"/>
              <w:gridCol w:w="625"/>
              <w:gridCol w:w="1221"/>
              <w:gridCol w:w="3607"/>
              <w:gridCol w:w="870"/>
              <w:gridCol w:w="751"/>
            </w:tblGrid>
            <w:tr w14:paraId="6CA41B2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388" w:type="pct"/>
                  <w:shd w:val="clear" w:color="auto" w:fill="FFFFFF"/>
                  <w:noWrap/>
                  <w:vAlign w:val="center"/>
                </w:tcPr>
                <w:p w14:paraId="6555FD82">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869" w:type="pct"/>
                  <w:shd w:val="clear" w:color="auto" w:fill="FFFFFF"/>
                  <w:noWrap/>
                  <w:vAlign w:val="center"/>
                </w:tcPr>
                <w:p w14:paraId="339C9C08">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危险物质名称</w:t>
                  </w:r>
                </w:p>
              </w:tc>
              <w:tc>
                <w:tcPr>
                  <w:tcW w:w="667" w:type="pct"/>
                  <w:shd w:val="clear" w:color="auto" w:fill="FFFFFF"/>
                  <w:noWrap/>
                  <w:vAlign w:val="center"/>
                </w:tcPr>
                <w:p w14:paraId="6B17EC5D">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CAS号</w:t>
                  </w:r>
                </w:p>
              </w:tc>
              <w:tc>
                <w:tcPr>
                  <w:tcW w:w="1074" w:type="pct"/>
                  <w:shd w:val="clear" w:color="auto" w:fill="FFFFFF"/>
                  <w:noWrap/>
                  <w:vAlign w:val="center"/>
                </w:tcPr>
                <w:p w14:paraId="3B6F1254">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最大存在总量qn/t</w:t>
                  </w:r>
                </w:p>
              </w:tc>
              <w:tc>
                <w:tcPr>
                  <w:tcW w:w="733" w:type="pct"/>
                  <w:shd w:val="clear" w:color="auto" w:fill="FFFFFF"/>
                  <w:noWrap/>
                  <w:vAlign w:val="center"/>
                </w:tcPr>
                <w:p w14:paraId="12A85012">
                  <w:pPr>
                    <w:adjustRightInd w:val="0"/>
                    <w:snapToGrid w:val="0"/>
                    <w:jc w:val="center"/>
                    <w:rPr>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企业突发环境事件风险分级方法序号</w:t>
                  </w:r>
                </w:p>
              </w:tc>
              <w:tc>
                <w:tcPr>
                  <w:tcW w:w="733" w:type="pct"/>
                  <w:shd w:val="clear" w:color="auto" w:fill="FFFFFF"/>
                  <w:noWrap/>
                  <w:vAlign w:val="center"/>
                </w:tcPr>
                <w:p w14:paraId="41590691">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临界量Qn/t</w:t>
                  </w:r>
                </w:p>
              </w:tc>
              <w:tc>
                <w:tcPr>
                  <w:tcW w:w="533" w:type="pct"/>
                  <w:shd w:val="clear" w:color="auto" w:fill="FFFFFF"/>
                  <w:noWrap/>
                  <w:vAlign w:val="center"/>
                </w:tcPr>
                <w:p w14:paraId="2C41619B">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Q值</w:t>
                  </w:r>
                </w:p>
              </w:tc>
            </w:tr>
            <w:tr w14:paraId="5D8177C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388" w:type="pct"/>
                  <w:shd w:val="clear" w:color="auto" w:fill="FFFFFF"/>
                  <w:noWrap/>
                  <w:vAlign w:val="center"/>
                </w:tcPr>
                <w:p w14:paraId="3F5FFFE5">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1</w:t>
                  </w:r>
                </w:p>
              </w:tc>
              <w:tc>
                <w:tcPr>
                  <w:tcW w:w="869" w:type="pct"/>
                  <w:noWrap/>
                  <w:vAlign w:val="center"/>
                </w:tcPr>
                <w:p w14:paraId="1DD6861C">
                  <w:pPr>
                    <w:jc w:val="center"/>
                    <w:rPr>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油墨</w:t>
                  </w:r>
                </w:p>
              </w:tc>
              <w:tc>
                <w:tcPr>
                  <w:tcW w:w="667" w:type="pct"/>
                  <w:noWrap/>
                  <w:vAlign w:val="center"/>
                </w:tcPr>
                <w:p w14:paraId="0F466E92">
                  <w:pPr>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w:t>
                  </w:r>
                </w:p>
              </w:tc>
              <w:tc>
                <w:tcPr>
                  <w:tcW w:w="1074" w:type="pct"/>
                  <w:noWrap/>
                  <w:vAlign w:val="center"/>
                </w:tcPr>
                <w:p w14:paraId="39CEA769">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0.04</w:t>
                  </w:r>
                </w:p>
              </w:tc>
              <w:tc>
                <w:tcPr>
                  <w:tcW w:w="733" w:type="pct"/>
                  <w:vMerge w:val="restart"/>
                  <w:noWrap/>
                  <w:vAlign w:val="center"/>
                </w:tcPr>
                <w:p w14:paraId="048D3399">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危害水环境物质（急性毒性类别1）</w:t>
                  </w:r>
                </w:p>
              </w:tc>
              <w:tc>
                <w:tcPr>
                  <w:tcW w:w="733" w:type="pct"/>
                  <w:noWrap/>
                  <w:vAlign w:val="center"/>
                </w:tcPr>
                <w:p w14:paraId="4D5C8A60">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100</w:t>
                  </w:r>
                </w:p>
              </w:tc>
              <w:tc>
                <w:tcPr>
                  <w:tcW w:w="533" w:type="pct"/>
                  <w:noWrap/>
                  <w:vAlign w:val="center"/>
                </w:tcPr>
                <w:p w14:paraId="57884CF3">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0.0004</w:t>
                  </w:r>
                </w:p>
              </w:tc>
            </w:tr>
            <w:tr w14:paraId="46AF70A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388" w:type="pct"/>
                  <w:shd w:val="clear" w:color="auto" w:fill="FFFFFF"/>
                  <w:noWrap/>
                  <w:vAlign w:val="center"/>
                </w:tcPr>
                <w:p w14:paraId="28AB3374">
                  <w:pPr>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w:t>
                  </w:r>
                </w:p>
              </w:tc>
              <w:tc>
                <w:tcPr>
                  <w:tcW w:w="869" w:type="pct"/>
                  <w:noWrap/>
                  <w:vAlign w:val="center"/>
                </w:tcPr>
                <w:p w14:paraId="75CDA1B2">
                  <w:pPr>
                    <w:jc w:val="center"/>
                    <w:rPr>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清洗剂</w:t>
                  </w:r>
                </w:p>
              </w:tc>
              <w:tc>
                <w:tcPr>
                  <w:tcW w:w="667" w:type="pct"/>
                  <w:noWrap/>
                  <w:vAlign w:val="center"/>
                </w:tcPr>
                <w:p w14:paraId="47F493AB">
                  <w:pPr>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w:t>
                  </w:r>
                </w:p>
              </w:tc>
              <w:tc>
                <w:tcPr>
                  <w:tcW w:w="1074" w:type="pct"/>
                  <w:noWrap/>
                  <w:vAlign w:val="center"/>
                </w:tcPr>
                <w:p w14:paraId="74F6FCEB">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0.01</w:t>
                  </w:r>
                </w:p>
              </w:tc>
              <w:tc>
                <w:tcPr>
                  <w:tcW w:w="733" w:type="pct"/>
                  <w:vMerge w:val="continue"/>
                  <w:noWrap/>
                  <w:vAlign w:val="center"/>
                </w:tcPr>
                <w:p w14:paraId="5162FE55">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p>
              </w:tc>
              <w:tc>
                <w:tcPr>
                  <w:tcW w:w="733" w:type="pct"/>
                  <w:noWrap/>
                  <w:vAlign w:val="center"/>
                </w:tcPr>
                <w:p w14:paraId="44C26255">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100</w:t>
                  </w:r>
                </w:p>
              </w:tc>
              <w:tc>
                <w:tcPr>
                  <w:tcW w:w="533" w:type="pct"/>
                  <w:noWrap/>
                  <w:vAlign w:val="center"/>
                </w:tcPr>
                <w:p w14:paraId="0D4BD000">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0.0001</w:t>
                  </w:r>
                </w:p>
              </w:tc>
            </w:tr>
            <w:tr w14:paraId="5E6FD3D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388" w:type="pct"/>
                  <w:shd w:val="clear" w:color="auto" w:fill="FFFFFF"/>
                  <w:noWrap/>
                  <w:vAlign w:val="center"/>
                </w:tcPr>
                <w:p w14:paraId="38BE521F">
                  <w:pPr>
                    <w:adjustRightInd w:val="0"/>
                    <w:snapToGrid w:val="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3</w:t>
                  </w:r>
                </w:p>
              </w:tc>
              <w:tc>
                <w:tcPr>
                  <w:tcW w:w="869" w:type="pct"/>
                  <w:noWrap/>
                  <w:vAlign w:val="center"/>
                </w:tcPr>
                <w:p w14:paraId="4169B4CB">
                  <w:pPr>
                    <w:jc w:val="center"/>
                    <w:rPr>
                      <w:rFonts w:hint="eastAsia"/>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液压油</w:t>
                  </w:r>
                </w:p>
              </w:tc>
              <w:tc>
                <w:tcPr>
                  <w:tcW w:w="667" w:type="pct"/>
                  <w:noWrap/>
                  <w:vAlign w:val="center"/>
                </w:tcPr>
                <w:p w14:paraId="0D15F758">
                  <w:pPr>
                    <w:adjustRightInd w:val="0"/>
                    <w:snapToGrid w:val="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w:t>
                  </w:r>
                </w:p>
              </w:tc>
              <w:tc>
                <w:tcPr>
                  <w:tcW w:w="1074" w:type="pct"/>
                  <w:noWrap/>
                  <w:vAlign w:val="center"/>
                </w:tcPr>
                <w:p w14:paraId="5D15DC34">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0.17</w:t>
                  </w:r>
                </w:p>
              </w:tc>
              <w:tc>
                <w:tcPr>
                  <w:tcW w:w="733" w:type="pct"/>
                  <w:vMerge w:val="restart"/>
                  <w:noWrap/>
                  <w:vAlign w:val="center"/>
                </w:tcPr>
                <w:p w14:paraId="60F94FDC">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油类物质（矿物油类，如石油、汽油、柴油等；生物柴油等）</w:t>
                  </w:r>
                </w:p>
              </w:tc>
              <w:tc>
                <w:tcPr>
                  <w:tcW w:w="733" w:type="pct"/>
                  <w:noWrap/>
                  <w:vAlign w:val="center"/>
                </w:tcPr>
                <w:p w14:paraId="7D37EE9A">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2500</w:t>
                  </w:r>
                </w:p>
              </w:tc>
              <w:tc>
                <w:tcPr>
                  <w:tcW w:w="533" w:type="pct"/>
                  <w:noWrap/>
                  <w:vAlign w:val="center"/>
                </w:tcPr>
                <w:p w14:paraId="126E52EF">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0.000068</w:t>
                  </w:r>
                </w:p>
              </w:tc>
            </w:tr>
            <w:tr w14:paraId="1716190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388" w:type="pct"/>
                  <w:shd w:val="clear" w:color="auto" w:fill="FFFFFF"/>
                  <w:noWrap/>
                  <w:vAlign w:val="center"/>
                </w:tcPr>
                <w:p w14:paraId="3C6FCD1B">
                  <w:pPr>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w:t>
                  </w:r>
                </w:p>
              </w:tc>
              <w:tc>
                <w:tcPr>
                  <w:tcW w:w="869" w:type="pct"/>
                  <w:noWrap/>
                  <w:vAlign w:val="center"/>
                </w:tcPr>
                <w:p w14:paraId="528DA568">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废液压油</w:t>
                  </w:r>
                </w:p>
              </w:tc>
              <w:tc>
                <w:tcPr>
                  <w:tcW w:w="667" w:type="pct"/>
                  <w:noWrap/>
                  <w:vAlign w:val="center"/>
                </w:tcPr>
                <w:p w14:paraId="2E1BF44C">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w:t>
                  </w:r>
                </w:p>
              </w:tc>
              <w:tc>
                <w:tcPr>
                  <w:tcW w:w="1074" w:type="pct"/>
                  <w:noWrap/>
                  <w:vAlign w:val="center"/>
                </w:tcPr>
                <w:p w14:paraId="76174AFA">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0.34</w:t>
                  </w:r>
                </w:p>
              </w:tc>
              <w:tc>
                <w:tcPr>
                  <w:tcW w:w="733" w:type="pct"/>
                  <w:vMerge w:val="continue"/>
                  <w:noWrap/>
                  <w:vAlign w:val="center"/>
                </w:tcPr>
                <w:p w14:paraId="2206A9A3">
                  <w:pPr>
                    <w:jc w:val="center"/>
                    <w:rPr>
                      <w:rFonts w:hint="eastAsia"/>
                      <w:color w:val="000000" w:themeColor="text1"/>
                      <w:szCs w:val="21"/>
                      <w:lang w:val="en-US" w:eastAsia="zh-CN"/>
                      <w14:textFill>
                        <w14:solidFill>
                          <w14:schemeClr w14:val="tx1"/>
                        </w14:solidFill>
                      </w14:textFill>
                    </w:rPr>
                  </w:pPr>
                </w:p>
              </w:tc>
              <w:tc>
                <w:tcPr>
                  <w:tcW w:w="733" w:type="pct"/>
                  <w:noWrap/>
                  <w:vAlign w:val="center"/>
                </w:tcPr>
                <w:p w14:paraId="47766721">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2500</w:t>
                  </w:r>
                </w:p>
              </w:tc>
              <w:tc>
                <w:tcPr>
                  <w:tcW w:w="533" w:type="pct"/>
                  <w:noWrap/>
                  <w:vAlign w:val="center"/>
                </w:tcPr>
                <w:p w14:paraId="38392250">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0.000136</w:t>
                  </w:r>
                </w:p>
              </w:tc>
            </w:tr>
            <w:tr w14:paraId="4A3CDEC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388" w:type="pct"/>
                  <w:shd w:val="clear" w:color="auto" w:fill="FFFFFF"/>
                  <w:noWrap/>
                  <w:vAlign w:val="center"/>
                </w:tcPr>
                <w:p w14:paraId="650AA071">
                  <w:pPr>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w:t>
                  </w:r>
                </w:p>
              </w:tc>
              <w:tc>
                <w:tcPr>
                  <w:tcW w:w="869" w:type="pct"/>
                  <w:noWrap/>
                  <w:vAlign w:val="center"/>
                </w:tcPr>
                <w:p w14:paraId="5A617641">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废抹布</w:t>
                  </w:r>
                </w:p>
              </w:tc>
              <w:tc>
                <w:tcPr>
                  <w:tcW w:w="667" w:type="pct"/>
                  <w:noWrap/>
                  <w:vAlign w:val="center"/>
                </w:tcPr>
                <w:p w14:paraId="40D8DCB4">
                  <w:pPr>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w:t>
                  </w:r>
                </w:p>
              </w:tc>
              <w:tc>
                <w:tcPr>
                  <w:tcW w:w="1074" w:type="pct"/>
                  <w:noWrap/>
                  <w:vAlign w:val="center"/>
                </w:tcPr>
                <w:p w14:paraId="0817CAB2">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0.28</w:t>
                  </w:r>
                </w:p>
              </w:tc>
              <w:tc>
                <w:tcPr>
                  <w:tcW w:w="733" w:type="pct"/>
                  <w:vMerge w:val="restart"/>
                  <w:noWrap/>
                  <w:vAlign w:val="center"/>
                </w:tcPr>
                <w:p w14:paraId="13C0A835">
                  <w:pPr>
                    <w:jc w:val="center"/>
                    <w:rPr>
                      <w:rFonts w:hint="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危害水环境物质（急性毒性类别1）</w:t>
                  </w:r>
                </w:p>
              </w:tc>
              <w:tc>
                <w:tcPr>
                  <w:tcW w:w="733" w:type="pct"/>
                  <w:noWrap/>
                  <w:vAlign w:val="center"/>
                </w:tcPr>
                <w:p w14:paraId="14992675">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100</w:t>
                  </w:r>
                </w:p>
              </w:tc>
              <w:tc>
                <w:tcPr>
                  <w:tcW w:w="533" w:type="pct"/>
                  <w:noWrap/>
                  <w:vAlign w:val="center"/>
                </w:tcPr>
                <w:p w14:paraId="60B1E061">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0.0028</w:t>
                  </w:r>
                </w:p>
              </w:tc>
            </w:tr>
            <w:tr w14:paraId="578B4B3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388" w:type="pct"/>
                  <w:shd w:val="clear" w:color="auto" w:fill="FFFFFF"/>
                  <w:noWrap/>
                  <w:vAlign w:val="center"/>
                </w:tcPr>
                <w:p w14:paraId="696CB73C">
                  <w:pPr>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w:t>
                  </w:r>
                </w:p>
              </w:tc>
              <w:tc>
                <w:tcPr>
                  <w:tcW w:w="869" w:type="pct"/>
                  <w:noWrap/>
                  <w:vAlign w:val="center"/>
                </w:tcPr>
                <w:p w14:paraId="5980E45F">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废包装桶</w:t>
                  </w:r>
                </w:p>
              </w:tc>
              <w:tc>
                <w:tcPr>
                  <w:tcW w:w="667" w:type="pct"/>
                  <w:noWrap/>
                  <w:vAlign w:val="center"/>
                </w:tcPr>
                <w:p w14:paraId="168C1275">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w:t>
                  </w:r>
                </w:p>
              </w:tc>
              <w:tc>
                <w:tcPr>
                  <w:tcW w:w="1074" w:type="pct"/>
                  <w:noWrap/>
                  <w:vAlign w:val="center"/>
                </w:tcPr>
                <w:p w14:paraId="382C7F9A">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0.02</w:t>
                  </w:r>
                </w:p>
              </w:tc>
              <w:tc>
                <w:tcPr>
                  <w:tcW w:w="733" w:type="pct"/>
                  <w:vMerge w:val="continue"/>
                  <w:noWrap/>
                  <w:vAlign w:val="center"/>
                </w:tcPr>
                <w:p w14:paraId="58A6616C">
                  <w:pPr>
                    <w:jc w:val="center"/>
                    <w:rPr>
                      <w:rFonts w:hint="eastAsia"/>
                      <w:color w:val="000000" w:themeColor="text1"/>
                      <w:szCs w:val="21"/>
                      <w:lang w:val="en-US" w:eastAsia="zh-CN"/>
                      <w14:textFill>
                        <w14:solidFill>
                          <w14:schemeClr w14:val="tx1"/>
                        </w14:solidFill>
                      </w14:textFill>
                    </w:rPr>
                  </w:pPr>
                </w:p>
              </w:tc>
              <w:tc>
                <w:tcPr>
                  <w:tcW w:w="733" w:type="pct"/>
                  <w:noWrap/>
                  <w:vAlign w:val="center"/>
                </w:tcPr>
                <w:p w14:paraId="34D6FCB0">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100</w:t>
                  </w:r>
                </w:p>
              </w:tc>
              <w:tc>
                <w:tcPr>
                  <w:tcW w:w="533" w:type="pct"/>
                  <w:noWrap/>
                  <w:vAlign w:val="center"/>
                </w:tcPr>
                <w:p w14:paraId="2CC64E1B">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0.0002</w:t>
                  </w:r>
                </w:p>
              </w:tc>
            </w:tr>
            <w:tr w14:paraId="269E667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388" w:type="pct"/>
                  <w:shd w:val="clear" w:color="auto" w:fill="FFFFFF"/>
                  <w:noWrap/>
                  <w:vAlign w:val="center"/>
                </w:tcPr>
                <w:p w14:paraId="398B9586">
                  <w:pPr>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7</w:t>
                  </w:r>
                </w:p>
              </w:tc>
              <w:tc>
                <w:tcPr>
                  <w:tcW w:w="869" w:type="pct"/>
                  <w:noWrap/>
                  <w:vAlign w:val="center"/>
                </w:tcPr>
                <w:p w14:paraId="2E0159F3">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废油桶</w:t>
                  </w:r>
                </w:p>
              </w:tc>
              <w:tc>
                <w:tcPr>
                  <w:tcW w:w="667" w:type="pct"/>
                  <w:noWrap/>
                  <w:vAlign w:val="center"/>
                </w:tcPr>
                <w:p w14:paraId="121E8A42">
                  <w:pPr>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w:t>
                  </w:r>
                </w:p>
              </w:tc>
              <w:tc>
                <w:tcPr>
                  <w:tcW w:w="1074" w:type="pct"/>
                  <w:noWrap/>
                  <w:vAlign w:val="center"/>
                </w:tcPr>
                <w:p w14:paraId="47C95031">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0.03</w:t>
                  </w:r>
                </w:p>
              </w:tc>
              <w:tc>
                <w:tcPr>
                  <w:tcW w:w="733" w:type="pct"/>
                  <w:vMerge w:val="continue"/>
                  <w:noWrap/>
                  <w:vAlign w:val="center"/>
                </w:tcPr>
                <w:p w14:paraId="6D0C0426">
                  <w:pPr>
                    <w:jc w:val="center"/>
                    <w:rPr>
                      <w:rFonts w:hint="eastAsia"/>
                      <w:color w:val="000000" w:themeColor="text1"/>
                      <w:szCs w:val="21"/>
                      <w:lang w:val="en-US" w:eastAsia="zh-CN"/>
                      <w14:textFill>
                        <w14:solidFill>
                          <w14:schemeClr w14:val="tx1"/>
                        </w14:solidFill>
                      </w14:textFill>
                    </w:rPr>
                  </w:pPr>
                </w:p>
              </w:tc>
              <w:tc>
                <w:tcPr>
                  <w:tcW w:w="733" w:type="pct"/>
                  <w:noWrap/>
                  <w:vAlign w:val="center"/>
                </w:tcPr>
                <w:p w14:paraId="43BFA1AB">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100</w:t>
                  </w:r>
                </w:p>
              </w:tc>
              <w:tc>
                <w:tcPr>
                  <w:tcW w:w="533" w:type="pct"/>
                  <w:noWrap/>
                  <w:vAlign w:val="center"/>
                </w:tcPr>
                <w:p w14:paraId="3287513D">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0.0003</w:t>
                  </w:r>
                </w:p>
              </w:tc>
            </w:tr>
            <w:tr w14:paraId="0FBB505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388" w:type="pct"/>
                  <w:shd w:val="clear" w:color="auto" w:fill="FFFFFF"/>
                  <w:noWrap/>
                  <w:vAlign w:val="center"/>
                </w:tcPr>
                <w:p w14:paraId="78CE3AC5">
                  <w:pPr>
                    <w:adjustRightInd w:val="0"/>
                    <w:snapToGrid w:val="0"/>
                    <w:jc w:val="center"/>
                    <w:rPr>
                      <w:rFonts w:hint="eastAsia" w:eastAsia="宋体"/>
                      <w:bCs/>
                      <w:color w:val="000000" w:themeColor="text1"/>
                      <w:highlight w:val="none"/>
                      <w:lang w:eastAsia="zh-CN"/>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8</w:t>
                  </w:r>
                </w:p>
              </w:tc>
              <w:tc>
                <w:tcPr>
                  <w:tcW w:w="869" w:type="pct"/>
                  <w:noWrap/>
                  <w:vAlign w:val="center"/>
                </w:tcPr>
                <w:p w14:paraId="3BEE78A5">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废活性炭</w:t>
                  </w:r>
                </w:p>
              </w:tc>
              <w:tc>
                <w:tcPr>
                  <w:tcW w:w="667" w:type="pct"/>
                  <w:noWrap/>
                  <w:vAlign w:val="center"/>
                </w:tcPr>
                <w:p w14:paraId="72142647">
                  <w:pPr>
                    <w:adjustRightInd w:val="0"/>
                    <w:snapToGrid w:val="0"/>
                    <w:jc w:val="center"/>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w:t>
                  </w:r>
                </w:p>
              </w:tc>
              <w:tc>
                <w:tcPr>
                  <w:tcW w:w="1074" w:type="pct"/>
                  <w:noWrap/>
                  <w:vAlign w:val="center"/>
                </w:tcPr>
                <w:p w14:paraId="7CD5E991">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1.71</w:t>
                  </w:r>
                </w:p>
              </w:tc>
              <w:tc>
                <w:tcPr>
                  <w:tcW w:w="733" w:type="pct"/>
                  <w:vMerge w:val="continue"/>
                  <w:noWrap/>
                  <w:vAlign w:val="center"/>
                </w:tcPr>
                <w:p w14:paraId="11C827C2">
                  <w:pPr>
                    <w:jc w:val="center"/>
                    <w:rPr>
                      <w:rFonts w:hint="eastAsia"/>
                      <w:color w:val="000000" w:themeColor="text1"/>
                      <w:szCs w:val="21"/>
                      <w:highlight w:val="none"/>
                      <w:lang w:val="en-US" w:eastAsia="zh-CN"/>
                      <w14:textFill>
                        <w14:solidFill>
                          <w14:schemeClr w14:val="tx1"/>
                        </w14:solidFill>
                      </w14:textFill>
                    </w:rPr>
                  </w:pPr>
                </w:p>
              </w:tc>
              <w:tc>
                <w:tcPr>
                  <w:tcW w:w="733" w:type="pct"/>
                  <w:noWrap/>
                  <w:vAlign w:val="center"/>
                </w:tcPr>
                <w:p w14:paraId="7DF6E2F0">
                  <w:pPr>
                    <w:jc w:val="center"/>
                    <w:rPr>
                      <w:color w:val="000000" w:themeColor="text1"/>
                      <w:szCs w:val="21"/>
                      <w:highlight w:val="none"/>
                      <w14:textFill>
                        <w14:solidFill>
                          <w14:schemeClr w14:val="tx1"/>
                        </w14:solidFill>
                      </w14:textFill>
                    </w:rPr>
                  </w:pPr>
                  <w:r>
                    <w:rPr>
                      <w:rFonts w:hint="eastAsia"/>
                      <w:color w:val="000000" w:themeColor="text1"/>
                      <w:szCs w:val="21"/>
                      <w:lang w:val="en-US" w:eastAsia="zh-CN"/>
                      <w14:textFill>
                        <w14:solidFill>
                          <w14:schemeClr w14:val="tx1"/>
                        </w14:solidFill>
                      </w14:textFill>
                    </w:rPr>
                    <w:t>100</w:t>
                  </w:r>
                </w:p>
              </w:tc>
              <w:tc>
                <w:tcPr>
                  <w:tcW w:w="533" w:type="pct"/>
                  <w:noWrap/>
                  <w:vAlign w:val="center"/>
                </w:tcPr>
                <w:p w14:paraId="1FB9661E">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0.0171</w:t>
                  </w:r>
                </w:p>
              </w:tc>
            </w:tr>
            <w:tr w14:paraId="44CDDD8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388" w:type="pct"/>
                  <w:shd w:val="clear" w:color="auto" w:fill="FFFFFF"/>
                  <w:noWrap/>
                  <w:vAlign w:val="center"/>
                </w:tcPr>
                <w:p w14:paraId="5484E5EB">
                  <w:pPr>
                    <w:adjustRightInd w:val="0"/>
                    <w:snapToGrid w:val="0"/>
                    <w:jc w:val="center"/>
                    <w:rPr>
                      <w:rFonts w:hint="default"/>
                      <w:bCs/>
                      <w:color w:val="000000" w:themeColor="text1"/>
                      <w:highlight w:val="none"/>
                      <w:lang w:val="en-US" w:eastAsia="zh-CN"/>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9</w:t>
                  </w:r>
                </w:p>
              </w:tc>
              <w:tc>
                <w:tcPr>
                  <w:tcW w:w="869" w:type="pct"/>
                  <w:noWrap/>
                  <w:vAlign w:val="center"/>
                </w:tcPr>
                <w:p w14:paraId="77EBACD6">
                  <w:pPr>
                    <w:jc w:val="center"/>
                    <w:rPr>
                      <w:rFonts w:hint="eastAsia" w:eastAsia="宋体"/>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油墨</w:t>
                  </w:r>
                  <w:r>
                    <w:rPr>
                      <w:rFonts w:hint="eastAsia" w:cs="Times New Roman"/>
                      <w:color w:val="000000" w:themeColor="text1"/>
                      <w:sz w:val="21"/>
                      <w:szCs w:val="21"/>
                      <w:lang w:val="en-US" w:eastAsia="zh-CN"/>
                      <w14:textFill>
                        <w14:solidFill>
                          <w14:schemeClr w14:val="tx1"/>
                        </w14:solidFill>
                      </w14:textFill>
                    </w:rPr>
                    <w:t>在线量</w:t>
                  </w:r>
                </w:p>
              </w:tc>
              <w:tc>
                <w:tcPr>
                  <w:tcW w:w="667" w:type="pct"/>
                  <w:noWrap/>
                  <w:vAlign w:val="center"/>
                </w:tcPr>
                <w:p w14:paraId="14FA90A1">
                  <w:pPr>
                    <w:adjustRightInd w:val="0"/>
                    <w:snapToGrid w:val="0"/>
                    <w:jc w:val="center"/>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w:t>
                  </w:r>
                </w:p>
              </w:tc>
              <w:tc>
                <w:tcPr>
                  <w:tcW w:w="1074" w:type="pct"/>
                  <w:noWrap/>
                  <w:vAlign w:val="center"/>
                </w:tcPr>
                <w:p w14:paraId="1CD80707">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0.00002</w:t>
                  </w:r>
                </w:p>
              </w:tc>
              <w:tc>
                <w:tcPr>
                  <w:tcW w:w="733" w:type="pct"/>
                  <w:vMerge w:val="continue"/>
                  <w:noWrap/>
                  <w:vAlign w:val="center"/>
                </w:tcPr>
                <w:p w14:paraId="15CB2D61">
                  <w:pPr>
                    <w:jc w:val="center"/>
                    <w:rPr>
                      <w:rFonts w:hint="eastAsia"/>
                      <w:color w:val="000000" w:themeColor="text1"/>
                      <w:szCs w:val="21"/>
                      <w:highlight w:val="none"/>
                      <w:lang w:val="en-US" w:eastAsia="zh-CN"/>
                      <w14:textFill>
                        <w14:solidFill>
                          <w14:schemeClr w14:val="tx1"/>
                        </w14:solidFill>
                      </w14:textFill>
                    </w:rPr>
                  </w:pPr>
                </w:p>
              </w:tc>
              <w:tc>
                <w:tcPr>
                  <w:tcW w:w="733" w:type="pct"/>
                  <w:noWrap/>
                  <w:vAlign w:val="center"/>
                </w:tcPr>
                <w:p w14:paraId="4E395592">
                  <w:pPr>
                    <w:jc w:val="center"/>
                    <w:rPr>
                      <w:rFonts w:hint="eastAsia"/>
                      <w:color w:val="000000" w:themeColor="text1"/>
                      <w:szCs w:val="21"/>
                      <w:highlight w:val="none"/>
                      <w14:textFill>
                        <w14:solidFill>
                          <w14:schemeClr w14:val="tx1"/>
                        </w14:solidFill>
                      </w14:textFill>
                    </w:rPr>
                  </w:pPr>
                  <w:r>
                    <w:rPr>
                      <w:rFonts w:hint="eastAsia"/>
                      <w:color w:val="000000" w:themeColor="text1"/>
                      <w:szCs w:val="21"/>
                      <w:lang w:val="en-US" w:eastAsia="zh-CN"/>
                      <w14:textFill>
                        <w14:solidFill>
                          <w14:schemeClr w14:val="tx1"/>
                        </w14:solidFill>
                      </w14:textFill>
                    </w:rPr>
                    <w:t>100</w:t>
                  </w:r>
                </w:p>
              </w:tc>
              <w:tc>
                <w:tcPr>
                  <w:tcW w:w="533" w:type="pct"/>
                  <w:noWrap/>
                  <w:vAlign w:val="center"/>
                </w:tcPr>
                <w:p w14:paraId="7257ABF7">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0.0000002</w:t>
                  </w:r>
                </w:p>
              </w:tc>
            </w:tr>
            <w:tr w14:paraId="1209B1E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388" w:type="pct"/>
                  <w:shd w:val="clear" w:color="auto" w:fill="FFFFFF"/>
                  <w:noWrap/>
                  <w:vAlign w:val="center"/>
                </w:tcPr>
                <w:p w14:paraId="0AAD3E30">
                  <w:pPr>
                    <w:adjustRightInd w:val="0"/>
                    <w:snapToGrid w:val="0"/>
                    <w:jc w:val="center"/>
                    <w:rPr>
                      <w:rFonts w:hint="default"/>
                      <w:bCs/>
                      <w:color w:val="000000" w:themeColor="text1"/>
                      <w:highlight w:val="none"/>
                      <w:lang w:val="en-US" w:eastAsia="zh-CN"/>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10</w:t>
                  </w:r>
                </w:p>
              </w:tc>
              <w:tc>
                <w:tcPr>
                  <w:tcW w:w="869" w:type="pct"/>
                  <w:noWrap/>
                  <w:vAlign w:val="center"/>
                </w:tcPr>
                <w:p w14:paraId="36C98AEF">
                  <w:pPr>
                    <w:jc w:val="center"/>
                    <w:rPr>
                      <w:rFonts w:hint="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清洗剂</w:t>
                  </w:r>
                  <w:r>
                    <w:rPr>
                      <w:rFonts w:hint="eastAsia" w:cs="Times New Roman"/>
                      <w:color w:val="000000" w:themeColor="text1"/>
                      <w:sz w:val="21"/>
                      <w:szCs w:val="21"/>
                      <w:lang w:val="en-US" w:eastAsia="zh-CN"/>
                      <w14:textFill>
                        <w14:solidFill>
                          <w14:schemeClr w14:val="tx1"/>
                        </w14:solidFill>
                      </w14:textFill>
                    </w:rPr>
                    <w:t>在线量</w:t>
                  </w:r>
                </w:p>
              </w:tc>
              <w:tc>
                <w:tcPr>
                  <w:tcW w:w="667" w:type="pct"/>
                  <w:noWrap/>
                  <w:vAlign w:val="center"/>
                </w:tcPr>
                <w:p w14:paraId="3427EA1D">
                  <w:pPr>
                    <w:adjustRightInd w:val="0"/>
                    <w:snapToGrid w:val="0"/>
                    <w:jc w:val="center"/>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w:t>
                  </w:r>
                </w:p>
              </w:tc>
              <w:tc>
                <w:tcPr>
                  <w:tcW w:w="1074" w:type="pct"/>
                  <w:noWrap/>
                  <w:vAlign w:val="center"/>
                </w:tcPr>
                <w:p w14:paraId="3C26BD69">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0.00012</w:t>
                  </w:r>
                </w:p>
              </w:tc>
              <w:tc>
                <w:tcPr>
                  <w:tcW w:w="733" w:type="pct"/>
                  <w:vMerge w:val="continue"/>
                  <w:noWrap/>
                  <w:vAlign w:val="center"/>
                </w:tcPr>
                <w:p w14:paraId="17D432CA">
                  <w:pPr>
                    <w:jc w:val="center"/>
                    <w:rPr>
                      <w:rFonts w:hint="eastAsia"/>
                      <w:color w:val="000000" w:themeColor="text1"/>
                      <w:szCs w:val="21"/>
                      <w:highlight w:val="none"/>
                      <w:lang w:val="en-US" w:eastAsia="zh-CN"/>
                      <w14:textFill>
                        <w14:solidFill>
                          <w14:schemeClr w14:val="tx1"/>
                        </w14:solidFill>
                      </w14:textFill>
                    </w:rPr>
                  </w:pPr>
                </w:p>
              </w:tc>
              <w:tc>
                <w:tcPr>
                  <w:tcW w:w="733" w:type="pct"/>
                  <w:noWrap/>
                  <w:vAlign w:val="center"/>
                </w:tcPr>
                <w:p w14:paraId="2E909FA9">
                  <w:pPr>
                    <w:jc w:val="center"/>
                    <w:rPr>
                      <w:rFonts w:hint="eastAsia"/>
                      <w:color w:val="000000" w:themeColor="text1"/>
                      <w:szCs w:val="21"/>
                      <w:highlight w:val="none"/>
                      <w14:textFill>
                        <w14:solidFill>
                          <w14:schemeClr w14:val="tx1"/>
                        </w14:solidFill>
                      </w14:textFill>
                    </w:rPr>
                  </w:pPr>
                  <w:r>
                    <w:rPr>
                      <w:rFonts w:hint="eastAsia"/>
                      <w:color w:val="000000" w:themeColor="text1"/>
                      <w:szCs w:val="21"/>
                      <w:lang w:val="en-US" w:eastAsia="zh-CN"/>
                      <w14:textFill>
                        <w14:solidFill>
                          <w14:schemeClr w14:val="tx1"/>
                        </w14:solidFill>
                      </w14:textFill>
                    </w:rPr>
                    <w:t>100</w:t>
                  </w:r>
                </w:p>
              </w:tc>
              <w:tc>
                <w:tcPr>
                  <w:tcW w:w="533" w:type="pct"/>
                  <w:noWrap/>
                  <w:vAlign w:val="center"/>
                </w:tcPr>
                <w:p w14:paraId="689773DB">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0.0000012</w:t>
                  </w:r>
                </w:p>
              </w:tc>
            </w:tr>
            <w:tr w14:paraId="1E0144E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388" w:type="pct"/>
                  <w:shd w:val="clear" w:color="auto" w:fill="FFFFFF"/>
                  <w:noWrap/>
                  <w:vAlign w:val="center"/>
                </w:tcPr>
                <w:p w14:paraId="51C6AAF2">
                  <w:pPr>
                    <w:adjustRightInd w:val="0"/>
                    <w:snapToGrid w:val="0"/>
                    <w:jc w:val="center"/>
                    <w:rPr>
                      <w:rFonts w:hint="default"/>
                      <w:bCs/>
                      <w:color w:val="000000" w:themeColor="text1"/>
                      <w:highlight w:val="none"/>
                      <w:lang w:val="en-US" w:eastAsia="zh-CN"/>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11</w:t>
                  </w:r>
                </w:p>
              </w:tc>
              <w:tc>
                <w:tcPr>
                  <w:tcW w:w="869" w:type="pct"/>
                  <w:noWrap/>
                  <w:vAlign w:val="center"/>
                </w:tcPr>
                <w:p w14:paraId="346B6671">
                  <w:pPr>
                    <w:jc w:val="center"/>
                    <w:rPr>
                      <w:rFonts w:hint="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液压油</w:t>
                  </w:r>
                  <w:r>
                    <w:rPr>
                      <w:rFonts w:hint="eastAsia" w:cs="Times New Roman"/>
                      <w:color w:val="000000" w:themeColor="text1"/>
                      <w:sz w:val="21"/>
                      <w:szCs w:val="21"/>
                      <w:lang w:val="en-US" w:eastAsia="zh-CN"/>
                      <w14:textFill>
                        <w14:solidFill>
                          <w14:schemeClr w14:val="tx1"/>
                        </w14:solidFill>
                      </w14:textFill>
                    </w:rPr>
                    <w:t>在线量</w:t>
                  </w:r>
                </w:p>
              </w:tc>
              <w:tc>
                <w:tcPr>
                  <w:tcW w:w="667" w:type="pct"/>
                  <w:noWrap/>
                  <w:vAlign w:val="center"/>
                </w:tcPr>
                <w:p w14:paraId="052B4AEA">
                  <w:pPr>
                    <w:adjustRightInd w:val="0"/>
                    <w:snapToGrid w:val="0"/>
                    <w:jc w:val="center"/>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w:t>
                  </w:r>
                </w:p>
              </w:tc>
              <w:tc>
                <w:tcPr>
                  <w:tcW w:w="1074" w:type="pct"/>
                  <w:noWrap/>
                  <w:vAlign w:val="center"/>
                </w:tcPr>
                <w:p w14:paraId="5046ABDA">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0.34</w:t>
                  </w:r>
                </w:p>
              </w:tc>
              <w:tc>
                <w:tcPr>
                  <w:tcW w:w="733" w:type="pct"/>
                  <w:noWrap/>
                  <w:vAlign w:val="center"/>
                </w:tcPr>
                <w:p w14:paraId="514B2E88">
                  <w:pPr>
                    <w:jc w:val="center"/>
                    <w:rPr>
                      <w:rFonts w:hint="eastAsia"/>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油类物质（矿物油类，如石油、汽油、柴油等；生物柴油等）</w:t>
                  </w:r>
                </w:p>
              </w:tc>
              <w:tc>
                <w:tcPr>
                  <w:tcW w:w="733" w:type="pct"/>
                  <w:noWrap/>
                  <w:vAlign w:val="center"/>
                </w:tcPr>
                <w:p w14:paraId="253FDEE3">
                  <w:pPr>
                    <w:jc w:val="center"/>
                    <w:rPr>
                      <w:rFonts w:hint="eastAsia"/>
                      <w:color w:val="000000" w:themeColor="text1"/>
                      <w:szCs w:val="21"/>
                      <w:highlight w:val="none"/>
                      <w14:textFill>
                        <w14:solidFill>
                          <w14:schemeClr w14:val="tx1"/>
                        </w14:solidFill>
                      </w14:textFill>
                    </w:rPr>
                  </w:pPr>
                  <w:r>
                    <w:rPr>
                      <w:rFonts w:hint="eastAsia"/>
                      <w:color w:val="000000" w:themeColor="text1"/>
                      <w:szCs w:val="21"/>
                      <w:lang w:val="en-US" w:eastAsia="zh-CN"/>
                      <w14:textFill>
                        <w14:solidFill>
                          <w14:schemeClr w14:val="tx1"/>
                        </w14:solidFill>
                      </w14:textFill>
                    </w:rPr>
                    <w:t>2500</w:t>
                  </w:r>
                </w:p>
              </w:tc>
              <w:tc>
                <w:tcPr>
                  <w:tcW w:w="533" w:type="pct"/>
                  <w:noWrap/>
                  <w:vAlign w:val="center"/>
                </w:tcPr>
                <w:p w14:paraId="4B440FA6">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0.000136</w:t>
                  </w:r>
                </w:p>
              </w:tc>
            </w:tr>
            <w:tr w14:paraId="0F3DDDD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3733" w:type="pct"/>
                  <w:gridSpan w:val="5"/>
                  <w:shd w:val="clear" w:color="auto" w:fill="FFFFFF"/>
                  <w:noWrap/>
                  <w:vAlign w:val="center"/>
                </w:tcPr>
                <w:p w14:paraId="7ED3D46A">
                  <w:pPr>
                    <w:adjustRightInd w:val="0"/>
                    <w:snapToGrid w:val="0"/>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项目Q值Σ</w:t>
                  </w:r>
                </w:p>
              </w:tc>
              <w:tc>
                <w:tcPr>
                  <w:tcW w:w="733" w:type="pct"/>
                  <w:shd w:val="clear" w:color="auto" w:fill="FFFFFF"/>
                  <w:noWrap/>
                  <w:vAlign w:val="center"/>
                </w:tcPr>
                <w:p w14:paraId="0CEE1E22">
                  <w:pPr>
                    <w:adjustRightInd w:val="0"/>
                    <w:snapToGrid w:val="0"/>
                    <w:jc w:val="center"/>
                    <w:rPr>
                      <w:rFonts w:hint="eastAsia" w:eastAsia="宋体"/>
                      <w:b/>
                      <w:color w:val="000000" w:themeColor="text1"/>
                      <w:highlight w:val="none"/>
                      <w:lang w:val="en-US" w:eastAsia="zh-CN"/>
                      <w14:textFill>
                        <w14:solidFill>
                          <w14:schemeClr w14:val="tx1"/>
                        </w14:solidFill>
                      </w14:textFill>
                    </w:rPr>
                  </w:pPr>
                  <w:r>
                    <w:rPr>
                      <w:rFonts w:hint="eastAsia"/>
                      <w:b/>
                      <w:color w:val="000000" w:themeColor="text1"/>
                      <w:highlight w:val="none"/>
                      <w:lang w:val="en-US" w:eastAsia="zh-CN"/>
                      <w14:textFill>
                        <w14:solidFill>
                          <w14:schemeClr w14:val="tx1"/>
                        </w14:solidFill>
                      </w14:textFill>
                    </w:rPr>
                    <w:t>/</w:t>
                  </w:r>
                </w:p>
              </w:tc>
              <w:tc>
                <w:tcPr>
                  <w:tcW w:w="533" w:type="pct"/>
                  <w:shd w:val="clear" w:color="auto" w:fill="FFFFFF"/>
                  <w:noWrap/>
                  <w:vAlign w:val="center"/>
                </w:tcPr>
                <w:p w14:paraId="29747DB5">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0.0212414</w:t>
                  </w:r>
                </w:p>
              </w:tc>
            </w:tr>
          </w:tbl>
          <w:p w14:paraId="268B6034">
            <w:pPr>
              <w:pStyle w:val="2"/>
              <w:spacing w:before="0" w:after="0" w:line="420" w:lineRule="exact"/>
              <w:ind w:righ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本项目油墨、清洗剂、废抹布、废包装桶、废油桶、废活性炭</w:t>
            </w:r>
            <w:r>
              <w:rPr>
                <w:b w:val="0"/>
                <w:bCs w:val="0"/>
                <w:color w:val="000000" w:themeColor="text1"/>
                <w:sz w:val="21"/>
                <w:szCs w:val="21"/>
                <w:highlight w:val="none"/>
                <w14:textFill>
                  <w14:solidFill>
                    <w14:schemeClr w14:val="tx1"/>
                  </w14:solidFill>
                </w14:textFill>
              </w:rPr>
              <w:t>以</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危害水环境物质（急性毒性类别1）</w:t>
            </w:r>
            <w:r>
              <w:rPr>
                <w:b w:val="0"/>
                <w:bCs w:val="0"/>
                <w:color w:val="000000" w:themeColor="text1"/>
                <w:sz w:val="21"/>
                <w:szCs w:val="21"/>
                <w:highlight w:val="none"/>
                <w14:textFill>
                  <w14:solidFill>
                    <w14:schemeClr w14:val="tx1"/>
                  </w14:solidFill>
                </w14:textFill>
              </w:rPr>
              <w:t>计，临界量为</w:t>
            </w:r>
            <w:r>
              <w:rPr>
                <w:rFonts w:hint="eastAsia"/>
                <w:b w:val="0"/>
                <w:bCs w:val="0"/>
                <w:color w:val="000000" w:themeColor="text1"/>
                <w:sz w:val="21"/>
                <w:szCs w:val="21"/>
                <w:highlight w:val="none"/>
                <w:lang w:val="en-US" w:eastAsia="zh-CN"/>
                <w14:textFill>
                  <w14:solidFill>
                    <w14:schemeClr w14:val="tx1"/>
                  </w14:solidFill>
                </w14:textFill>
              </w:rPr>
              <w:t>10</w:t>
            </w:r>
            <w:r>
              <w:rPr>
                <w:b w:val="0"/>
                <w:bCs w:val="0"/>
                <w:color w:val="000000" w:themeColor="text1"/>
                <w:sz w:val="21"/>
                <w:szCs w:val="21"/>
                <w:highlight w:val="none"/>
                <w14:textFill>
                  <w14:solidFill>
                    <w14:schemeClr w14:val="tx1"/>
                  </w14:solidFill>
                </w14:textFill>
              </w:rPr>
              <w:t>0t</w:t>
            </w:r>
            <w:r>
              <w:rPr>
                <w:rFonts w:hint="eastAsia"/>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液压油</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废液压油</w:t>
            </w:r>
            <w:r>
              <w:rPr>
                <w:rFonts w:hint="eastAsia"/>
                <w:color w:val="000000" w:themeColor="text1"/>
                <w:sz w:val="21"/>
                <w:szCs w:val="21"/>
                <w:highlight w:val="none"/>
                <w14:textFill>
                  <w14:solidFill>
                    <w14:schemeClr w14:val="tx1"/>
                  </w14:solidFill>
                </w14:textFill>
              </w:rPr>
              <w:t>以油类物质计，临界量为2500t。</w:t>
            </w:r>
          </w:p>
          <w:p w14:paraId="698CB07E">
            <w:pPr>
              <w:spacing w:line="240" w:lineRule="auto"/>
              <w:ind w:firstLine="422" w:firstLineChars="20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表4.7-2 危险物质危害分类一览表</w:t>
            </w:r>
          </w:p>
          <w:tbl>
            <w:tblPr>
              <w:tblStyle w:val="23"/>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38"/>
              <w:gridCol w:w="3218"/>
              <w:gridCol w:w="3366"/>
            </w:tblGrid>
            <w:tr w14:paraId="0E3BC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8" w:type="dxa"/>
                  <w:tcBorders>
                    <w:tl2br w:val="nil"/>
                    <w:tr2bl w:val="nil"/>
                  </w:tcBorders>
                  <w:noWrap w:val="0"/>
                  <w:vAlign w:val="center"/>
                </w:tcPr>
                <w:p w14:paraId="1E55D656">
                  <w:pPr>
                    <w:spacing w:line="360" w:lineRule="auto"/>
                    <w:jc w:val="center"/>
                    <w:rPr>
                      <w:color w:val="000000" w:themeColor="text1"/>
                      <w:sz w:val="21"/>
                      <w:szCs w:val="21"/>
                      <w:vertAlign w:val="baseline"/>
                      <w14:textFill>
                        <w14:solidFill>
                          <w14:schemeClr w14:val="tx1"/>
                        </w14:solidFill>
                      </w14:textFill>
                    </w:rPr>
                  </w:pPr>
                  <w:r>
                    <w:rPr>
                      <w:b/>
                      <w:color w:val="000000" w:themeColor="text1"/>
                      <w:highlight w:val="none"/>
                      <w14:textFill>
                        <w14:solidFill>
                          <w14:schemeClr w14:val="tx1"/>
                        </w14:solidFill>
                      </w14:textFill>
                    </w:rPr>
                    <w:t>危险物质名称</w:t>
                  </w:r>
                </w:p>
              </w:tc>
              <w:tc>
                <w:tcPr>
                  <w:tcW w:w="3218" w:type="dxa"/>
                  <w:tcBorders>
                    <w:tl2br w:val="nil"/>
                    <w:tr2bl w:val="nil"/>
                  </w:tcBorders>
                  <w:noWrap w:val="0"/>
                  <w:vAlign w:val="center"/>
                </w:tcPr>
                <w:p w14:paraId="1854EFD2">
                  <w:pPr>
                    <w:spacing w:line="360" w:lineRule="auto"/>
                    <w:jc w:val="center"/>
                    <w:rPr>
                      <w:color w:val="000000" w:themeColor="text1"/>
                      <w:sz w:val="21"/>
                      <w:szCs w:val="21"/>
                      <w:vertAlign w:val="baseli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毒理毒性</w:t>
                  </w:r>
                </w:p>
              </w:tc>
              <w:tc>
                <w:tcPr>
                  <w:tcW w:w="3366" w:type="dxa"/>
                  <w:tcBorders>
                    <w:tl2br w:val="nil"/>
                    <w:tr2bl w:val="nil"/>
                  </w:tcBorders>
                  <w:noWrap w:val="0"/>
                  <w:vAlign w:val="center"/>
                </w:tcPr>
                <w:p w14:paraId="75CB7AF2">
                  <w:pPr>
                    <w:spacing w:line="360" w:lineRule="auto"/>
                    <w:jc w:val="center"/>
                    <w:rPr>
                      <w:rFonts w:hint="default" w:eastAsia="宋体"/>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危害分类</w:t>
                  </w:r>
                </w:p>
              </w:tc>
            </w:tr>
            <w:tr w14:paraId="5CE1E5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8" w:type="dxa"/>
                  <w:tcBorders>
                    <w:tl2br w:val="nil"/>
                    <w:tr2bl w:val="nil"/>
                  </w:tcBorders>
                  <w:noWrap w:val="0"/>
                  <w:vAlign w:val="center"/>
                </w:tcPr>
                <w:p w14:paraId="537DDED0">
                  <w:pPr>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油墨</w:t>
                  </w:r>
                </w:p>
              </w:tc>
              <w:tc>
                <w:tcPr>
                  <w:tcW w:w="3218" w:type="dxa"/>
                  <w:tcBorders>
                    <w:tl2br w:val="nil"/>
                    <w:tr2bl w:val="nil"/>
                  </w:tcBorders>
                  <w:noWrap w:val="0"/>
                  <w:vAlign w:val="center"/>
                </w:tcPr>
                <w:p w14:paraId="713778F1">
                  <w:pPr>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有毒</w:t>
                  </w:r>
                </w:p>
              </w:tc>
              <w:tc>
                <w:tcPr>
                  <w:tcW w:w="3366" w:type="dxa"/>
                  <w:tcBorders>
                    <w:tl2br w:val="nil"/>
                    <w:tr2bl w:val="nil"/>
                  </w:tcBorders>
                  <w:noWrap w:val="0"/>
                  <w:vAlign w:val="center"/>
                </w:tcPr>
                <w:p w14:paraId="20A87685">
                  <w:pPr>
                    <w:spacing w:line="240" w:lineRule="auto"/>
                    <w:jc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14:textFill>
                        <w14:solidFill>
                          <w14:schemeClr w14:val="tx1"/>
                        </w14:solidFill>
                      </w14:textFill>
                    </w:rPr>
                    <w:t>危害水环境物质（急性毒性类别1）</w:t>
                  </w:r>
                </w:p>
              </w:tc>
            </w:tr>
            <w:tr w14:paraId="24FB91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8" w:type="dxa"/>
                  <w:tcBorders>
                    <w:tl2br w:val="nil"/>
                    <w:tr2bl w:val="nil"/>
                  </w:tcBorders>
                  <w:noWrap w:val="0"/>
                  <w:vAlign w:val="center"/>
                </w:tcPr>
                <w:p w14:paraId="6027B22B">
                  <w:pPr>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清洗剂</w:t>
                  </w:r>
                </w:p>
              </w:tc>
              <w:tc>
                <w:tcPr>
                  <w:tcW w:w="3218" w:type="dxa"/>
                  <w:tcBorders>
                    <w:tl2br w:val="nil"/>
                    <w:tr2bl w:val="nil"/>
                  </w:tcBorders>
                  <w:noWrap w:val="0"/>
                  <w:vAlign w:val="center"/>
                </w:tcPr>
                <w:p w14:paraId="112923D9">
                  <w:pPr>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大鼠经口LD50：</w:t>
                  </w: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2500</w:t>
                  </w:r>
                  <w:r>
                    <w:rPr>
                      <w:rFonts w:hint="default" w:ascii="Times New Roman" w:hAnsi="Times New Roman" w:eastAsia="宋体" w:cs="Times New Roman"/>
                      <w:color w:val="000000" w:themeColor="text1"/>
                      <w:kern w:val="0"/>
                      <w:szCs w:val="21"/>
                      <w:lang w:bidi="ar"/>
                      <w14:textFill>
                        <w14:solidFill>
                          <w14:schemeClr w14:val="tx1"/>
                        </w14:solidFill>
                      </w14:textFill>
                    </w:rPr>
                    <w:t>mg/kg</w:t>
                  </w:r>
                  <w:r>
                    <w:rPr>
                      <w:rFonts w:hint="eastAsia" w:ascii="Times New Roman" w:hAnsi="Times New Roman" w:eastAsia="宋体" w:cs="Times New Roman"/>
                      <w:color w:val="000000" w:themeColor="text1"/>
                      <w:kern w:val="0"/>
                      <w:szCs w:val="21"/>
                      <w:lang w:eastAsia="zh-CN" w:bidi="ar"/>
                      <w14:textFill>
                        <w14:solidFill>
                          <w14:schemeClr w14:val="tx1"/>
                        </w14:solidFill>
                      </w14:textFill>
                    </w:rPr>
                    <w:t>，</w:t>
                  </w: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小</w:t>
                  </w:r>
                  <w:r>
                    <w:rPr>
                      <w:rFonts w:hint="default" w:ascii="Times New Roman" w:hAnsi="Times New Roman" w:eastAsia="宋体" w:cs="Times New Roman"/>
                      <w:color w:val="000000" w:themeColor="text1"/>
                      <w:kern w:val="0"/>
                      <w:szCs w:val="21"/>
                      <w:lang w:bidi="ar"/>
                      <w14:textFill>
                        <w14:solidFill>
                          <w14:schemeClr w14:val="tx1"/>
                        </w14:solidFill>
                      </w14:textFill>
                    </w:rPr>
                    <w:t>鼠经口LD50：</w:t>
                  </w: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1200</w:t>
                  </w:r>
                  <w:r>
                    <w:rPr>
                      <w:rFonts w:hint="default" w:ascii="Times New Roman" w:hAnsi="Times New Roman" w:eastAsia="宋体" w:cs="Times New Roman"/>
                      <w:color w:val="000000" w:themeColor="text1"/>
                      <w:kern w:val="0"/>
                      <w:szCs w:val="21"/>
                      <w:lang w:bidi="ar"/>
                      <w14:textFill>
                        <w14:solidFill>
                          <w14:schemeClr w14:val="tx1"/>
                        </w14:solidFill>
                      </w14:textFill>
                    </w:rPr>
                    <w:t>mg/kg</w:t>
                  </w:r>
                </w:p>
              </w:tc>
              <w:tc>
                <w:tcPr>
                  <w:tcW w:w="3366" w:type="dxa"/>
                  <w:tcBorders>
                    <w:tl2br w:val="nil"/>
                    <w:tr2bl w:val="nil"/>
                  </w:tcBorders>
                  <w:noWrap w:val="0"/>
                  <w:vAlign w:val="center"/>
                </w:tcPr>
                <w:p w14:paraId="50CF13F7">
                  <w:pPr>
                    <w:spacing w:line="240" w:lineRule="auto"/>
                    <w:jc w:val="center"/>
                    <w:rPr>
                      <w:b w:val="0"/>
                      <w:bCs w:val="0"/>
                      <w:color w:val="000000" w:themeColor="text1"/>
                      <w:sz w:val="21"/>
                      <w:szCs w:val="21"/>
                      <w:vertAlign w:val="baseline"/>
                      <w14:textFill>
                        <w14:solidFill>
                          <w14:schemeClr w14:val="tx1"/>
                        </w14:solidFill>
                      </w14:textFill>
                    </w:rPr>
                  </w:pPr>
                  <w:r>
                    <w:rPr>
                      <w:rFonts w:hint="eastAsia"/>
                      <w:b w:val="0"/>
                      <w:bCs w:val="0"/>
                      <w:color w:val="000000" w:themeColor="text1"/>
                      <w14:textFill>
                        <w14:solidFill>
                          <w14:schemeClr w14:val="tx1"/>
                        </w14:solidFill>
                      </w14:textFill>
                    </w:rPr>
                    <w:t>危害水环境物质（急性毒性类别1）</w:t>
                  </w:r>
                </w:p>
              </w:tc>
            </w:tr>
            <w:tr w14:paraId="42FD78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8" w:type="dxa"/>
                  <w:tcBorders>
                    <w:tl2br w:val="nil"/>
                    <w:tr2bl w:val="nil"/>
                  </w:tcBorders>
                  <w:noWrap w:val="0"/>
                  <w:vAlign w:val="center"/>
                </w:tcPr>
                <w:p w14:paraId="7B6D7567">
                  <w:pPr>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液压油</w:t>
                  </w:r>
                </w:p>
              </w:tc>
              <w:tc>
                <w:tcPr>
                  <w:tcW w:w="3218" w:type="dxa"/>
                  <w:tcBorders>
                    <w:tl2br w:val="nil"/>
                    <w:tr2bl w:val="nil"/>
                  </w:tcBorders>
                  <w:noWrap w:val="0"/>
                  <w:vAlign w:val="center"/>
                </w:tcPr>
                <w:p w14:paraId="1C135CE4">
                  <w:pPr>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口服&gt;8000mg/kg</w:t>
                  </w:r>
                </w:p>
              </w:tc>
              <w:tc>
                <w:tcPr>
                  <w:tcW w:w="3366" w:type="dxa"/>
                  <w:tcBorders>
                    <w:tl2br w:val="nil"/>
                    <w:tr2bl w:val="nil"/>
                  </w:tcBorders>
                  <w:noWrap w:val="0"/>
                  <w:vAlign w:val="center"/>
                </w:tcPr>
                <w:p w14:paraId="1627FBC9">
                  <w:pPr>
                    <w:spacing w:line="240" w:lineRule="auto"/>
                    <w:jc w:val="center"/>
                    <w:rPr>
                      <w:b w:val="0"/>
                      <w:bCs w:val="0"/>
                      <w:color w:val="000000" w:themeColor="text1"/>
                      <w:sz w:val="21"/>
                      <w:szCs w:val="21"/>
                      <w:vertAlign w:val="baseline"/>
                      <w14:textFill>
                        <w14:solidFill>
                          <w14:schemeClr w14:val="tx1"/>
                        </w14:solidFill>
                      </w14:textFill>
                    </w:rPr>
                  </w:pPr>
                  <w:r>
                    <w:rPr>
                      <w:rFonts w:hint="eastAsia"/>
                      <w:b w:val="0"/>
                      <w:bCs w:val="0"/>
                      <w:color w:val="000000" w:themeColor="text1"/>
                      <w14:textFill>
                        <w14:solidFill>
                          <w14:schemeClr w14:val="tx1"/>
                        </w14:solidFill>
                      </w14:textFill>
                    </w:rPr>
                    <w:t>危害水环境物质（急性毒性类别1）</w:t>
                  </w:r>
                </w:p>
              </w:tc>
            </w:tr>
          </w:tbl>
          <w:p w14:paraId="066F0038">
            <w:pPr>
              <w:pStyle w:val="2"/>
              <w:spacing w:before="0" w:after="0" w:line="420" w:lineRule="exact"/>
              <w:ind w:right="0" w:firstLine="422" w:firstLineChars="200"/>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4.7.2典型事故情形</w:t>
            </w:r>
          </w:p>
          <w:p w14:paraId="3B1A039A">
            <w:pPr>
              <w:pStyle w:val="2"/>
              <w:spacing w:before="0" w:after="0" w:line="420" w:lineRule="exact"/>
              <w:ind w:right="0" w:firstLine="420" w:firstLineChars="200"/>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本项目Q值为</w:t>
            </w:r>
            <w:r>
              <w:rPr>
                <w:rFonts w:hint="eastAsia"/>
                <w:color w:val="000000" w:themeColor="text1"/>
                <w:sz w:val="21"/>
                <w:szCs w:val="21"/>
                <w:highlight w:val="none"/>
                <w:lang w:val="en-US" w:eastAsia="zh-CN"/>
                <w14:textFill>
                  <w14:solidFill>
                    <w14:schemeClr w14:val="tx1"/>
                  </w14:solidFill>
                </w14:textFill>
              </w:rPr>
              <w:t>0.0212414</w:t>
            </w:r>
            <w:r>
              <w:rPr>
                <w:rFonts w:hint="eastAsia" w:ascii="Times New Roman" w:hAnsi="Times New Roman" w:eastAsia="宋体" w:cs="Times New Roman"/>
                <w:color w:val="000000" w:themeColor="text1"/>
                <w:sz w:val="21"/>
                <w:szCs w:val="21"/>
                <w:highlight w:val="none"/>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，环境风险潜势为Ⅰ，项目涉及的有毒有害和易燃易爆等危险物质以及其分布情况、影响途径、影响目标见表4.7-</w:t>
            </w:r>
            <w:r>
              <w:rPr>
                <w:rFonts w:hint="eastAsia" w:cs="Times New Roman"/>
                <w:color w:val="000000" w:themeColor="text1"/>
                <w:sz w:val="21"/>
                <w:szCs w:val="21"/>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w:t>
            </w:r>
          </w:p>
          <w:p w14:paraId="2C319A57">
            <w:pPr>
              <w:pStyle w:val="2"/>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表4.7-</w:t>
            </w:r>
            <w:r>
              <w:rPr>
                <w:rFonts w:hint="eastAsia"/>
                <w:b/>
                <w:bCs/>
                <w:color w:val="000000" w:themeColor="text1"/>
                <w:sz w:val="21"/>
                <w:szCs w:val="21"/>
                <w:lang w:val="en-US" w:eastAsia="zh-CN"/>
                <w14:textFill>
                  <w14:solidFill>
                    <w14:schemeClr w14:val="tx1"/>
                  </w14:solidFill>
                </w14:textFill>
              </w:rPr>
              <w:t>3</w:t>
            </w:r>
            <w:r>
              <w:rPr>
                <w:rFonts w:hint="eastAsia"/>
                <w:b/>
                <w:bCs/>
                <w:color w:val="000000" w:themeColor="text1"/>
                <w:sz w:val="21"/>
                <w:szCs w:val="21"/>
                <w14:textFill>
                  <w14:solidFill>
                    <w14:schemeClr w14:val="tx1"/>
                  </w14:solidFill>
                </w14:textFill>
              </w:rPr>
              <w:t>本项目</w:t>
            </w:r>
            <w:r>
              <w:rPr>
                <w:b/>
                <w:bCs/>
                <w:color w:val="000000" w:themeColor="text1"/>
                <w:sz w:val="21"/>
                <w:szCs w:val="21"/>
                <w14:textFill>
                  <w14:solidFill>
                    <w14:schemeClr w14:val="tx1"/>
                  </w14:solidFill>
                </w14:textFill>
              </w:rPr>
              <w:t>危险物质情况一览表</w:t>
            </w:r>
          </w:p>
          <w:tbl>
            <w:tblPr>
              <w:tblStyle w:val="22"/>
              <w:tblW w:w="4989"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430"/>
              <w:gridCol w:w="1126"/>
              <w:gridCol w:w="1859"/>
              <w:gridCol w:w="1337"/>
              <w:gridCol w:w="2258"/>
              <w:gridCol w:w="1486"/>
            </w:tblGrid>
            <w:tr w14:paraId="304291B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253" w:type="pct"/>
                  <w:shd w:val="clear" w:color="auto" w:fill="FFFFFF"/>
                  <w:noWrap w:val="0"/>
                  <w:vAlign w:val="center"/>
                </w:tcPr>
                <w:p w14:paraId="45328C98">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662" w:type="pct"/>
                  <w:shd w:val="clear" w:color="auto" w:fill="FFFFFF"/>
                  <w:noWrap w:val="0"/>
                  <w:vAlign w:val="center"/>
                </w:tcPr>
                <w:p w14:paraId="7F8AF2B2">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风险源</w:t>
                  </w:r>
                </w:p>
                <w:p w14:paraId="71B1A19D">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分布情况</w:t>
                  </w:r>
                </w:p>
              </w:tc>
              <w:tc>
                <w:tcPr>
                  <w:tcW w:w="1093" w:type="pct"/>
                  <w:shd w:val="clear" w:color="auto" w:fill="FFFFFF"/>
                  <w:noWrap w:val="0"/>
                  <w:vAlign w:val="center"/>
                </w:tcPr>
                <w:p w14:paraId="4D54368C">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主要危险</w:t>
                  </w:r>
                </w:p>
                <w:p w14:paraId="07A2BAC0">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物质</w:t>
                  </w:r>
                </w:p>
              </w:tc>
              <w:tc>
                <w:tcPr>
                  <w:tcW w:w="786" w:type="pct"/>
                  <w:shd w:val="clear" w:color="auto" w:fill="FFFFFF"/>
                  <w:noWrap w:val="0"/>
                  <w:vAlign w:val="center"/>
                </w:tcPr>
                <w:p w14:paraId="430D408F">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环境风险</w:t>
                  </w:r>
                </w:p>
                <w:p w14:paraId="71F7739E">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类型</w:t>
                  </w:r>
                </w:p>
              </w:tc>
              <w:tc>
                <w:tcPr>
                  <w:tcW w:w="1328" w:type="pct"/>
                  <w:shd w:val="clear" w:color="auto" w:fill="FFFFFF"/>
                  <w:noWrap w:val="0"/>
                  <w:vAlign w:val="center"/>
                </w:tcPr>
                <w:p w14:paraId="3D88F07E">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环境影响途径</w:t>
                  </w:r>
                </w:p>
              </w:tc>
              <w:tc>
                <w:tcPr>
                  <w:tcW w:w="874" w:type="pct"/>
                  <w:shd w:val="clear" w:color="auto" w:fill="FFFFFF"/>
                  <w:noWrap w:val="0"/>
                  <w:vAlign w:val="center"/>
                </w:tcPr>
                <w:p w14:paraId="1D5E49FD">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可能</w:t>
                  </w:r>
                  <w:r>
                    <w:rPr>
                      <w:rFonts w:hint="eastAsia"/>
                      <w:b/>
                      <w:color w:val="000000" w:themeColor="text1"/>
                      <w14:textFill>
                        <w14:solidFill>
                          <w14:schemeClr w14:val="tx1"/>
                        </w14:solidFill>
                      </w14:textFill>
                    </w:rPr>
                    <w:t>受</w:t>
                  </w:r>
                  <w:r>
                    <w:rPr>
                      <w:b/>
                      <w:color w:val="000000" w:themeColor="text1"/>
                      <w14:textFill>
                        <w14:solidFill>
                          <w14:schemeClr w14:val="tx1"/>
                        </w14:solidFill>
                      </w14:textFill>
                    </w:rPr>
                    <w:t>影响的</w:t>
                  </w:r>
                  <w:r>
                    <w:rPr>
                      <w:rFonts w:hint="eastAsia"/>
                      <w:b/>
                      <w:color w:val="000000" w:themeColor="text1"/>
                      <w14:textFill>
                        <w14:solidFill>
                          <w14:schemeClr w14:val="tx1"/>
                        </w14:solidFill>
                      </w14:textFill>
                    </w:rPr>
                    <w:t>环境</w:t>
                  </w:r>
                  <w:r>
                    <w:rPr>
                      <w:b/>
                      <w:color w:val="000000" w:themeColor="text1"/>
                      <w14:textFill>
                        <w14:solidFill>
                          <w14:schemeClr w14:val="tx1"/>
                        </w14:solidFill>
                      </w14:textFill>
                    </w:rPr>
                    <w:t>敏感目标</w:t>
                  </w:r>
                </w:p>
              </w:tc>
            </w:tr>
            <w:tr w14:paraId="30F9B3F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90" w:hRule="atLeast"/>
                <w:jc w:val="center"/>
              </w:trPr>
              <w:tc>
                <w:tcPr>
                  <w:tcW w:w="253" w:type="pct"/>
                  <w:vMerge w:val="restart"/>
                  <w:shd w:val="clear" w:color="auto" w:fill="FFFFFF"/>
                  <w:noWrap w:val="0"/>
                  <w:vAlign w:val="center"/>
                </w:tcPr>
                <w:p w14:paraId="30814B00">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662" w:type="pct"/>
                  <w:vMerge w:val="restart"/>
                  <w:noWrap w:val="0"/>
                  <w:vAlign w:val="center"/>
                </w:tcPr>
                <w:p w14:paraId="5B9431DF">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生产</w:t>
                  </w:r>
                  <w:r>
                    <w:rPr>
                      <w:rFonts w:hint="default" w:ascii="Times New Roman" w:hAnsi="Times New Roman" w:cs="Times New Roman"/>
                      <w:color w:val="000000" w:themeColor="text1"/>
                      <w:kern w:val="0"/>
                      <w:szCs w:val="21"/>
                      <w:lang w:val="en-US" w:eastAsia="zh-CN"/>
                      <w14:textFill>
                        <w14:solidFill>
                          <w14:schemeClr w14:val="tx1"/>
                        </w14:solidFill>
                      </w14:textFill>
                    </w:rPr>
                    <w:t>厂房</w:t>
                  </w:r>
                  <w:r>
                    <w:rPr>
                      <w:rFonts w:hint="default" w:ascii="Times New Roman" w:hAnsi="Times New Roman" w:cs="Times New Roman"/>
                      <w:color w:val="000000" w:themeColor="text1"/>
                      <w:kern w:val="0"/>
                      <w:szCs w:val="21"/>
                      <w14:textFill>
                        <w14:solidFill>
                          <w14:schemeClr w14:val="tx1"/>
                        </w14:solidFill>
                      </w14:textFill>
                    </w:rPr>
                    <w:t>（</w:t>
                  </w:r>
                  <w:r>
                    <w:rPr>
                      <w:rFonts w:hint="default" w:ascii="Times New Roman" w:hAnsi="Times New Roman" w:cs="Times New Roman"/>
                      <w:color w:val="000000" w:themeColor="text1"/>
                      <w:kern w:val="0"/>
                      <w:szCs w:val="21"/>
                      <w:lang w:val="en-US" w:eastAsia="zh-CN"/>
                      <w14:textFill>
                        <w14:solidFill>
                          <w14:schemeClr w14:val="tx1"/>
                        </w14:solidFill>
                      </w14:textFill>
                    </w:rPr>
                    <w:t>1层、2层</w:t>
                  </w:r>
                  <w:r>
                    <w:rPr>
                      <w:rFonts w:hint="default" w:ascii="Times New Roman" w:hAnsi="Times New Roman" w:cs="Times New Roman"/>
                      <w:color w:val="000000" w:themeColor="text1"/>
                      <w:kern w:val="0"/>
                      <w:szCs w:val="21"/>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原辅料</w:t>
                  </w:r>
                  <w:r>
                    <w:rPr>
                      <w:rFonts w:hint="eastAsia" w:cs="Times New Roman"/>
                      <w:color w:val="000000" w:themeColor="text1"/>
                      <w:szCs w:val="21"/>
                      <w:highlight w:val="none"/>
                      <w:lang w:val="en-US" w:eastAsia="zh-CN"/>
                      <w14:textFill>
                        <w14:solidFill>
                          <w14:schemeClr w14:val="tx1"/>
                        </w14:solidFill>
                      </w14:textFill>
                    </w:rPr>
                    <w:t>仓库、化学品库、</w:t>
                  </w:r>
                  <w:r>
                    <w:rPr>
                      <w:color w:val="000000" w:themeColor="text1"/>
                      <w:szCs w:val="21"/>
                      <w:highlight w:val="none"/>
                      <w14:textFill>
                        <w14:solidFill>
                          <w14:schemeClr w14:val="tx1"/>
                        </w14:solidFill>
                      </w14:textFill>
                    </w:rPr>
                    <w:t>成品</w:t>
                  </w:r>
                  <w:r>
                    <w:rPr>
                      <w:rFonts w:hint="eastAsia" w:cs="Times New Roman"/>
                      <w:color w:val="000000" w:themeColor="text1"/>
                      <w:szCs w:val="21"/>
                      <w:highlight w:val="none"/>
                      <w:lang w:val="en-US" w:eastAsia="zh-CN"/>
                      <w14:textFill>
                        <w14:solidFill>
                          <w14:schemeClr w14:val="tx1"/>
                        </w14:solidFill>
                      </w14:textFill>
                    </w:rPr>
                    <w:t>仓库</w:t>
                  </w:r>
                </w:p>
              </w:tc>
              <w:tc>
                <w:tcPr>
                  <w:tcW w:w="1093" w:type="pct"/>
                  <w:noWrap w:val="0"/>
                  <w:vAlign w:val="center"/>
                </w:tcPr>
                <w:p w14:paraId="58AAFF8C">
                  <w:pPr>
                    <w:jc w:val="center"/>
                    <w:rPr>
                      <w:rFonts w:hint="eastAsia"/>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油墨</w:t>
                  </w:r>
                </w:p>
              </w:tc>
              <w:tc>
                <w:tcPr>
                  <w:tcW w:w="786" w:type="pct"/>
                  <w:noWrap w:val="0"/>
                  <w:vAlign w:val="center"/>
                </w:tcPr>
                <w:p w14:paraId="5E549B97">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火灾、</w:t>
                  </w:r>
                  <w:r>
                    <w:rPr>
                      <w:color w:val="000000" w:themeColor="text1"/>
                      <w14:textFill>
                        <w14:solidFill>
                          <w14:schemeClr w14:val="tx1"/>
                        </w14:solidFill>
                      </w14:textFill>
                    </w:rPr>
                    <w:t>泄漏</w:t>
                  </w:r>
                </w:p>
              </w:tc>
              <w:tc>
                <w:tcPr>
                  <w:tcW w:w="1328" w:type="pct"/>
                  <w:noWrap w:val="0"/>
                  <w:vAlign w:val="center"/>
                </w:tcPr>
                <w:p w14:paraId="08AFD040">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大气、</w:t>
                  </w:r>
                  <w:r>
                    <w:rPr>
                      <w:color w:val="000000" w:themeColor="text1"/>
                      <w14:textFill>
                        <w14:solidFill>
                          <w14:schemeClr w14:val="tx1"/>
                        </w14:solidFill>
                      </w14:textFill>
                    </w:rPr>
                    <w:t>地表水、地下水</w:t>
                  </w:r>
                </w:p>
              </w:tc>
              <w:tc>
                <w:tcPr>
                  <w:tcW w:w="874" w:type="pct"/>
                  <w:noWrap w:val="0"/>
                  <w:vAlign w:val="center"/>
                </w:tcPr>
                <w:p w14:paraId="7E6E483E">
                  <w:pPr>
                    <w:adjustRightInd w:val="0"/>
                    <w:snapToGrid w:val="0"/>
                    <w:jc w:val="center"/>
                    <w:rPr>
                      <w:rFonts w:hint="eastAsia"/>
                      <w:color w:val="000000" w:themeColor="text1"/>
                      <w:szCs w:val="21"/>
                      <w14:textFill>
                        <w14:solidFill>
                          <w14:schemeClr w14:val="tx1"/>
                        </w14:solidFill>
                      </w14:textFill>
                    </w:rPr>
                  </w:pPr>
                  <w:r>
                    <w:rPr>
                      <w:color w:val="000000" w:themeColor="text1"/>
                      <w14:textFill>
                        <w14:solidFill>
                          <w14:schemeClr w14:val="tx1"/>
                        </w14:solidFill>
                      </w14:textFill>
                    </w:rPr>
                    <w:t>周边</w:t>
                  </w:r>
                  <w:r>
                    <w:rPr>
                      <w:rFonts w:hint="eastAsia"/>
                      <w:color w:val="000000" w:themeColor="text1"/>
                      <w14:textFill>
                        <w14:solidFill>
                          <w14:schemeClr w14:val="tx1"/>
                        </w14:solidFill>
                      </w14:textFill>
                    </w:rPr>
                    <w:t>居民、</w:t>
                  </w:r>
                  <w:r>
                    <w:rPr>
                      <w:color w:val="000000" w:themeColor="text1"/>
                      <w14:textFill>
                        <w14:solidFill>
                          <w14:schemeClr w14:val="tx1"/>
                        </w14:solidFill>
                      </w14:textFill>
                    </w:rPr>
                    <w:t>河流</w:t>
                  </w:r>
                </w:p>
              </w:tc>
            </w:tr>
            <w:tr w14:paraId="44B6E18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253" w:type="pct"/>
                  <w:vMerge w:val="continue"/>
                  <w:shd w:val="clear" w:color="auto" w:fill="FFFFFF"/>
                  <w:noWrap w:val="0"/>
                  <w:vAlign w:val="center"/>
                </w:tcPr>
                <w:p w14:paraId="3E2B9A31">
                  <w:pPr>
                    <w:adjustRightInd w:val="0"/>
                    <w:snapToGrid w:val="0"/>
                    <w:jc w:val="center"/>
                    <w:rPr>
                      <w:color w:val="000000" w:themeColor="text1"/>
                      <w14:textFill>
                        <w14:solidFill>
                          <w14:schemeClr w14:val="tx1"/>
                        </w14:solidFill>
                      </w14:textFill>
                    </w:rPr>
                  </w:pPr>
                </w:p>
              </w:tc>
              <w:tc>
                <w:tcPr>
                  <w:tcW w:w="662" w:type="pct"/>
                  <w:vMerge w:val="continue"/>
                  <w:noWrap w:val="0"/>
                  <w:vAlign w:val="center"/>
                </w:tcPr>
                <w:p w14:paraId="0340B7B8">
                  <w:pPr>
                    <w:adjustRightInd w:val="0"/>
                    <w:snapToGrid w:val="0"/>
                    <w:jc w:val="center"/>
                    <w:rPr>
                      <w:rFonts w:hint="eastAsia"/>
                      <w:color w:val="000000" w:themeColor="text1"/>
                      <w:kern w:val="0"/>
                      <w:szCs w:val="21"/>
                      <w14:textFill>
                        <w14:solidFill>
                          <w14:schemeClr w14:val="tx1"/>
                        </w14:solidFill>
                      </w14:textFill>
                    </w:rPr>
                  </w:pPr>
                </w:p>
              </w:tc>
              <w:tc>
                <w:tcPr>
                  <w:tcW w:w="1093" w:type="pct"/>
                  <w:noWrap w:val="0"/>
                  <w:vAlign w:val="center"/>
                </w:tcPr>
                <w:p w14:paraId="004DDC58">
                  <w:pPr>
                    <w:jc w:val="center"/>
                    <w:rPr>
                      <w:rFonts w:hint="eastAsia"/>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清洗剂</w:t>
                  </w:r>
                </w:p>
              </w:tc>
              <w:tc>
                <w:tcPr>
                  <w:tcW w:w="786" w:type="pct"/>
                  <w:noWrap w:val="0"/>
                  <w:vAlign w:val="center"/>
                </w:tcPr>
                <w:p w14:paraId="5A3A3CFF">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火灾、</w:t>
                  </w:r>
                  <w:r>
                    <w:rPr>
                      <w:color w:val="000000" w:themeColor="text1"/>
                      <w14:textFill>
                        <w14:solidFill>
                          <w14:schemeClr w14:val="tx1"/>
                        </w14:solidFill>
                      </w14:textFill>
                    </w:rPr>
                    <w:t>泄漏</w:t>
                  </w:r>
                </w:p>
              </w:tc>
              <w:tc>
                <w:tcPr>
                  <w:tcW w:w="1328" w:type="pct"/>
                  <w:noWrap w:val="0"/>
                  <w:vAlign w:val="center"/>
                </w:tcPr>
                <w:p w14:paraId="7D5D740A">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大气、</w:t>
                  </w:r>
                  <w:r>
                    <w:rPr>
                      <w:color w:val="000000" w:themeColor="text1"/>
                      <w14:textFill>
                        <w14:solidFill>
                          <w14:schemeClr w14:val="tx1"/>
                        </w14:solidFill>
                      </w14:textFill>
                    </w:rPr>
                    <w:t>地表水、地下水</w:t>
                  </w:r>
                </w:p>
              </w:tc>
              <w:tc>
                <w:tcPr>
                  <w:tcW w:w="874" w:type="pct"/>
                  <w:noWrap w:val="0"/>
                  <w:vAlign w:val="center"/>
                </w:tcPr>
                <w:p w14:paraId="42AC538E">
                  <w:pPr>
                    <w:adjustRightInd w:val="0"/>
                    <w:snapToGrid w:val="0"/>
                    <w:jc w:val="center"/>
                    <w:rPr>
                      <w:rFonts w:hint="eastAsia"/>
                      <w:color w:val="000000" w:themeColor="text1"/>
                      <w:szCs w:val="21"/>
                      <w14:textFill>
                        <w14:solidFill>
                          <w14:schemeClr w14:val="tx1"/>
                        </w14:solidFill>
                      </w14:textFill>
                    </w:rPr>
                  </w:pPr>
                  <w:r>
                    <w:rPr>
                      <w:color w:val="000000" w:themeColor="text1"/>
                      <w14:textFill>
                        <w14:solidFill>
                          <w14:schemeClr w14:val="tx1"/>
                        </w14:solidFill>
                      </w14:textFill>
                    </w:rPr>
                    <w:t>周边</w:t>
                  </w:r>
                  <w:r>
                    <w:rPr>
                      <w:rFonts w:hint="eastAsia"/>
                      <w:color w:val="000000" w:themeColor="text1"/>
                      <w14:textFill>
                        <w14:solidFill>
                          <w14:schemeClr w14:val="tx1"/>
                        </w14:solidFill>
                      </w14:textFill>
                    </w:rPr>
                    <w:t>居民、</w:t>
                  </w:r>
                  <w:r>
                    <w:rPr>
                      <w:color w:val="000000" w:themeColor="text1"/>
                      <w14:textFill>
                        <w14:solidFill>
                          <w14:schemeClr w14:val="tx1"/>
                        </w14:solidFill>
                      </w14:textFill>
                    </w:rPr>
                    <w:t>河流</w:t>
                  </w:r>
                </w:p>
              </w:tc>
            </w:tr>
            <w:tr w14:paraId="354C141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253" w:type="pct"/>
                  <w:vMerge w:val="continue"/>
                  <w:shd w:val="clear" w:color="auto" w:fill="FFFFFF"/>
                  <w:noWrap w:val="0"/>
                  <w:vAlign w:val="center"/>
                </w:tcPr>
                <w:p w14:paraId="01A63195">
                  <w:pPr>
                    <w:adjustRightInd w:val="0"/>
                    <w:snapToGrid w:val="0"/>
                    <w:jc w:val="center"/>
                    <w:rPr>
                      <w:color w:val="000000" w:themeColor="text1"/>
                      <w14:textFill>
                        <w14:solidFill>
                          <w14:schemeClr w14:val="tx1"/>
                        </w14:solidFill>
                      </w14:textFill>
                    </w:rPr>
                  </w:pPr>
                </w:p>
              </w:tc>
              <w:tc>
                <w:tcPr>
                  <w:tcW w:w="662" w:type="pct"/>
                  <w:vMerge w:val="continue"/>
                  <w:noWrap w:val="0"/>
                  <w:vAlign w:val="center"/>
                </w:tcPr>
                <w:p w14:paraId="6BBCA33B">
                  <w:pPr>
                    <w:adjustRightInd w:val="0"/>
                    <w:snapToGrid w:val="0"/>
                    <w:jc w:val="center"/>
                    <w:rPr>
                      <w:rFonts w:hint="eastAsia"/>
                      <w:color w:val="000000" w:themeColor="text1"/>
                      <w:kern w:val="0"/>
                      <w:szCs w:val="21"/>
                      <w14:textFill>
                        <w14:solidFill>
                          <w14:schemeClr w14:val="tx1"/>
                        </w14:solidFill>
                      </w14:textFill>
                    </w:rPr>
                  </w:pPr>
                </w:p>
              </w:tc>
              <w:tc>
                <w:tcPr>
                  <w:tcW w:w="1093" w:type="pct"/>
                  <w:noWrap w:val="0"/>
                  <w:vAlign w:val="center"/>
                </w:tcPr>
                <w:p w14:paraId="1D13DFC9">
                  <w:pPr>
                    <w:jc w:val="center"/>
                    <w:rPr>
                      <w:rFonts w:hint="eastAsia" w:hAnsi="宋体" w:eastAsia="宋体" w:cs="宋体"/>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液压油</w:t>
                  </w:r>
                </w:p>
              </w:tc>
              <w:tc>
                <w:tcPr>
                  <w:tcW w:w="786" w:type="pct"/>
                  <w:noWrap w:val="0"/>
                  <w:vAlign w:val="center"/>
                </w:tcPr>
                <w:p w14:paraId="448F05F8">
                  <w:pPr>
                    <w:adjustRightInd w:val="0"/>
                    <w:snapToGrid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火灾、</w:t>
                  </w:r>
                  <w:r>
                    <w:rPr>
                      <w:color w:val="000000" w:themeColor="text1"/>
                      <w14:textFill>
                        <w14:solidFill>
                          <w14:schemeClr w14:val="tx1"/>
                        </w14:solidFill>
                      </w14:textFill>
                    </w:rPr>
                    <w:t>泄漏</w:t>
                  </w:r>
                </w:p>
              </w:tc>
              <w:tc>
                <w:tcPr>
                  <w:tcW w:w="1328" w:type="pct"/>
                  <w:noWrap w:val="0"/>
                  <w:vAlign w:val="center"/>
                </w:tcPr>
                <w:p w14:paraId="3BA99894">
                  <w:pPr>
                    <w:adjustRightInd w:val="0"/>
                    <w:snapToGrid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大气、</w:t>
                  </w:r>
                  <w:r>
                    <w:rPr>
                      <w:color w:val="000000" w:themeColor="text1"/>
                      <w14:textFill>
                        <w14:solidFill>
                          <w14:schemeClr w14:val="tx1"/>
                        </w14:solidFill>
                      </w14:textFill>
                    </w:rPr>
                    <w:t>地表水、地下水</w:t>
                  </w:r>
                </w:p>
              </w:tc>
              <w:tc>
                <w:tcPr>
                  <w:tcW w:w="874" w:type="pct"/>
                  <w:noWrap w:val="0"/>
                  <w:vAlign w:val="center"/>
                </w:tcPr>
                <w:p w14:paraId="019B9CE1">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周边</w:t>
                  </w:r>
                  <w:r>
                    <w:rPr>
                      <w:rFonts w:hint="eastAsia"/>
                      <w:color w:val="000000" w:themeColor="text1"/>
                      <w14:textFill>
                        <w14:solidFill>
                          <w14:schemeClr w14:val="tx1"/>
                        </w14:solidFill>
                      </w14:textFill>
                    </w:rPr>
                    <w:t>居民、</w:t>
                  </w:r>
                  <w:r>
                    <w:rPr>
                      <w:color w:val="000000" w:themeColor="text1"/>
                      <w14:textFill>
                        <w14:solidFill>
                          <w14:schemeClr w14:val="tx1"/>
                        </w14:solidFill>
                      </w14:textFill>
                    </w:rPr>
                    <w:t>河流</w:t>
                  </w:r>
                </w:p>
              </w:tc>
            </w:tr>
            <w:tr w14:paraId="57B3B60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253" w:type="pct"/>
                  <w:vMerge w:val="continue"/>
                  <w:shd w:val="clear" w:color="auto" w:fill="FFFFFF"/>
                  <w:noWrap w:val="0"/>
                  <w:vAlign w:val="center"/>
                </w:tcPr>
                <w:p w14:paraId="152507AC">
                  <w:pPr>
                    <w:adjustRightInd w:val="0"/>
                    <w:snapToGrid w:val="0"/>
                    <w:jc w:val="center"/>
                    <w:rPr>
                      <w:color w:val="000000" w:themeColor="text1"/>
                      <w14:textFill>
                        <w14:solidFill>
                          <w14:schemeClr w14:val="tx1"/>
                        </w14:solidFill>
                      </w14:textFill>
                    </w:rPr>
                  </w:pPr>
                </w:p>
              </w:tc>
              <w:tc>
                <w:tcPr>
                  <w:tcW w:w="662" w:type="pct"/>
                  <w:vMerge w:val="continue"/>
                  <w:noWrap w:val="0"/>
                  <w:vAlign w:val="center"/>
                </w:tcPr>
                <w:p w14:paraId="38BC2B0C">
                  <w:pPr>
                    <w:adjustRightInd w:val="0"/>
                    <w:snapToGrid w:val="0"/>
                    <w:jc w:val="center"/>
                    <w:rPr>
                      <w:rFonts w:hint="eastAsia"/>
                      <w:color w:val="000000" w:themeColor="text1"/>
                      <w:kern w:val="0"/>
                      <w:szCs w:val="21"/>
                      <w14:textFill>
                        <w14:solidFill>
                          <w14:schemeClr w14:val="tx1"/>
                        </w14:solidFill>
                      </w14:textFill>
                    </w:rPr>
                  </w:pPr>
                </w:p>
              </w:tc>
              <w:tc>
                <w:tcPr>
                  <w:tcW w:w="1093" w:type="pct"/>
                  <w:noWrap w:val="0"/>
                  <w:vAlign w:val="center"/>
                </w:tcPr>
                <w:p w14:paraId="60FD438F">
                  <w:pPr>
                    <w:jc w:val="center"/>
                    <w:rPr>
                      <w:rFonts w:hint="default" w:hAnsi="宋体" w:eastAsia="宋体" w:cs="宋体"/>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HDPE</w:t>
                  </w:r>
                  <w:r>
                    <w:rPr>
                      <w:rFonts w:hint="eastAsia" w:hAnsi="宋体" w:cs="宋体"/>
                      <w:color w:val="000000" w:themeColor="text1"/>
                      <w14:textFill>
                        <w14:solidFill>
                          <w14:schemeClr w14:val="tx1"/>
                        </w14:solidFill>
                      </w14:textFill>
                    </w:rPr>
                    <w:t>粒子</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成品</w:t>
                  </w:r>
                </w:p>
              </w:tc>
              <w:tc>
                <w:tcPr>
                  <w:tcW w:w="786" w:type="pct"/>
                  <w:noWrap w:val="0"/>
                  <w:vAlign w:val="center"/>
                </w:tcPr>
                <w:p w14:paraId="45324558">
                  <w:pPr>
                    <w:adjustRightInd w:val="0"/>
                    <w:snapToGrid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火灾</w:t>
                  </w:r>
                </w:p>
              </w:tc>
              <w:tc>
                <w:tcPr>
                  <w:tcW w:w="1328" w:type="pct"/>
                  <w:noWrap w:val="0"/>
                  <w:vAlign w:val="center"/>
                </w:tcPr>
                <w:p w14:paraId="32E965CA">
                  <w:pPr>
                    <w:adjustRightInd w:val="0"/>
                    <w:snapToGrid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大气</w:t>
                  </w:r>
                </w:p>
              </w:tc>
              <w:tc>
                <w:tcPr>
                  <w:tcW w:w="874" w:type="pct"/>
                  <w:noWrap w:val="0"/>
                  <w:vAlign w:val="center"/>
                </w:tcPr>
                <w:p w14:paraId="5EA9DB65">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周边</w:t>
                  </w:r>
                  <w:r>
                    <w:rPr>
                      <w:rFonts w:hint="eastAsia"/>
                      <w:color w:val="000000" w:themeColor="text1"/>
                      <w14:textFill>
                        <w14:solidFill>
                          <w14:schemeClr w14:val="tx1"/>
                        </w14:solidFill>
                      </w14:textFill>
                    </w:rPr>
                    <w:t>居民</w:t>
                  </w:r>
                </w:p>
              </w:tc>
            </w:tr>
            <w:tr w14:paraId="2C996F5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253" w:type="pct"/>
                  <w:vMerge w:val="restart"/>
                  <w:shd w:val="clear" w:color="auto" w:fill="FFFFFF"/>
                  <w:noWrap w:val="0"/>
                  <w:vAlign w:val="center"/>
                </w:tcPr>
                <w:p w14:paraId="411E20FC">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62" w:type="pct"/>
                  <w:vMerge w:val="restart"/>
                  <w:noWrap w:val="0"/>
                  <w:vAlign w:val="center"/>
                </w:tcPr>
                <w:p w14:paraId="56C3728D">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危废仓库</w:t>
                  </w:r>
                </w:p>
              </w:tc>
              <w:tc>
                <w:tcPr>
                  <w:tcW w:w="1093" w:type="pct"/>
                  <w:noWrap w:val="0"/>
                  <w:vAlign w:val="center"/>
                </w:tcPr>
                <w:p w14:paraId="163B2BD0">
                  <w:pPr>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废液压油</w:t>
                  </w:r>
                </w:p>
              </w:tc>
              <w:tc>
                <w:tcPr>
                  <w:tcW w:w="786" w:type="pct"/>
                  <w:noWrap w:val="0"/>
                  <w:vAlign w:val="center"/>
                </w:tcPr>
                <w:p w14:paraId="6BD83522">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火灾、</w:t>
                  </w:r>
                  <w:r>
                    <w:rPr>
                      <w:color w:val="000000" w:themeColor="text1"/>
                      <w14:textFill>
                        <w14:solidFill>
                          <w14:schemeClr w14:val="tx1"/>
                        </w14:solidFill>
                      </w14:textFill>
                    </w:rPr>
                    <w:t>泄漏</w:t>
                  </w:r>
                </w:p>
              </w:tc>
              <w:tc>
                <w:tcPr>
                  <w:tcW w:w="1328" w:type="pct"/>
                  <w:noWrap w:val="0"/>
                  <w:vAlign w:val="center"/>
                </w:tcPr>
                <w:p w14:paraId="376A32B9">
                  <w:pPr>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大气、</w:t>
                  </w:r>
                  <w:r>
                    <w:rPr>
                      <w:color w:val="000000" w:themeColor="text1"/>
                      <w14:textFill>
                        <w14:solidFill>
                          <w14:schemeClr w14:val="tx1"/>
                        </w14:solidFill>
                      </w14:textFill>
                    </w:rPr>
                    <w:t>地表水、地下水</w:t>
                  </w:r>
                </w:p>
              </w:tc>
              <w:tc>
                <w:tcPr>
                  <w:tcW w:w="874" w:type="pct"/>
                  <w:noWrap w:val="0"/>
                  <w:vAlign w:val="center"/>
                </w:tcPr>
                <w:p w14:paraId="58BE5BC9">
                  <w:pPr>
                    <w:adjustRightInd w:val="0"/>
                    <w:snapToGrid w:val="0"/>
                    <w:jc w:val="center"/>
                    <w:rPr>
                      <w:color w:val="000000" w:themeColor="text1"/>
                      <w:szCs w:val="21"/>
                      <w14:textFill>
                        <w14:solidFill>
                          <w14:schemeClr w14:val="tx1"/>
                        </w14:solidFill>
                      </w14:textFill>
                    </w:rPr>
                  </w:pPr>
                  <w:r>
                    <w:rPr>
                      <w:color w:val="000000" w:themeColor="text1"/>
                      <w14:textFill>
                        <w14:solidFill>
                          <w14:schemeClr w14:val="tx1"/>
                        </w14:solidFill>
                      </w14:textFill>
                    </w:rPr>
                    <w:t>周边</w:t>
                  </w:r>
                  <w:r>
                    <w:rPr>
                      <w:rFonts w:hint="eastAsia"/>
                      <w:color w:val="000000" w:themeColor="text1"/>
                      <w14:textFill>
                        <w14:solidFill>
                          <w14:schemeClr w14:val="tx1"/>
                        </w14:solidFill>
                      </w14:textFill>
                    </w:rPr>
                    <w:t>居民、</w:t>
                  </w:r>
                  <w:r>
                    <w:rPr>
                      <w:color w:val="000000" w:themeColor="text1"/>
                      <w14:textFill>
                        <w14:solidFill>
                          <w14:schemeClr w14:val="tx1"/>
                        </w14:solidFill>
                      </w14:textFill>
                    </w:rPr>
                    <w:t>河流</w:t>
                  </w:r>
                </w:p>
              </w:tc>
            </w:tr>
            <w:tr w14:paraId="3BE32EC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253" w:type="pct"/>
                  <w:vMerge w:val="continue"/>
                  <w:noWrap w:val="0"/>
                  <w:vAlign w:val="center"/>
                </w:tcPr>
                <w:p w14:paraId="507C72B4">
                  <w:pPr>
                    <w:adjustRightInd w:val="0"/>
                    <w:snapToGrid w:val="0"/>
                    <w:jc w:val="center"/>
                    <w:rPr>
                      <w:rFonts w:hint="eastAsia"/>
                      <w:color w:val="000000" w:themeColor="text1"/>
                      <w14:textFill>
                        <w14:solidFill>
                          <w14:schemeClr w14:val="tx1"/>
                        </w14:solidFill>
                      </w14:textFill>
                    </w:rPr>
                  </w:pPr>
                </w:p>
              </w:tc>
              <w:tc>
                <w:tcPr>
                  <w:tcW w:w="662" w:type="pct"/>
                  <w:vMerge w:val="continue"/>
                  <w:noWrap w:val="0"/>
                  <w:vAlign w:val="center"/>
                </w:tcPr>
                <w:p w14:paraId="7F599770">
                  <w:pPr>
                    <w:adjustRightInd w:val="0"/>
                    <w:snapToGrid w:val="0"/>
                    <w:jc w:val="center"/>
                    <w:rPr>
                      <w:color w:val="000000" w:themeColor="text1"/>
                      <w14:textFill>
                        <w14:solidFill>
                          <w14:schemeClr w14:val="tx1"/>
                        </w14:solidFill>
                      </w14:textFill>
                    </w:rPr>
                  </w:pPr>
                </w:p>
              </w:tc>
              <w:tc>
                <w:tcPr>
                  <w:tcW w:w="1093" w:type="pct"/>
                  <w:noWrap w:val="0"/>
                  <w:vAlign w:val="center"/>
                </w:tcPr>
                <w:p w14:paraId="25C38EBF">
                  <w:pPr>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废抹布</w:t>
                  </w:r>
                </w:p>
              </w:tc>
              <w:tc>
                <w:tcPr>
                  <w:tcW w:w="786" w:type="pct"/>
                  <w:noWrap w:val="0"/>
                  <w:vAlign w:val="center"/>
                </w:tcPr>
                <w:p w14:paraId="46359833">
                  <w:pPr>
                    <w:adjustRightInd w:val="0"/>
                    <w:snapToGrid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火灾、</w:t>
                  </w:r>
                  <w:r>
                    <w:rPr>
                      <w:color w:val="000000" w:themeColor="text1"/>
                      <w14:textFill>
                        <w14:solidFill>
                          <w14:schemeClr w14:val="tx1"/>
                        </w14:solidFill>
                      </w14:textFill>
                    </w:rPr>
                    <w:t>泄漏</w:t>
                  </w:r>
                </w:p>
              </w:tc>
              <w:tc>
                <w:tcPr>
                  <w:tcW w:w="1328" w:type="pct"/>
                  <w:noWrap w:val="0"/>
                  <w:vAlign w:val="center"/>
                </w:tcPr>
                <w:p w14:paraId="7A701620">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大气、</w:t>
                  </w:r>
                  <w:r>
                    <w:rPr>
                      <w:color w:val="000000" w:themeColor="text1"/>
                      <w14:textFill>
                        <w14:solidFill>
                          <w14:schemeClr w14:val="tx1"/>
                        </w14:solidFill>
                      </w14:textFill>
                    </w:rPr>
                    <w:t>地表水、地下水</w:t>
                  </w:r>
                </w:p>
              </w:tc>
              <w:tc>
                <w:tcPr>
                  <w:tcW w:w="874" w:type="pct"/>
                  <w:noWrap w:val="0"/>
                  <w:vAlign w:val="center"/>
                </w:tcPr>
                <w:p w14:paraId="05CB97C6">
                  <w:pPr>
                    <w:adjustRightInd w:val="0"/>
                    <w:snapToGrid w:val="0"/>
                    <w:jc w:val="center"/>
                    <w:rPr>
                      <w:rFonts w:hint="eastAsia"/>
                      <w:color w:val="000000" w:themeColor="text1"/>
                      <w:szCs w:val="21"/>
                      <w14:textFill>
                        <w14:solidFill>
                          <w14:schemeClr w14:val="tx1"/>
                        </w14:solidFill>
                      </w14:textFill>
                    </w:rPr>
                  </w:pPr>
                  <w:r>
                    <w:rPr>
                      <w:color w:val="000000" w:themeColor="text1"/>
                      <w14:textFill>
                        <w14:solidFill>
                          <w14:schemeClr w14:val="tx1"/>
                        </w14:solidFill>
                      </w14:textFill>
                    </w:rPr>
                    <w:t>周边</w:t>
                  </w:r>
                  <w:r>
                    <w:rPr>
                      <w:rFonts w:hint="eastAsia"/>
                      <w:color w:val="000000" w:themeColor="text1"/>
                      <w14:textFill>
                        <w14:solidFill>
                          <w14:schemeClr w14:val="tx1"/>
                        </w14:solidFill>
                      </w14:textFill>
                    </w:rPr>
                    <w:t>居民、</w:t>
                  </w:r>
                  <w:r>
                    <w:rPr>
                      <w:color w:val="000000" w:themeColor="text1"/>
                      <w14:textFill>
                        <w14:solidFill>
                          <w14:schemeClr w14:val="tx1"/>
                        </w14:solidFill>
                      </w14:textFill>
                    </w:rPr>
                    <w:t>河流</w:t>
                  </w:r>
                </w:p>
              </w:tc>
            </w:tr>
            <w:tr w14:paraId="77B2670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253" w:type="pct"/>
                  <w:vMerge w:val="continue"/>
                  <w:noWrap w:val="0"/>
                  <w:vAlign w:val="center"/>
                </w:tcPr>
                <w:p w14:paraId="2979D1AC">
                  <w:pPr>
                    <w:adjustRightInd w:val="0"/>
                    <w:snapToGrid w:val="0"/>
                    <w:jc w:val="center"/>
                    <w:rPr>
                      <w:rFonts w:hint="eastAsia"/>
                      <w:color w:val="000000" w:themeColor="text1"/>
                      <w14:textFill>
                        <w14:solidFill>
                          <w14:schemeClr w14:val="tx1"/>
                        </w14:solidFill>
                      </w14:textFill>
                    </w:rPr>
                  </w:pPr>
                </w:p>
              </w:tc>
              <w:tc>
                <w:tcPr>
                  <w:tcW w:w="662" w:type="pct"/>
                  <w:vMerge w:val="continue"/>
                  <w:noWrap w:val="0"/>
                  <w:vAlign w:val="center"/>
                </w:tcPr>
                <w:p w14:paraId="0CAB5092">
                  <w:pPr>
                    <w:adjustRightInd w:val="0"/>
                    <w:snapToGrid w:val="0"/>
                    <w:jc w:val="center"/>
                    <w:rPr>
                      <w:color w:val="000000" w:themeColor="text1"/>
                      <w14:textFill>
                        <w14:solidFill>
                          <w14:schemeClr w14:val="tx1"/>
                        </w14:solidFill>
                      </w14:textFill>
                    </w:rPr>
                  </w:pPr>
                </w:p>
              </w:tc>
              <w:tc>
                <w:tcPr>
                  <w:tcW w:w="1093" w:type="pct"/>
                  <w:noWrap w:val="0"/>
                  <w:vAlign w:val="center"/>
                </w:tcPr>
                <w:p w14:paraId="2C4BB30F">
                  <w:pPr>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废包装桶</w:t>
                  </w:r>
                </w:p>
              </w:tc>
              <w:tc>
                <w:tcPr>
                  <w:tcW w:w="786" w:type="pct"/>
                  <w:noWrap w:val="0"/>
                  <w:vAlign w:val="center"/>
                </w:tcPr>
                <w:p w14:paraId="7BFDAB84">
                  <w:pPr>
                    <w:adjustRightInd w:val="0"/>
                    <w:snapToGrid w:val="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泄漏</w:t>
                  </w:r>
                </w:p>
              </w:tc>
              <w:tc>
                <w:tcPr>
                  <w:tcW w:w="1328" w:type="pct"/>
                  <w:noWrap w:val="0"/>
                  <w:vAlign w:val="center"/>
                </w:tcPr>
                <w:p w14:paraId="750618A7">
                  <w:pPr>
                    <w:adjustRightInd w:val="0"/>
                    <w:snapToGrid w:val="0"/>
                    <w:jc w:val="center"/>
                    <w:rPr>
                      <w:rFonts w:hint="eastAsia"/>
                      <w:color w:val="000000" w:themeColor="text1"/>
                      <w:szCs w:val="21"/>
                      <w14:textFill>
                        <w14:solidFill>
                          <w14:schemeClr w14:val="tx1"/>
                        </w14:solidFill>
                      </w14:textFill>
                    </w:rPr>
                  </w:pPr>
                  <w:r>
                    <w:rPr>
                      <w:color w:val="000000" w:themeColor="text1"/>
                      <w14:textFill>
                        <w14:solidFill>
                          <w14:schemeClr w14:val="tx1"/>
                        </w14:solidFill>
                      </w14:textFill>
                    </w:rPr>
                    <w:t>地表水、地下水</w:t>
                  </w:r>
                </w:p>
              </w:tc>
              <w:tc>
                <w:tcPr>
                  <w:tcW w:w="874" w:type="pct"/>
                  <w:noWrap w:val="0"/>
                  <w:vAlign w:val="center"/>
                </w:tcPr>
                <w:p w14:paraId="0E8CBCBC">
                  <w:pPr>
                    <w:adjustRightInd w:val="0"/>
                    <w:snapToGrid w:val="0"/>
                    <w:jc w:val="center"/>
                    <w:rPr>
                      <w:rFonts w:hint="eastAsia"/>
                      <w:color w:val="000000" w:themeColor="text1"/>
                      <w:szCs w:val="21"/>
                      <w14:textFill>
                        <w14:solidFill>
                          <w14:schemeClr w14:val="tx1"/>
                        </w14:solidFill>
                      </w14:textFill>
                    </w:rPr>
                  </w:pPr>
                  <w:r>
                    <w:rPr>
                      <w:color w:val="000000" w:themeColor="text1"/>
                      <w14:textFill>
                        <w14:solidFill>
                          <w14:schemeClr w14:val="tx1"/>
                        </w14:solidFill>
                      </w14:textFill>
                    </w:rPr>
                    <w:t>周边河流</w:t>
                  </w:r>
                </w:p>
              </w:tc>
            </w:tr>
            <w:tr w14:paraId="768775F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253" w:type="pct"/>
                  <w:vMerge w:val="continue"/>
                  <w:noWrap w:val="0"/>
                  <w:vAlign w:val="center"/>
                </w:tcPr>
                <w:p w14:paraId="53218B8D">
                  <w:pPr>
                    <w:adjustRightInd w:val="0"/>
                    <w:snapToGrid w:val="0"/>
                    <w:jc w:val="center"/>
                    <w:rPr>
                      <w:rFonts w:hint="eastAsia"/>
                      <w:color w:val="000000" w:themeColor="text1"/>
                      <w14:textFill>
                        <w14:solidFill>
                          <w14:schemeClr w14:val="tx1"/>
                        </w14:solidFill>
                      </w14:textFill>
                    </w:rPr>
                  </w:pPr>
                </w:p>
              </w:tc>
              <w:tc>
                <w:tcPr>
                  <w:tcW w:w="662" w:type="pct"/>
                  <w:vMerge w:val="continue"/>
                  <w:noWrap w:val="0"/>
                  <w:vAlign w:val="center"/>
                </w:tcPr>
                <w:p w14:paraId="10D2FD56">
                  <w:pPr>
                    <w:adjustRightInd w:val="0"/>
                    <w:snapToGrid w:val="0"/>
                    <w:jc w:val="center"/>
                    <w:rPr>
                      <w:color w:val="000000" w:themeColor="text1"/>
                      <w14:textFill>
                        <w14:solidFill>
                          <w14:schemeClr w14:val="tx1"/>
                        </w14:solidFill>
                      </w14:textFill>
                    </w:rPr>
                  </w:pPr>
                </w:p>
              </w:tc>
              <w:tc>
                <w:tcPr>
                  <w:tcW w:w="1093" w:type="pct"/>
                  <w:noWrap w:val="0"/>
                  <w:vAlign w:val="center"/>
                </w:tcPr>
                <w:p w14:paraId="70BAE209">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废油桶</w:t>
                  </w:r>
                </w:p>
              </w:tc>
              <w:tc>
                <w:tcPr>
                  <w:tcW w:w="786" w:type="pct"/>
                  <w:noWrap w:val="0"/>
                  <w:vAlign w:val="center"/>
                </w:tcPr>
                <w:p w14:paraId="31AE5235">
                  <w:pPr>
                    <w:adjustRightInd w:val="0"/>
                    <w:snapToGrid w:val="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泄漏</w:t>
                  </w:r>
                </w:p>
              </w:tc>
              <w:tc>
                <w:tcPr>
                  <w:tcW w:w="1328" w:type="pct"/>
                  <w:noWrap w:val="0"/>
                  <w:vAlign w:val="center"/>
                </w:tcPr>
                <w:p w14:paraId="0457440B">
                  <w:pPr>
                    <w:adjustRightInd w:val="0"/>
                    <w:snapToGrid w:val="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地表水、地下水</w:t>
                  </w:r>
                </w:p>
              </w:tc>
              <w:tc>
                <w:tcPr>
                  <w:tcW w:w="874" w:type="pct"/>
                  <w:noWrap w:val="0"/>
                  <w:vAlign w:val="center"/>
                </w:tcPr>
                <w:p w14:paraId="446C1192">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周边河流</w:t>
                  </w:r>
                </w:p>
              </w:tc>
            </w:tr>
            <w:tr w14:paraId="16F0947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253" w:type="pct"/>
                  <w:vMerge w:val="continue"/>
                  <w:noWrap w:val="0"/>
                  <w:vAlign w:val="center"/>
                </w:tcPr>
                <w:p w14:paraId="35760BE5">
                  <w:pPr>
                    <w:adjustRightInd w:val="0"/>
                    <w:snapToGrid w:val="0"/>
                    <w:jc w:val="center"/>
                    <w:rPr>
                      <w:rFonts w:hint="eastAsia"/>
                      <w:color w:val="000000" w:themeColor="text1"/>
                      <w14:textFill>
                        <w14:solidFill>
                          <w14:schemeClr w14:val="tx1"/>
                        </w14:solidFill>
                      </w14:textFill>
                    </w:rPr>
                  </w:pPr>
                </w:p>
              </w:tc>
              <w:tc>
                <w:tcPr>
                  <w:tcW w:w="662" w:type="pct"/>
                  <w:vMerge w:val="continue"/>
                  <w:noWrap w:val="0"/>
                  <w:vAlign w:val="center"/>
                </w:tcPr>
                <w:p w14:paraId="12598E3D">
                  <w:pPr>
                    <w:adjustRightInd w:val="0"/>
                    <w:snapToGrid w:val="0"/>
                    <w:jc w:val="center"/>
                    <w:rPr>
                      <w:color w:val="000000" w:themeColor="text1"/>
                      <w14:textFill>
                        <w14:solidFill>
                          <w14:schemeClr w14:val="tx1"/>
                        </w14:solidFill>
                      </w14:textFill>
                    </w:rPr>
                  </w:pPr>
                </w:p>
              </w:tc>
              <w:tc>
                <w:tcPr>
                  <w:tcW w:w="1093" w:type="pct"/>
                  <w:noWrap w:val="0"/>
                  <w:vAlign w:val="center"/>
                </w:tcPr>
                <w:p w14:paraId="69880D12">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废活性炭</w:t>
                  </w:r>
                </w:p>
              </w:tc>
              <w:tc>
                <w:tcPr>
                  <w:tcW w:w="786" w:type="pct"/>
                  <w:noWrap w:val="0"/>
                  <w:vAlign w:val="center"/>
                </w:tcPr>
                <w:p w14:paraId="5753260B">
                  <w:pPr>
                    <w:adjustRightInd w:val="0"/>
                    <w:snapToGrid w:val="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泄漏</w:t>
                  </w:r>
                </w:p>
              </w:tc>
              <w:tc>
                <w:tcPr>
                  <w:tcW w:w="1328" w:type="pct"/>
                  <w:noWrap w:val="0"/>
                  <w:vAlign w:val="center"/>
                </w:tcPr>
                <w:p w14:paraId="0A310D09">
                  <w:pPr>
                    <w:adjustRightInd w:val="0"/>
                    <w:snapToGrid w:val="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地表水、地下水</w:t>
                  </w:r>
                </w:p>
              </w:tc>
              <w:tc>
                <w:tcPr>
                  <w:tcW w:w="874" w:type="pct"/>
                  <w:noWrap w:val="0"/>
                  <w:vAlign w:val="center"/>
                </w:tcPr>
                <w:p w14:paraId="3EAEB91F">
                  <w:pPr>
                    <w:adjustRightInd w:val="0"/>
                    <w:snapToGrid w:val="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周边河流</w:t>
                  </w:r>
                </w:p>
              </w:tc>
            </w:tr>
          </w:tbl>
          <w:p w14:paraId="3BFE08A8">
            <w:pPr>
              <w:pStyle w:val="2"/>
              <w:spacing w:before="0" w:after="0" w:line="360" w:lineRule="auto"/>
              <w:ind w:right="0" w:firstLine="422" w:firstLineChars="20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4.7.</w:t>
            </w:r>
            <w:r>
              <w:rPr>
                <w:rFonts w:hint="eastAsia"/>
                <w:b/>
                <w:bCs/>
                <w:color w:val="000000" w:themeColor="text1"/>
                <w:sz w:val="21"/>
                <w:szCs w:val="21"/>
                <w14:textFill>
                  <w14:solidFill>
                    <w14:schemeClr w14:val="tx1"/>
                  </w14:solidFill>
                </w14:textFill>
              </w:rPr>
              <w:t>3</w:t>
            </w:r>
            <w:r>
              <w:rPr>
                <w:b/>
                <w:bCs/>
                <w:color w:val="000000" w:themeColor="text1"/>
                <w:sz w:val="21"/>
                <w:szCs w:val="21"/>
                <w14:textFill>
                  <w14:solidFill>
                    <w14:schemeClr w14:val="tx1"/>
                  </w14:solidFill>
                </w14:textFill>
              </w:rPr>
              <w:t>风险防范措施</w:t>
            </w:r>
          </w:p>
          <w:p w14:paraId="50811A33">
            <w:pPr>
              <w:pStyle w:val="6"/>
              <w:spacing w:line="360" w:lineRule="auto"/>
              <w:ind w:firstLine="420" w:firstLineChars="200"/>
              <w:rPr>
                <w:rFonts w:ascii="Times New Roman" w:eastAsia="宋体"/>
                <w:b w:val="0"/>
                <w:color w:val="000000" w:themeColor="text1"/>
                <w:sz w:val="21"/>
                <w:szCs w:val="21"/>
                <w14:textFill>
                  <w14:solidFill>
                    <w14:schemeClr w14:val="tx1"/>
                  </w14:solidFill>
                </w14:textFill>
              </w:rPr>
            </w:pPr>
            <w:r>
              <w:rPr>
                <w:rFonts w:ascii="Times New Roman" w:eastAsia="宋体"/>
                <w:b w:val="0"/>
                <w:color w:val="000000" w:themeColor="text1"/>
                <w:sz w:val="21"/>
                <w:szCs w:val="21"/>
                <w14:textFill>
                  <w14:solidFill>
                    <w14:schemeClr w14:val="tx1"/>
                  </w14:solidFill>
                </w14:textFill>
              </w:rPr>
              <w:t>建设项目选址于</w:t>
            </w:r>
            <w:r>
              <w:rPr>
                <w:rFonts w:hint="eastAsia" w:ascii="Times New Roman" w:eastAsia="宋体"/>
                <w:b w:val="0"/>
                <w:color w:val="000000" w:themeColor="text1"/>
                <w:sz w:val="21"/>
                <w:szCs w:val="21"/>
                <w14:textFill>
                  <w14:solidFill>
                    <w14:schemeClr w14:val="tx1"/>
                  </w14:solidFill>
                </w14:textFill>
              </w:rPr>
              <w:t>常熟市</w:t>
            </w:r>
            <w:r>
              <w:rPr>
                <w:rFonts w:hint="eastAsia" w:ascii="Times New Roman" w:eastAsia="宋体"/>
                <w:b w:val="0"/>
                <w:color w:val="000000" w:themeColor="text1"/>
                <w:sz w:val="21"/>
                <w:szCs w:val="21"/>
                <w:lang w:eastAsia="zh-CN"/>
                <w14:textFill>
                  <w14:solidFill>
                    <w14:schemeClr w14:val="tx1"/>
                  </w14:solidFill>
                </w14:textFill>
              </w:rPr>
              <w:t>东南街道银环路28-1号10幢102</w:t>
            </w:r>
            <w:r>
              <w:rPr>
                <w:rFonts w:ascii="Times New Roman" w:eastAsia="宋体"/>
                <w:b w:val="0"/>
                <w:color w:val="000000" w:themeColor="text1"/>
                <w:sz w:val="21"/>
                <w:szCs w:val="21"/>
                <w14:textFill>
                  <w14:solidFill>
                    <w14:schemeClr w14:val="tx1"/>
                  </w14:solidFill>
                </w14:textFill>
              </w:rPr>
              <w:t>，属于</w:t>
            </w:r>
            <w:r>
              <w:rPr>
                <w:rFonts w:hint="eastAsia" w:ascii="Times New Roman" w:eastAsia="宋体"/>
                <w:b w:val="0"/>
                <w:color w:val="000000" w:themeColor="text1"/>
                <w:sz w:val="21"/>
                <w:szCs w:val="21"/>
                <w14:textFill>
                  <w14:solidFill>
                    <w14:schemeClr w14:val="tx1"/>
                  </w14:solidFill>
                </w14:textFill>
              </w:rPr>
              <w:t>已规划的工业用地</w:t>
            </w:r>
            <w:r>
              <w:rPr>
                <w:rFonts w:ascii="Times New Roman" w:eastAsia="宋体"/>
                <w:b w:val="0"/>
                <w:color w:val="000000" w:themeColor="text1"/>
                <w:sz w:val="21"/>
                <w:szCs w:val="21"/>
                <w14:textFill>
                  <w14:solidFill>
                    <w14:schemeClr w14:val="tx1"/>
                  </w14:solidFill>
                </w14:textFill>
              </w:rPr>
              <w:t>。在厂区内的总平面设计上，严格按照《工业企业总平面设计规范》、《建筑设计防火规范》的要求，进行建筑物、厂区道路、给排水系统、供电通讯、消防设计、安全与卫生防护、绿化等平面与竖向布置使其满足国家相关规划、标准和规定的内容。</w:t>
            </w:r>
          </w:p>
          <w:p w14:paraId="65AD7D66">
            <w:pPr>
              <w:widowControl/>
              <w:spacing w:line="360" w:lineRule="auto"/>
              <w:ind w:firstLine="420" w:firstLineChars="20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建设单位</w:t>
            </w:r>
            <w:r>
              <w:rPr>
                <w:color w:val="000000" w:themeColor="text1"/>
                <w:kern w:val="0"/>
                <w:szCs w:val="21"/>
                <w14:textFill>
                  <w14:solidFill>
                    <w14:schemeClr w14:val="tx1"/>
                  </w14:solidFill>
                </w14:textFill>
              </w:rPr>
              <w:t>平时应与</w:t>
            </w:r>
            <w:r>
              <w:rPr>
                <w:rFonts w:hint="eastAsia"/>
                <w:color w:val="000000" w:themeColor="text1"/>
                <w:kern w:val="0"/>
                <w:szCs w:val="21"/>
                <w14:textFill>
                  <w14:solidFill>
                    <w14:schemeClr w14:val="tx1"/>
                  </w14:solidFill>
                </w14:textFill>
              </w:rPr>
              <w:t>常熟高新技术产业开发区管理委员会</w:t>
            </w:r>
            <w:r>
              <w:rPr>
                <w:color w:val="000000" w:themeColor="text1"/>
                <w:kern w:val="0"/>
                <w:szCs w:val="21"/>
                <w14:textFill>
                  <w14:solidFill>
                    <w14:schemeClr w14:val="tx1"/>
                  </w14:solidFill>
                </w14:textFill>
              </w:rPr>
              <w:t>、苏州市常熟生态环境局、常熟市环境监测站等相关部门建立衔接关系，将本公司可能发生的环境风险进行备案，以便发生事故时，尽可能</w:t>
            </w:r>
            <w:r>
              <w:rPr>
                <w:rFonts w:hint="eastAsia"/>
                <w:color w:val="000000" w:themeColor="text1"/>
                <w:kern w:val="0"/>
                <w:szCs w:val="21"/>
                <w14:textFill>
                  <w14:solidFill>
                    <w14:schemeClr w14:val="tx1"/>
                  </w14:solidFill>
                </w14:textFill>
              </w:rPr>
              <w:t>地</w:t>
            </w:r>
            <w:r>
              <w:rPr>
                <w:color w:val="000000" w:themeColor="text1"/>
                <w:kern w:val="0"/>
                <w:szCs w:val="21"/>
                <w14:textFill>
                  <w14:solidFill>
                    <w14:schemeClr w14:val="tx1"/>
                  </w14:solidFill>
                </w14:textFill>
              </w:rPr>
              <w:t>减少响应时间。</w:t>
            </w:r>
          </w:p>
          <w:p w14:paraId="0D22FC4D">
            <w:pPr>
              <w:pStyle w:val="2"/>
              <w:spacing w:before="0" w:after="0" w:line="360" w:lineRule="auto"/>
              <w:ind w:right="0"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针对公司的实际情况，突发环境事件主要为原料</w:t>
            </w:r>
            <w:r>
              <w:rPr>
                <w:rFonts w:hint="eastAsia"/>
                <w:color w:val="000000" w:themeColor="text1"/>
                <w:sz w:val="21"/>
                <w:szCs w:val="21"/>
                <w14:textFill>
                  <w14:solidFill>
                    <w14:schemeClr w14:val="tx1"/>
                  </w14:solidFill>
                </w14:textFill>
              </w:rPr>
              <w:t>泄漏、火灾事故、废气处理设施故障</w:t>
            </w:r>
            <w:r>
              <w:rPr>
                <w:color w:val="000000" w:themeColor="text1"/>
                <w:sz w:val="21"/>
                <w:szCs w:val="21"/>
                <w14:textFill>
                  <w14:solidFill>
                    <w14:schemeClr w14:val="tx1"/>
                  </w14:solidFill>
                </w14:textFill>
              </w:rPr>
              <w:t>等事故，应采取有效的</w:t>
            </w:r>
            <w:r>
              <w:rPr>
                <w:rFonts w:hint="eastAsia"/>
                <w:color w:val="000000" w:themeColor="text1"/>
                <w:sz w:val="21"/>
                <w:szCs w:val="21"/>
                <w14:textFill>
                  <w14:solidFill>
                    <w14:schemeClr w14:val="tx1"/>
                  </w14:solidFill>
                </w14:textFill>
              </w:rPr>
              <w:t>防范及应急处置</w:t>
            </w:r>
            <w:r>
              <w:rPr>
                <w:color w:val="000000" w:themeColor="text1"/>
                <w:sz w:val="21"/>
                <w:szCs w:val="21"/>
                <w14:textFill>
                  <w14:solidFill>
                    <w14:schemeClr w14:val="tx1"/>
                  </w14:solidFill>
                </w14:textFill>
              </w:rPr>
              <w:t>措施，归纳如下：</w:t>
            </w:r>
          </w:p>
          <w:p w14:paraId="5E790F21">
            <w:pPr>
              <w:pStyle w:val="6"/>
              <w:spacing w:line="360" w:lineRule="auto"/>
              <w:ind w:firstLine="420" w:firstLineChars="200"/>
              <w:rPr>
                <w:rFonts w:ascii="Times New Roman" w:eastAsia="宋体"/>
                <w:b w:val="0"/>
                <w:bCs/>
                <w:color w:val="000000" w:themeColor="text1"/>
                <w:sz w:val="21"/>
                <w:szCs w:val="21"/>
                <w14:textFill>
                  <w14:solidFill>
                    <w14:schemeClr w14:val="tx1"/>
                  </w14:solidFill>
                </w14:textFill>
              </w:rPr>
            </w:pPr>
            <w:r>
              <w:rPr>
                <w:rFonts w:hint="eastAsia" w:ascii="Times New Roman" w:eastAsia="宋体"/>
                <w:b w:val="0"/>
                <w:bCs/>
                <w:color w:val="000000" w:themeColor="text1"/>
                <w:sz w:val="21"/>
                <w:szCs w:val="21"/>
                <w14:textFill>
                  <w14:solidFill>
                    <w14:schemeClr w14:val="tx1"/>
                  </w14:solidFill>
                </w14:textFill>
              </w:rPr>
              <w:t>①火灾事故预防及处置措施</w:t>
            </w:r>
          </w:p>
          <w:p w14:paraId="1F85252F">
            <w:pPr>
              <w:pStyle w:val="6"/>
              <w:spacing w:line="360" w:lineRule="auto"/>
              <w:ind w:firstLine="420" w:firstLineChars="200"/>
              <w:jc w:val="left"/>
              <w:rPr>
                <w:rFonts w:ascii="Times New Roman" w:eastAsia="宋体"/>
                <w:b w:val="0"/>
                <w:bCs/>
                <w:color w:val="000000" w:themeColor="text1"/>
                <w:sz w:val="21"/>
                <w:szCs w:val="21"/>
                <w14:textFill>
                  <w14:solidFill>
                    <w14:schemeClr w14:val="tx1"/>
                  </w14:solidFill>
                </w14:textFill>
              </w:rPr>
            </w:pPr>
            <w:r>
              <w:rPr>
                <w:rFonts w:hint="eastAsia" w:ascii="Times New Roman" w:eastAsia="宋体"/>
                <w:b w:val="0"/>
                <w:bCs/>
                <w:color w:val="000000" w:themeColor="text1"/>
                <w:sz w:val="21"/>
                <w:szCs w:val="21"/>
                <w14:textFill>
                  <w14:solidFill>
                    <w14:schemeClr w14:val="tx1"/>
                  </w14:solidFill>
                </w14:textFill>
              </w:rPr>
              <w:t>a.落实逐级消防安全责任制和岗位消防安全责任制，落实巡查检查制度；</w:t>
            </w:r>
          </w:p>
          <w:p w14:paraId="7256540B">
            <w:pPr>
              <w:pStyle w:val="7"/>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b.企业应组建应急救援队伍，定期安排专业人员对应急救援队伍进行培训</w:t>
            </w:r>
          </w:p>
          <w:p w14:paraId="705A3285">
            <w:pPr>
              <w:pStyle w:val="7"/>
              <w:spacing w:line="360" w:lineRule="auto"/>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c.定期组织员工进行应急培训和演练；</w:t>
            </w:r>
          </w:p>
          <w:p w14:paraId="30BAFA37">
            <w:pPr>
              <w:pStyle w:val="7"/>
              <w:spacing w:line="360" w:lineRule="auto"/>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d.保质保量地足额配备消防器材、应急救援设施，并定期对其进行维护保养；</w:t>
            </w:r>
          </w:p>
          <w:p w14:paraId="0B537137">
            <w:pPr>
              <w:pStyle w:val="7"/>
              <w:spacing w:line="360" w:lineRule="auto"/>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e.加强设备的安全管理，定期对设备进行安全检测，检测内容、时间、人员有记录保存，安全检测根据设备的安全性、危险性设定检测频次；</w:t>
            </w:r>
          </w:p>
          <w:p w14:paraId="7D6464E1">
            <w:pPr>
              <w:pStyle w:val="7"/>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f. 设置一定数量的火灾警报器以及可燃气体报警仪，分布在车间的各个部位。车间内配备必要的消防设施，包括消防栓、灭火器等。室外消防给水管网按环状布置，管网上设置室外地上式消防栓，消防栓旁设置钢制消防箱。</w:t>
            </w:r>
          </w:p>
          <w:p w14:paraId="60EEB5C5">
            <w:pPr>
              <w:pStyle w:val="6"/>
              <w:spacing w:line="360" w:lineRule="auto"/>
              <w:ind w:firstLine="420" w:firstLineChars="200"/>
              <w:jc w:val="left"/>
              <w:rPr>
                <w:rFonts w:ascii="Times New Roman" w:eastAsia="宋体"/>
                <w:b w:val="0"/>
                <w:bCs/>
                <w:color w:val="000000" w:themeColor="text1"/>
                <w:sz w:val="21"/>
                <w:szCs w:val="21"/>
                <w14:textFill>
                  <w14:solidFill>
                    <w14:schemeClr w14:val="tx1"/>
                  </w14:solidFill>
                </w14:textFill>
              </w:rPr>
            </w:pPr>
            <w:r>
              <w:rPr>
                <w:rFonts w:hint="eastAsia" w:ascii="Times New Roman" w:eastAsia="宋体"/>
                <w:b w:val="0"/>
                <w:bCs/>
                <w:color w:val="000000" w:themeColor="text1"/>
                <w:sz w:val="21"/>
                <w:szCs w:val="21"/>
                <w14:textFill>
                  <w14:solidFill>
                    <w14:schemeClr w14:val="tx1"/>
                  </w14:solidFill>
                </w14:textFill>
              </w:rPr>
              <w:t>g.火灾发生时，各岗位停止作业，关闭相关的机泵、电源，转移现场可燃或易燃物品。负责人立即上报应急救援小组，根据火势立即报警119；通知厂区职工按照平时演练的疏散路径和方法进行安全撤离；应急救援小组根据各自分工和职责，制定最佳救援方法并立即付诸实施。</w:t>
            </w:r>
          </w:p>
          <w:p w14:paraId="70046F6E">
            <w:pPr>
              <w:pStyle w:val="6"/>
              <w:spacing w:line="360" w:lineRule="auto"/>
              <w:ind w:firstLine="420" w:firstLineChars="200"/>
              <w:jc w:val="left"/>
              <w:rPr>
                <w:rFonts w:ascii="Times New Roman" w:eastAsia="宋体"/>
                <w:b w:val="0"/>
                <w:bCs/>
                <w:color w:val="000000" w:themeColor="text1"/>
                <w:sz w:val="21"/>
                <w:szCs w:val="21"/>
                <w14:textFill>
                  <w14:solidFill>
                    <w14:schemeClr w14:val="tx1"/>
                  </w14:solidFill>
                </w14:textFill>
              </w:rPr>
            </w:pPr>
            <w:r>
              <w:rPr>
                <w:rFonts w:hint="eastAsia" w:ascii="Times New Roman" w:eastAsia="宋体"/>
                <w:b w:val="0"/>
                <w:bCs/>
                <w:color w:val="000000" w:themeColor="text1"/>
                <w:sz w:val="21"/>
                <w:szCs w:val="21"/>
                <w14:textFill>
                  <w14:solidFill>
                    <w14:schemeClr w14:val="tx1"/>
                  </w14:solidFill>
                </w14:textFill>
              </w:rPr>
              <w:t>h. 火势扑灭后须对现场进行消洗，消洗水暂存收集桶内，事故结束后委托处置。其他清点、记录等善后工作按要求进行.</w:t>
            </w:r>
          </w:p>
          <w:p w14:paraId="3A1A0603">
            <w:pPr>
              <w:widowControl/>
              <w:spacing w:line="360" w:lineRule="auto"/>
              <w:ind w:firstLine="420" w:firstLineChars="200"/>
              <w:jc w:val="left"/>
              <w:rPr>
                <w:color w:val="000000" w:themeColor="text1"/>
                <w:kern w:val="0"/>
                <w:szCs w:val="21"/>
                <w:lang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②</w:t>
            </w:r>
            <w:r>
              <w:rPr>
                <w:rFonts w:hint="eastAsia"/>
                <w:color w:val="000000" w:themeColor="text1"/>
                <w:kern w:val="0"/>
                <w:szCs w:val="21"/>
                <w:lang w:bidi="ar"/>
                <w14:textFill>
                  <w14:solidFill>
                    <w14:schemeClr w14:val="tx1"/>
                  </w14:solidFill>
                </w14:textFill>
              </w:rPr>
              <w:t>火灾应急措施：</w:t>
            </w:r>
          </w:p>
          <w:p w14:paraId="3BAFF324">
            <w:pPr>
              <w:widowControl/>
              <w:numPr>
                <w:ilvl w:val="0"/>
                <w:numId w:val="0"/>
              </w:numPr>
              <w:spacing w:line="360" w:lineRule="auto"/>
              <w:ind w:firstLine="420" w:firstLineChars="200"/>
              <w:jc w:val="left"/>
              <w:rPr>
                <w:rFonts w:hint="eastAsia"/>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a.火灾事故</w:t>
            </w:r>
            <w:r>
              <w:rPr>
                <w:rFonts w:hint="eastAsia"/>
                <w:color w:val="000000" w:themeColor="text1"/>
                <w:kern w:val="0"/>
                <w:szCs w:val="21"/>
                <w:lang w:bidi="ar"/>
                <w14:textFill>
                  <w14:solidFill>
                    <w14:schemeClr w14:val="tx1"/>
                  </w14:solidFill>
                </w14:textFill>
              </w:rPr>
              <w:t>发生，各岗位停止作业，关闭相关的机泵、电源，转移现场可燃或易燃物品。负责人立即上报应急救援小组，根据火势立即报警119；通知厂区职工按照平时演练的疏散路径和方法进行安全撤离；</w:t>
            </w:r>
          </w:p>
          <w:p w14:paraId="006F91A0">
            <w:pPr>
              <w:widowControl/>
              <w:numPr>
                <w:ilvl w:val="0"/>
                <w:numId w:val="0"/>
              </w:numPr>
              <w:spacing w:line="360" w:lineRule="auto"/>
              <w:ind w:firstLine="420" w:firstLineChars="200"/>
              <w:jc w:val="left"/>
              <w:rPr>
                <w:rFonts w:hint="eastAsia"/>
                <w:color w:val="000000" w:themeColor="text1"/>
                <w:kern w:val="0"/>
                <w:szCs w:val="21"/>
                <w:lang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b.</w:t>
            </w:r>
            <w:r>
              <w:rPr>
                <w:rFonts w:hint="eastAsia"/>
                <w:color w:val="000000" w:themeColor="text1"/>
                <w:kern w:val="0"/>
                <w:szCs w:val="21"/>
                <w:lang w:bidi="ar"/>
                <w14:textFill>
                  <w14:solidFill>
                    <w14:schemeClr w14:val="tx1"/>
                  </w14:solidFill>
                </w14:textFill>
              </w:rPr>
              <w:t>应急救援小组根据各自分工和职责，制定最佳救援方法并立即付诸实施。关停物料转移泵，用附近的消火栓、黄沙箱及各类灭火器进行灭火；</w:t>
            </w:r>
          </w:p>
          <w:p w14:paraId="66C11D12">
            <w:pPr>
              <w:widowControl/>
              <w:numPr>
                <w:ilvl w:val="0"/>
                <w:numId w:val="0"/>
              </w:numPr>
              <w:spacing w:line="360" w:lineRule="auto"/>
              <w:ind w:firstLine="420" w:firstLineChars="200"/>
              <w:jc w:val="left"/>
              <w:rPr>
                <w:rFonts w:hint="eastAsia"/>
                <w:color w:val="000000" w:themeColor="text1"/>
                <w:kern w:val="0"/>
                <w:szCs w:val="21"/>
                <w:lang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c.</w:t>
            </w:r>
            <w:r>
              <w:rPr>
                <w:rFonts w:hint="eastAsia"/>
                <w:color w:val="000000" w:themeColor="text1"/>
                <w:kern w:val="0"/>
                <w:szCs w:val="21"/>
                <w:lang w:bidi="ar"/>
                <w14:textFill>
                  <w14:solidFill>
                    <w14:schemeClr w14:val="tx1"/>
                  </w14:solidFill>
                </w14:textFill>
              </w:rPr>
              <w:t>火势扑灭后须对现场进行消洗，消洗水暂存收集桶内，事故结束后委托处置。其他清点、记录等善后工作按要求进行；</w:t>
            </w:r>
          </w:p>
          <w:p w14:paraId="5BA6DE5C">
            <w:pPr>
              <w:widowControl/>
              <w:spacing w:line="360" w:lineRule="auto"/>
              <w:ind w:firstLine="420" w:firstLineChars="200"/>
              <w:jc w:val="left"/>
              <w:rPr>
                <w:rFonts w:hint="eastAsia"/>
                <w:color w:val="000000" w:themeColor="text1"/>
                <w:kern w:val="0"/>
                <w:szCs w:val="21"/>
                <w:lang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d.</w:t>
            </w:r>
            <w:r>
              <w:rPr>
                <w:rFonts w:hint="eastAsia"/>
                <w:color w:val="000000" w:themeColor="text1"/>
                <w:kern w:val="0"/>
                <w:szCs w:val="21"/>
                <w:lang w:bidi="ar"/>
                <w14:textFill>
                  <w14:solidFill>
                    <w14:schemeClr w14:val="tx1"/>
                  </w14:solidFill>
                </w14:textFill>
              </w:rPr>
              <w:t>若发生火灾，应立即使用灭火器进行扑救。在无法控制火势的情况下，迅速拨打119。</w:t>
            </w:r>
          </w:p>
          <w:p w14:paraId="30268E8E">
            <w:pPr>
              <w:pStyle w:val="6"/>
              <w:spacing w:line="360" w:lineRule="auto"/>
              <w:ind w:firstLine="420" w:firstLineChars="200"/>
              <w:jc w:val="left"/>
              <w:rPr>
                <w:rFonts w:ascii="Times New Roman" w:eastAsia="宋体"/>
                <w:b w:val="0"/>
                <w:bCs/>
                <w:color w:val="000000" w:themeColor="text1"/>
                <w:sz w:val="21"/>
                <w:szCs w:val="21"/>
                <w14:textFill>
                  <w14:solidFill>
                    <w14:schemeClr w14:val="tx1"/>
                  </w14:solidFill>
                </w14:textFill>
              </w:rPr>
            </w:pPr>
            <w:r>
              <w:rPr>
                <w:rFonts w:hint="eastAsia" w:ascii="Times New Roman" w:hAnsi="Times New Roman" w:eastAsia="宋体" w:cs="Times New Roman"/>
                <w:b w:val="0"/>
                <w:color w:val="000000" w:themeColor="text1"/>
                <w:kern w:val="0"/>
                <w:sz w:val="21"/>
                <w:szCs w:val="21"/>
                <w:lang w:val="en-US" w:eastAsia="zh-CN" w:bidi="ar"/>
                <w14:textFill>
                  <w14:solidFill>
                    <w14:schemeClr w14:val="tx1"/>
                  </w14:solidFill>
                </w14:textFill>
              </w:rPr>
              <w:t>应急物资：灭火器、消防栓、黄沙箱。</w:t>
            </w:r>
          </w:p>
          <w:p w14:paraId="0942C430">
            <w:pPr>
              <w:widowControl/>
              <w:spacing w:line="360" w:lineRule="auto"/>
              <w:ind w:firstLine="420" w:firstLineChars="200"/>
              <w:jc w:val="left"/>
              <w:rPr>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③</w:t>
            </w:r>
            <w:r>
              <w:rPr>
                <w:rFonts w:hint="eastAsia"/>
                <w:color w:val="000000" w:themeColor="text1"/>
                <w:kern w:val="0"/>
                <w:szCs w:val="21"/>
                <w:lang w:val="en-US" w:eastAsia="zh-CN"/>
                <w14:textFill>
                  <w14:solidFill>
                    <w14:schemeClr w14:val="tx1"/>
                  </w14:solidFill>
                </w14:textFill>
              </w:rPr>
              <w:t>原料</w:t>
            </w:r>
            <w:r>
              <w:rPr>
                <w:rFonts w:hint="eastAsia"/>
                <w:color w:val="000000" w:themeColor="text1"/>
                <w:kern w:val="0"/>
                <w:szCs w:val="21"/>
                <w14:textFill>
                  <w14:solidFill>
                    <w14:schemeClr w14:val="tx1"/>
                  </w14:solidFill>
                </w14:textFill>
              </w:rPr>
              <w:t>、危险废物泄漏的</w:t>
            </w:r>
            <w:r>
              <w:rPr>
                <w:rFonts w:hint="eastAsia"/>
                <w:color w:val="000000" w:themeColor="text1"/>
                <w:szCs w:val="21"/>
                <w14:textFill>
                  <w14:solidFill>
                    <w14:schemeClr w14:val="tx1"/>
                  </w14:solidFill>
                </w14:textFill>
              </w:rPr>
              <w:t>防范</w:t>
            </w:r>
            <w:r>
              <w:rPr>
                <w:rFonts w:hint="eastAsia"/>
                <w:color w:val="000000" w:themeColor="text1"/>
                <w:kern w:val="0"/>
                <w:szCs w:val="21"/>
                <w14:textFill>
                  <w14:solidFill>
                    <w14:schemeClr w14:val="tx1"/>
                  </w14:solidFill>
                </w14:textFill>
              </w:rPr>
              <w:t>措施：</w:t>
            </w:r>
          </w:p>
          <w:p w14:paraId="77651C08">
            <w:pPr>
              <w:pStyle w:val="6"/>
              <w:spacing w:line="360" w:lineRule="auto"/>
              <w:ind w:firstLine="420" w:firstLineChars="200"/>
              <w:rPr>
                <w:rFonts w:ascii="Times New Roman" w:eastAsia="宋体"/>
                <w:b w:val="0"/>
                <w:bCs/>
                <w:color w:val="000000" w:themeColor="text1"/>
                <w:sz w:val="21"/>
                <w:szCs w:val="21"/>
                <w14:textFill>
                  <w14:solidFill>
                    <w14:schemeClr w14:val="tx1"/>
                  </w14:solidFill>
                </w14:textFill>
              </w:rPr>
            </w:pPr>
            <w:r>
              <w:rPr>
                <w:rFonts w:hint="eastAsia" w:ascii="Times New Roman" w:eastAsia="宋体"/>
                <w:b w:val="0"/>
                <w:bCs/>
                <w:color w:val="000000" w:themeColor="text1"/>
                <w:sz w:val="21"/>
                <w:szCs w:val="21"/>
                <w14:textFill>
                  <w14:solidFill>
                    <w14:schemeClr w14:val="tx1"/>
                  </w14:solidFill>
                </w14:textFill>
              </w:rPr>
              <w:t>a.建立巡检巡查制度，设专人值班，定期巡检；</w:t>
            </w:r>
          </w:p>
          <w:p w14:paraId="5602721F">
            <w:pPr>
              <w:pStyle w:val="6"/>
              <w:spacing w:line="360" w:lineRule="auto"/>
              <w:ind w:firstLine="420" w:firstLineChars="200"/>
              <w:rPr>
                <w:rFonts w:ascii="Times New Roman" w:eastAsia="宋体"/>
                <w:b w:val="0"/>
                <w:bCs/>
                <w:color w:val="000000" w:themeColor="text1"/>
                <w:sz w:val="21"/>
                <w:szCs w:val="21"/>
                <w14:textFill>
                  <w14:solidFill>
                    <w14:schemeClr w14:val="tx1"/>
                  </w14:solidFill>
                </w14:textFill>
              </w:rPr>
            </w:pPr>
            <w:r>
              <w:rPr>
                <w:rFonts w:hint="eastAsia" w:ascii="Times New Roman" w:eastAsia="宋体"/>
                <w:b w:val="0"/>
                <w:bCs/>
                <w:color w:val="000000" w:themeColor="text1"/>
                <w:sz w:val="21"/>
                <w:szCs w:val="21"/>
                <w14:textFill>
                  <w14:solidFill>
                    <w14:schemeClr w14:val="tx1"/>
                  </w14:solidFill>
                </w14:textFill>
              </w:rPr>
              <w:t>b.定期组织人员进行培训和应急演练；</w:t>
            </w:r>
          </w:p>
          <w:p w14:paraId="6AFE6316">
            <w:pPr>
              <w:pStyle w:val="6"/>
              <w:spacing w:line="360" w:lineRule="auto"/>
              <w:ind w:firstLine="420" w:firstLineChars="200"/>
              <w:rPr>
                <w:rFonts w:ascii="Times New Roman" w:eastAsia="宋体"/>
                <w:b w:val="0"/>
                <w:bCs/>
                <w:color w:val="000000" w:themeColor="text1"/>
                <w:sz w:val="21"/>
                <w:szCs w:val="21"/>
                <w14:textFill>
                  <w14:solidFill>
                    <w14:schemeClr w14:val="tx1"/>
                  </w14:solidFill>
                </w14:textFill>
              </w:rPr>
            </w:pPr>
            <w:r>
              <w:rPr>
                <w:rFonts w:hint="eastAsia" w:ascii="Times New Roman" w:eastAsia="宋体"/>
                <w:b w:val="0"/>
                <w:bCs/>
                <w:color w:val="000000" w:themeColor="text1"/>
                <w:sz w:val="21"/>
                <w:szCs w:val="21"/>
                <w14:textFill>
                  <w14:solidFill>
                    <w14:schemeClr w14:val="tx1"/>
                  </w14:solidFill>
                </w14:textFill>
              </w:rPr>
              <w:t>c. 进出物料由专员负责，不使用时要封盖严密，每天检查是否有泄漏或其它安全隐患。</w:t>
            </w:r>
          </w:p>
          <w:p w14:paraId="2B69CB6E">
            <w:pPr>
              <w:pStyle w:val="6"/>
              <w:spacing w:line="360" w:lineRule="auto"/>
              <w:ind w:firstLine="420" w:firstLineChars="200"/>
              <w:rPr>
                <w:rFonts w:ascii="Times New Roman" w:eastAsia="宋体"/>
                <w:b w:val="0"/>
                <w:bCs/>
                <w:color w:val="000000" w:themeColor="text1"/>
                <w:sz w:val="21"/>
                <w:szCs w:val="21"/>
                <w14:textFill>
                  <w14:solidFill>
                    <w14:schemeClr w14:val="tx1"/>
                  </w14:solidFill>
                </w14:textFill>
              </w:rPr>
            </w:pPr>
            <w:r>
              <w:rPr>
                <w:rFonts w:hint="eastAsia" w:ascii="Times New Roman" w:eastAsia="宋体"/>
                <w:b w:val="0"/>
                <w:bCs/>
                <w:color w:val="000000" w:themeColor="text1"/>
                <w:sz w:val="21"/>
                <w:szCs w:val="21"/>
                <w14:textFill>
                  <w14:solidFill>
                    <w14:schemeClr w14:val="tx1"/>
                  </w14:solidFill>
                </w14:textFill>
              </w:rPr>
              <w:t>d.如油墨、清洗剂</w:t>
            </w:r>
            <w:r>
              <w:rPr>
                <w:rFonts w:hint="eastAsia" w:ascii="Times New Roman" w:eastAsia="宋体"/>
                <w:b w:val="0"/>
                <w:bCs/>
                <w:color w:val="000000" w:themeColor="text1"/>
                <w:sz w:val="21"/>
                <w:szCs w:val="21"/>
                <w:lang w:eastAsia="zh-CN"/>
                <w14:textFill>
                  <w14:solidFill>
                    <w14:schemeClr w14:val="tx1"/>
                  </w14:solidFill>
                </w14:textFill>
              </w:rPr>
              <w:t>、</w:t>
            </w:r>
            <w:r>
              <w:rPr>
                <w:rFonts w:hint="eastAsia" w:ascii="Times New Roman" w:eastAsia="宋体"/>
                <w:b w:val="0"/>
                <w:bCs/>
                <w:color w:val="000000" w:themeColor="text1"/>
                <w:sz w:val="21"/>
                <w:szCs w:val="21"/>
                <w:lang w:val="en-US" w:eastAsia="zh-CN"/>
                <w14:textFill>
                  <w14:solidFill>
                    <w14:schemeClr w14:val="tx1"/>
                  </w14:solidFill>
                </w14:textFill>
              </w:rPr>
              <w:t>液压油</w:t>
            </w:r>
            <w:r>
              <w:rPr>
                <w:rFonts w:hint="eastAsia" w:ascii="Times New Roman" w:eastAsia="宋体"/>
                <w:b w:val="0"/>
                <w:bCs/>
                <w:color w:val="000000" w:themeColor="text1"/>
                <w:sz w:val="21"/>
                <w:szCs w:val="21"/>
                <w14:textFill>
                  <w14:solidFill>
                    <w14:schemeClr w14:val="tx1"/>
                  </w14:solidFill>
                </w14:textFill>
              </w:rPr>
              <w:t>或者危险废物意外泄漏至地面时，先堵漏，再使用黄沙或吸附材料等进行处理，防止物料泄漏至附近水体，处理后的黄沙和吸附材料作为危废处理。</w:t>
            </w:r>
          </w:p>
          <w:p w14:paraId="164D4BB7">
            <w:pPr>
              <w:widowControl/>
              <w:spacing w:line="360" w:lineRule="auto"/>
              <w:ind w:firstLine="420" w:firstLineChars="200"/>
              <w:jc w:val="left"/>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应急物资：堵漏工具、黄沙、吸附材料</w:t>
            </w:r>
            <w:r>
              <w:rPr>
                <w:bCs/>
                <w:color w:val="000000" w:themeColor="text1"/>
                <w:szCs w:val="21"/>
                <w14:textFill>
                  <w14:solidFill>
                    <w14:schemeClr w14:val="tx1"/>
                  </w14:solidFill>
                </w14:textFill>
              </w:rPr>
              <w:t>。</w:t>
            </w:r>
          </w:p>
          <w:p w14:paraId="51B0A639">
            <w:pPr>
              <w:pStyle w:val="6"/>
              <w:spacing w:line="360" w:lineRule="auto"/>
              <w:ind w:firstLine="420" w:firstLineChars="200"/>
              <w:rPr>
                <w:rFonts w:ascii="Times New Roman" w:eastAsia="宋体"/>
                <w:b w:val="0"/>
                <w:color w:val="000000" w:themeColor="text1"/>
                <w:sz w:val="21"/>
                <w:szCs w:val="21"/>
                <w14:textFill>
                  <w14:solidFill>
                    <w14:schemeClr w14:val="tx1"/>
                  </w14:solidFill>
                </w14:textFill>
              </w:rPr>
            </w:pPr>
            <w:r>
              <w:rPr>
                <w:rFonts w:hint="eastAsia" w:ascii="Times New Roman" w:eastAsia="宋体"/>
                <w:b w:val="0"/>
                <w:color w:val="000000" w:themeColor="text1"/>
                <w:sz w:val="21"/>
                <w:szCs w:val="21"/>
                <w:lang w:val="en-US" w:eastAsia="zh-CN"/>
                <w14:textFill>
                  <w14:solidFill>
                    <w14:schemeClr w14:val="tx1"/>
                  </w14:solidFill>
                </w14:textFill>
              </w:rPr>
              <w:t>④</w:t>
            </w:r>
            <w:r>
              <w:rPr>
                <w:rFonts w:ascii="Times New Roman" w:eastAsia="宋体"/>
                <w:b w:val="0"/>
                <w:color w:val="000000" w:themeColor="text1"/>
                <w:sz w:val="21"/>
                <w:szCs w:val="21"/>
                <w14:textFill>
                  <w14:solidFill>
                    <w14:schemeClr w14:val="tx1"/>
                  </w14:solidFill>
                </w14:textFill>
              </w:rPr>
              <w:t>废气处理装置故障</w:t>
            </w:r>
            <w:r>
              <w:rPr>
                <w:rFonts w:hint="eastAsia" w:ascii="Times New Roman" w:eastAsia="宋体"/>
                <w:b w:val="0"/>
                <w:color w:val="000000" w:themeColor="text1"/>
                <w:sz w:val="21"/>
                <w:szCs w:val="21"/>
                <w14:textFill>
                  <w14:solidFill>
                    <w14:schemeClr w14:val="tx1"/>
                  </w14:solidFill>
                </w14:textFill>
              </w:rPr>
              <w:t>防范和</w:t>
            </w:r>
            <w:r>
              <w:rPr>
                <w:rFonts w:ascii="Times New Roman" w:eastAsia="宋体"/>
                <w:b w:val="0"/>
                <w:color w:val="000000" w:themeColor="text1"/>
                <w:sz w:val="21"/>
                <w:szCs w:val="21"/>
                <w14:textFill>
                  <w14:solidFill>
                    <w14:schemeClr w14:val="tx1"/>
                  </w14:solidFill>
                </w14:textFill>
              </w:rPr>
              <w:t>应急措施</w:t>
            </w:r>
          </w:p>
          <w:p w14:paraId="36CEE189">
            <w:pPr>
              <w:pStyle w:val="6"/>
              <w:spacing w:line="360" w:lineRule="auto"/>
              <w:ind w:firstLine="420" w:firstLineChars="200"/>
              <w:rPr>
                <w:rFonts w:ascii="Times New Roman" w:eastAsia="宋体"/>
                <w:b w:val="0"/>
                <w:bCs/>
                <w:color w:val="000000" w:themeColor="text1"/>
                <w:sz w:val="21"/>
                <w:szCs w:val="21"/>
                <w14:textFill>
                  <w14:solidFill>
                    <w14:schemeClr w14:val="tx1"/>
                  </w14:solidFill>
                </w14:textFill>
              </w:rPr>
            </w:pPr>
            <w:r>
              <w:rPr>
                <w:rFonts w:hint="eastAsia" w:ascii="Times New Roman" w:hAnsi="Times New Roman" w:eastAsia="宋体" w:cs="Times New Roman"/>
                <w:b w:val="0"/>
                <w:color w:val="000000" w:themeColor="text1"/>
                <w:sz w:val="21"/>
                <w:szCs w:val="21"/>
                <w14:textFill>
                  <w14:solidFill>
                    <w14:schemeClr w14:val="tx1"/>
                  </w14:solidFill>
                </w14:textFill>
              </w:rPr>
              <w:t>废气处理设施</w:t>
            </w:r>
            <w:r>
              <w:rPr>
                <w:rFonts w:ascii="Times New Roman" w:hAnsi="Times New Roman" w:eastAsia="宋体" w:cs="Times New Roman"/>
                <w:b w:val="0"/>
                <w:color w:val="000000" w:themeColor="text1"/>
                <w:sz w:val="21"/>
                <w:szCs w:val="21"/>
                <w14:textFill>
                  <w14:solidFill>
                    <w14:schemeClr w14:val="tx1"/>
                  </w14:solidFill>
                </w14:textFill>
              </w:rPr>
              <w:t>故障</w:t>
            </w:r>
            <w:r>
              <w:rPr>
                <w:rFonts w:hint="eastAsia" w:ascii="Times New Roman" w:hAnsi="Times New Roman" w:eastAsia="宋体" w:cs="Times New Roman"/>
                <w:b w:val="0"/>
                <w:color w:val="000000" w:themeColor="text1"/>
                <w:sz w:val="21"/>
                <w:szCs w:val="21"/>
                <w14:textFill>
                  <w14:solidFill>
                    <w14:schemeClr w14:val="tx1"/>
                  </w14:solidFill>
                </w14:textFill>
              </w:rPr>
              <w:t>会</w:t>
            </w:r>
            <w:r>
              <w:rPr>
                <w:rFonts w:ascii="Times New Roman" w:hAnsi="Times New Roman" w:eastAsia="宋体" w:cs="Times New Roman"/>
                <w:b w:val="0"/>
                <w:color w:val="000000" w:themeColor="text1"/>
                <w:sz w:val="21"/>
                <w:szCs w:val="21"/>
                <w14:textFill>
                  <w14:solidFill>
                    <w14:schemeClr w14:val="tx1"/>
                  </w14:solidFill>
                </w14:textFill>
              </w:rPr>
              <w:t>引起</w:t>
            </w:r>
            <w:r>
              <w:rPr>
                <w:rFonts w:hint="eastAsia" w:ascii="Times New Roman" w:hAnsi="Times New Roman" w:eastAsia="宋体" w:cs="Times New Roman"/>
                <w:b w:val="0"/>
                <w:color w:val="000000" w:themeColor="text1"/>
                <w:sz w:val="21"/>
                <w:szCs w:val="21"/>
                <w14:textFill>
                  <w14:solidFill>
                    <w14:schemeClr w14:val="tx1"/>
                  </w14:solidFill>
                </w14:textFill>
              </w:rPr>
              <w:t>非甲烷总烃超标</w:t>
            </w:r>
            <w:r>
              <w:rPr>
                <w:rFonts w:ascii="Times New Roman" w:hAnsi="Times New Roman" w:eastAsia="宋体" w:cs="Times New Roman"/>
                <w:b w:val="0"/>
                <w:color w:val="000000" w:themeColor="text1"/>
                <w:sz w:val="21"/>
                <w:szCs w:val="21"/>
                <w14:textFill>
                  <w14:solidFill>
                    <w14:schemeClr w14:val="tx1"/>
                  </w14:solidFill>
                </w14:textFill>
              </w:rPr>
              <w:t>排放</w:t>
            </w:r>
            <w:r>
              <w:rPr>
                <w:rFonts w:hint="eastAsia" w:ascii="Times New Roman" w:hAnsi="Times New Roman" w:eastAsia="宋体" w:cs="Times New Roman"/>
                <w:b w:val="0"/>
                <w:color w:val="000000" w:themeColor="text1"/>
                <w:sz w:val="21"/>
                <w:szCs w:val="21"/>
                <w14:textFill>
                  <w14:solidFill>
                    <w14:schemeClr w14:val="tx1"/>
                  </w14:solidFill>
                </w14:textFill>
              </w:rPr>
              <w:t>，影响周边大气环境质量。建设单位应加强废气处理设施日常巡查和维修保养工作，确保废气处理装置正常运行</w:t>
            </w:r>
            <w:r>
              <w:rPr>
                <w:rFonts w:ascii="Times New Roman" w:hAnsi="Times New Roman" w:eastAsia="宋体" w:cs="Times New Roman"/>
                <w:b w:val="0"/>
                <w:color w:val="000000" w:themeColor="text1"/>
                <w:sz w:val="21"/>
                <w:szCs w:val="21"/>
                <w14:textFill>
                  <w14:solidFill>
                    <w14:schemeClr w14:val="tx1"/>
                  </w14:solidFill>
                </w14:textFill>
              </w:rPr>
              <w:t>。</w:t>
            </w:r>
            <w:r>
              <w:rPr>
                <w:rFonts w:hint="eastAsia" w:ascii="Times New Roman" w:hAnsi="Times New Roman" w:eastAsia="宋体" w:cs="Times New Roman"/>
                <w:b w:val="0"/>
                <w:color w:val="000000" w:themeColor="text1"/>
                <w:sz w:val="21"/>
                <w:szCs w:val="21"/>
                <w14:textFill>
                  <w14:solidFill>
                    <w14:schemeClr w14:val="tx1"/>
                  </w14:solidFill>
                </w14:textFill>
              </w:rPr>
              <w:t>如出现废气处理装置故障，应立即停止对应工序的生产，进行</w:t>
            </w:r>
            <w:r>
              <w:rPr>
                <w:rFonts w:ascii="Times New Roman" w:hAnsi="Times New Roman" w:eastAsia="宋体" w:cs="Times New Roman"/>
                <w:b w:val="0"/>
                <w:color w:val="000000" w:themeColor="text1"/>
                <w:sz w:val="21"/>
                <w:szCs w:val="21"/>
                <w14:textFill>
                  <w14:solidFill>
                    <w14:schemeClr w14:val="tx1"/>
                  </w14:solidFill>
                </w14:textFill>
              </w:rPr>
              <w:t>设备故障的抢修</w:t>
            </w:r>
            <w:r>
              <w:rPr>
                <w:rFonts w:hint="eastAsia" w:ascii="Times New Roman" w:hAnsi="Times New Roman" w:eastAsia="宋体" w:cs="Times New Roman"/>
                <w:b w:val="0"/>
                <w:color w:val="000000" w:themeColor="text1"/>
                <w:sz w:val="21"/>
                <w:szCs w:val="21"/>
                <w14:textFill>
                  <w14:solidFill>
                    <w14:schemeClr w14:val="tx1"/>
                  </w14:solidFill>
                </w14:textFill>
              </w:rPr>
              <w:t>和</w:t>
            </w:r>
            <w:r>
              <w:rPr>
                <w:rFonts w:ascii="Times New Roman" w:hAnsi="Times New Roman" w:eastAsia="宋体" w:cs="Times New Roman"/>
                <w:b w:val="0"/>
                <w:color w:val="000000" w:themeColor="text1"/>
                <w:sz w:val="21"/>
                <w:szCs w:val="21"/>
                <w14:textFill>
                  <w14:solidFill>
                    <w14:schemeClr w14:val="tx1"/>
                  </w14:solidFill>
                </w14:textFill>
              </w:rPr>
              <w:t>事故原因分析</w:t>
            </w:r>
            <w:r>
              <w:rPr>
                <w:rFonts w:hint="eastAsia" w:ascii="Times New Roman" w:hAnsi="Times New Roman" w:eastAsia="宋体" w:cs="Times New Roman"/>
                <w:b w:val="0"/>
                <w:color w:val="000000" w:themeColor="text1"/>
                <w:sz w:val="21"/>
                <w:szCs w:val="21"/>
                <w14:textFill>
                  <w14:solidFill>
                    <w14:schemeClr w14:val="tx1"/>
                  </w14:solidFill>
                </w14:textFill>
              </w:rPr>
              <w:t>，避免类似事故的发生，检修完成废气处理装置正常运行后，方可进行对应工序的生产</w:t>
            </w:r>
            <w:r>
              <w:rPr>
                <w:rFonts w:hint="eastAsia" w:ascii="Times New Roman" w:eastAsia="宋体"/>
                <w:b w:val="0"/>
                <w:bCs/>
                <w:color w:val="000000" w:themeColor="text1"/>
                <w:sz w:val="21"/>
                <w:szCs w:val="21"/>
                <w14:textFill>
                  <w14:solidFill>
                    <w14:schemeClr w14:val="tx1"/>
                  </w14:solidFill>
                </w14:textFill>
              </w:rPr>
              <w:t>。</w:t>
            </w:r>
          </w:p>
          <w:p w14:paraId="5091D8B4">
            <w:pPr>
              <w:pStyle w:val="6"/>
              <w:spacing w:line="360" w:lineRule="auto"/>
              <w:ind w:firstLine="420" w:firstLineChars="200"/>
              <w:jc w:val="left"/>
              <w:rPr>
                <w:rFonts w:ascii="Times New Roman" w:eastAsia="宋体"/>
                <w:b w:val="0"/>
                <w:bCs/>
                <w:color w:val="000000" w:themeColor="text1"/>
                <w:sz w:val="21"/>
                <w:szCs w:val="21"/>
                <w:highlight w:val="none"/>
                <w14:textFill>
                  <w14:solidFill>
                    <w14:schemeClr w14:val="tx1"/>
                  </w14:solidFill>
                </w14:textFill>
              </w:rPr>
            </w:pPr>
            <w:r>
              <w:rPr>
                <w:rFonts w:hint="eastAsia" w:ascii="Times New Roman" w:eastAsia="宋体"/>
                <w:b w:val="0"/>
                <w:bCs/>
                <w:color w:val="000000" w:themeColor="text1"/>
                <w:sz w:val="21"/>
                <w:szCs w:val="21"/>
                <w:lang w:val="en-US" w:eastAsia="zh-CN"/>
                <w14:textFill>
                  <w14:solidFill>
                    <w14:schemeClr w14:val="tx1"/>
                  </w14:solidFill>
                </w14:textFill>
              </w:rPr>
              <w:t>⑤</w:t>
            </w:r>
            <w:r>
              <w:rPr>
                <w:rFonts w:hint="eastAsia" w:ascii="Times New Roman" w:eastAsia="宋体"/>
                <w:b w:val="0"/>
                <w:bCs/>
                <w:color w:val="000000" w:themeColor="text1"/>
                <w:sz w:val="21"/>
                <w:szCs w:val="21"/>
                <w14:textFill>
                  <w14:solidFill>
                    <w14:schemeClr w14:val="tx1"/>
                  </w14:solidFill>
                </w14:textFill>
              </w:rPr>
              <w:t>应急池建设</w:t>
            </w:r>
          </w:p>
          <w:p w14:paraId="46A8CBBF">
            <w:pPr>
              <w:widowControl/>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公司</w:t>
            </w:r>
            <w:r>
              <w:rPr>
                <w:rFonts w:hint="eastAsia"/>
                <w:color w:val="000000" w:themeColor="text1"/>
                <w:kern w:val="0"/>
                <w:szCs w:val="21"/>
                <w:highlight w:val="none"/>
                <w:lang w:bidi="ar"/>
                <w14:textFill>
                  <w14:solidFill>
                    <w14:schemeClr w14:val="tx1"/>
                  </w14:solidFill>
                </w14:textFill>
              </w:rPr>
              <w:t>拟</w:t>
            </w:r>
            <w:r>
              <w:rPr>
                <w:rFonts w:hint="eastAsia"/>
                <w:color w:val="000000" w:themeColor="text1"/>
                <w:kern w:val="0"/>
                <w:szCs w:val="21"/>
                <w:highlight w:val="none"/>
                <w:lang w:val="en-US" w:eastAsia="zh-CN" w:bidi="ar"/>
                <w14:textFill>
                  <w14:solidFill>
                    <w14:schemeClr w14:val="tx1"/>
                  </w14:solidFill>
                </w14:textFill>
              </w:rPr>
              <w:t>自行</w:t>
            </w:r>
            <w:r>
              <w:rPr>
                <w:rFonts w:hint="eastAsia"/>
                <w:color w:val="000000" w:themeColor="text1"/>
                <w:kern w:val="0"/>
                <w:szCs w:val="21"/>
                <w:highlight w:val="none"/>
                <w:lang w:bidi="ar"/>
                <w14:textFill>
                  <w14:solidFill>
                    <w14:schemeClr w14:val="tx1"/>
                  </w14:solidFill>
                </w14:textFill>
              </w:rPr>
              <w:t>建设一座</w:t>
            </w:r>
            <w:r>
              <w:rPr>
                <w:color w:val="000000" w:themeColor="text1"/>
                <w:kern w:val="0"/>
                <w:szCs w:val="21"/>
                <w:highlight w:val="none"/>
                <w:lang w:bidi="ar"/>
                <w14:textFill>
                  <w14:solidFill>
                    <w14:schemeClr w14:val="tx1"/>
                  </w14:solidFill>
                </w14:textFill>
              </w:rPr>
              <w:t>专门的事故应急池</w:t>
            </w:r>
            <w:r>
              <w:rPr>
                <w:rFonts w:hint="eastAsia"/>
                <w:color w:val="000000" w:themeColor="text1"/>
                <w:kern w:val="0"/>
                <w:szCs w:val="21"/>
                <w:highlight w:val="none"/>
                <w:lang w:bidi="ar"/>
                <w14:textFill>
                  <w14:solidFill>
                    <w14:schemeClr w14:val="tx1"/>
                  </w14:solidFill>
                </w14:textFill>
              </w:rPr>
              <w:t>（</w:t>
            </w:r>
            <w:r>
              <w:rPr>
                <w:rFonts w:hint="eastAsia"/>
                <w:color w:val="000000" w:themeColor="text1"/>
                <w:kern w:val="0"/>
                <w:szCs w:val="21"/>
                <w:highlight w:val="none"/>
                <w:lang w:val="en-US" w:eastAsia="zh-CN" w:bidi="ar"/>
                <w14:textFill>
                  <w14:solidFill>
                    <w14:schemeClr w14:val="tx1"/>
                  </w14:solidFill>
                </w14:textFill>
              </w:rPr>
              <w:t>地下式，415</w:t>
            </w:r>
            <w:r>
              <w:rPr>
                <w:color w:val="000000" w:themeColor="text1"/>
                <w:kern w:val="0"/>
                <w:szCs w:val="21"/>
                <w:highlight w:val="none"/>
                <w:lang w:bidi="ar"/>
                <w14:textFill>
                  <w14:solidFill>
                    <w14:schemeClr w14:val="tx1"/>
                  </w14:solidFill>
                </w14:textFill>
              </w:rPr>
              <w:t>m</w:t>
            </w:r>
            <w:r>
              <w:rPr>
                <w:color w:val="000000" w:themeColor="text1"/>
                <w:kern w:val="0"/>
                <w:szCs w:val="21"/>
                <w:highlight w:val="none"/>
                <w:vertAlign w:val="superscript"/>
                <w:lang w:bidi="ar"/>
                <w14:textFill>
                  <w14:solidFill>
                    <w14:schemeClr w14:val="tx1"/>
                  </w14:solidFill>
                </w14:textFill>
              </w:rPr>
              <w:t>3</w:t>
            </w:r>
            <w:r>
              <w:rPr>
                <w:rFonts w:hint="eastAsia"/>
                <w:color w:val="000000" w:themeColor="text1"/>
                <w:kern w:val="0"/>
                <w:szCs w:val="21"/>
                <w:highlight w:val="none"/>
                <w:lang w:bidi="ar"/>
                <w14:textFill>
                  <w14:solidFill>
                    <w14:schemeClr w14:val="tx1"/>
                  </w14:solidFill>
                </w14:textFill>
              </w:rPr>
              <w:t>）</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厂内事故状态的泄漏物</w:t>
            </w:r>
            <w:r>
              <w:rPr>
                <w:rFonts w:hint="eastAsia"/>
                <w:color w:val="000000" w:themeColor="text1"/>
                <w:kern w:val="0"/>
                <w:szCs w:val="21"/>
                <w:lang w:bidi="ar"/>
                <w14:textFill>
                  <w14:solidFill>
                    <w14:schemeClr w14:val="tx1"/>
                  </w14:solidFill>
                </w14:textFill>
              </w:rPr>
              <w:t>重力自流入</w:t>
            </w:r>
            <w:r>
              <w:rPr>
                <w:color w:val="000000" w:themeColor="text1"/>
                <w:kern w:val="0"/>
                <w:szCs w:val="21"/>
                <w:lang w:bidi="ar"/>
                <w14:textFill>
                  <w14:solidFill>
                    <w14:schemeClr w14:val="tx1"/>
                  </w14:solidFill>
                </w14:textFill>
              </w:rPr>
              <w:t>应急池中</w:t>
            </w:r>
            <w:r>
              <w:rPr>
                <w:rFonts w:hint="eastAsia"/>
                <w:color w:val="000000" w:themeColor="text1"/>
                <w:kern w:val="0"/>
                <w:szCs w:val="21"/>
                <w:lang w:bidi="ar"/>
                <w14:textFill>
                  <w14:solidFill>
                    <w14:schemeClr w14:val="tx1"/>
                  </w14:solidFill>
                </w14:textFill>
              </w:rPr>
              <w:t>，防止其对外环境产生影响。事故应急池的体积计算如下：</w:t>
            </w:r>
          </w:p>
          <w:p w14:paraId="682B9545">
            <w:pPr>
              <w:widowControl/>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参考《化工建设项目环境保护</w:t>
            </w:r>
            <w:r>
              <w:rPr>
                <w:rFonts w:hint="eastAsia"/>
                <w:color w:val="000000" w:themeColor="text1"/>
                <w:kern w:val="0"/>
                <w:szCs w:val="21"/>
                <w:lang w:eastAsia="zh-CN" w:bidi="ar"/>
                <w14:textFill>
                  <w14:solidFill>
                    <w14:schemeClr w14:val="tx1"/>
                  </w14:solidFill>
                </w14:textFill>
              </w:rPr>
              <w:t>设计规范</w:t>
            </w:r>
            <w:r>
              <w:rPr>
                <w:color w:val="000000" w:themeColor="text1"/>
                <w:kern w:val="0"/>
                <w:szCs w:val="21"/>
                <w:lang w:bidi="ar"/>
                <w14:textFill>
                  <w14:solidFill>
                    <w14:schemeClr w14:val="tx1"/>
                  </w14:solidFill>
                </w14:textFill>
              </w:rPr>
              <w:t>》（GB50483-20</w:t>
            </w:r>
            <w:r>
              <w:rPr>
                <w:rFonts w:hint="eastAsia"/>
                <w:color w:val="000000" w:themeColor="text1"/>
                <w:kern w:val="0"/>
                <w:szCs w:val="21"/>
                <w:lang w:bidi="ar"/>
                <w14:textFill>
                  <w14:solidFill>
                    <w14:schemeClr w14:val="tx1"/>
                  </w14:solidFill>
                </w14:textFill>
              </w:rPr>
              <w:t>1</w:t>
            </w:r>
            <w:r>
              <w:rPr>
                <w:color w:val="000000" w:themeColor="text1"/>
                <w:kern w:val="0"/>
                <w:szCs w:val="21"/>
                <w:lang w:bidi="ar"/>
                <w14:textFill>
                  <w14:solidFill>
                    <w14:schemeClr w14:val="tx1"/>
                  </w14:solidFill>
                </w14:textFill>
              </w:rPr>
              <w:t>9）和中石化集团以中国石化建标[2006]43号文印发的《水体污染防控紧急措施设计导则》要求</w:t>
            </w:r>
            <w:r>
              <w:rPr>
                <w:rFonts w:hint="eastAsia"/>
                <w:color w:val="000000" w:themeColor="text1"/>
                <w:kern w:val="0"/>
                <w:szCs w:val="21"/>
                <w:lang w:bidi="ar"/>
                <w14:textFill>
                  <w14:solidFill>
                    <w14:schemeClr w14:val="tx1"/>
                  </w14:solidFill>
                </w14:textFill>
              </w:rPr>
              <w:t>，事故存储设施总有效容积的计算公式如下：</w:t>
            </w:r>
          </w:p>
          <w:p w14:paraId="0F985657">
            <w:pPr>
              <w:widowControl/>
              <w:spacing w:line="360" w:lineRule="auto"/>
              <w:ind w:firstLine="420" w:firstLineChars="20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V</w:t>
            </w:r>
            <w:r>
              <w:rPr>
                <w:color w:val="000000" w:themeColor="text1"/>
                <w:kern w:val="0"/>
                <w:szCs w:val="21"/>
                <w:vertAlign w:val="subscript"/>
                <w:lang w:bidi="ar"/>
                <w14:textFill>
                  <w14:solidFill>
                    <w14:schemeClr w14:val="tx1"/>
                  </w14:solidFill>
                </w14:textFill>
              </w:rPr>
              <w:t>T</w:t>
            </w:r>
            <w:r>
              <w:rPr>
                <w:rFonts w:hint="eastAsia"/>
                <w:color w:val="000000" w:themeColor="text1"/>
                <w:kern w:val="0"/>
                <w:szCs w:val="21"/>
                <w:lang w:bidi="ar"/>
                <w14:textFill>
                  <w14:solidFill>
                    <w14:schemeClr w14:val="tx1"/>
                  </w14:solidFill>
                </w14:textFill>
              </w:rPr>
              <w:t xml:space="preserve"> </w:t>
            </w:r>
            <w:r>
              <w:rPr>
                <w:color w:val="000000" w:themeColor="text1"/>
                <w:kern w:val="0"/>
                <w:szCs w:val="21"/>
                <w:lang w:bidi="ar"/>
                <w14:textFill>
                  <w14:solidFill>
                    <w14:schemeClr w14:val="tx1"/>
                  </w14:solidFill>
                </w14:textFill>
              </w:rPr>
              <w:t>=（V</w:t>
            </w:r>
            <w:r>
              <w:rPr>
                <w:color w:val="000000" w:themeColor="text1"/>
                <w:kern w:val="0"/>
                <w:szCs w:val="21"/>
                <w:vertAlign w:val="subscript"/>
                <w:lang w:bidi="ar"/>
                <w14:textFill>
                  <w14:solidFill>
                    <w14:schemeClr w14:val="tx1"/>
                  </w14:solidFill>
                </w14:textFill>
              </w:rPr>
              <w:t>1</w:t>
            </w:r>
            <w:r>
              <w:rPr>
                <w:color w:val="000000" w:themeColor="text1"/>
                <w:kern w:val="0"/>
                <w:szCs w:val="21"/>
                <w:lang w:bidi="ar"/>
                <w14:textFill>
                  <w14:solidFill>
                    <w14:schemeClr w14:val="tx1"/>
                  </w14:solidFill>
                </w14:textFill>
              </w:rPr>
              <w:t>+ V</w:t>
            </w:r>
            <w:r>
              <w:rPr>
                <w:color w:val="000000" w:themeColor="text1"/>
                <w:kern w:val="0"/>
                <w:szCs w:val="21"/>
                <w:vertAlign w:val="subscript"/>
                <w:lang w:bidi="ar"/>
                <w14:textFill>
                  <w14:solidFill>
                    <w14:schemeClr w14:val="tx1"/>
                  </w14:solidFill>
                </w14:textFill>
              </w:rPr>
              <w:t>2</w:t>
            </w:r>
            <w:r>
              <w:rPr>
                <w:color w:val="000000" w:themeColor="text1"/>
                <w:kern w:val="0"/>
                <w:szCs w:val="21"/>
                <w:lang w:bidi="ar"/>
                <w14:textFill>
                  <w14:solidFill>
                    <w14:schemeClr w14:val="tx1"/>
                  </w14:solidFill>
                </w14:textFill>
              </w:rPr>
              <w:t>-V</w:t>
            </w:r>
            <w:r>
              <w:rPr>
                <w:color w:val="000000" w:themeColor="text1"/>
                <w:kern w:val="0"/>
                <w:szCs w:val="21"/>
                <w:vertAlign w:val="subscript"/>
                <w:lang w:bidi="ar"/>
                <w14:textFill>
                  <w14:solidFill>
                    <w14:schemeClr w14:val="tx1"/>
                  </w14:solidFill>
                </w14:textFill>
              </w:rPr>
              <w:t>3</w:t>
            </w:r>
            <w:r>
              <w:rPr>
                <w:color w:val="000000" w:themeColor="text1"/>
                <w:kern w:val="0"/>
                <w:szCs w:val="21"/>
                <w:lang w:bidi="ar"/>
                <w14:textFill>
                  <w14:solidFill>
                    <w14:schemeClr w14:val="tx1"/>
                  </w14:solidFill>
                </w14:textFill>
              </w:rPr>
              <w:t>）</w:t>
            </w:r>
            <w:r>
              <w:rPr>
                <w:color w:val="000000" w:themeColor="text1"/>
                <w:kern w:val="0"/>
                <w:szCs w:val="21"/>
                <w:vertAlign w:val="subscript"/>
                <w:lang w:bidi="ar"/>
                <w14:textFill>
                  <w14:solidFill>
                    <w14:schemeClr w14:val="tx1"/>
                  </w14:solidFill>
                </w14:textFill>
              </w:rPr>
              <w:t xml:space="preserve">max </w:t>
            </w:r>
            <w:r>
              <w:rPr>
                <w:color w:val="000000" w:themeColor="text1"/>
                <w:kern w:val="0"/>
                <w:szCs w:val="21"/>
                <w:lang w:bidi="ar"/>
                <w14:textFill>
                  <w14:solidFill>
                    <w14:schemeClr w14:val="tx1"/>
                  </w14:solidFill>
                </w14:textFill>
              </w:rPr>
              <w:t>+ V</w:t>
            </w:r>
            <w:r>
              <w:rPr>
                <w:color w:val="000000" w:themeColor="text1"/>
                <w:kern w:val="0"/>
                <w:szCs w:val="21"/>
                <w:vertAlign w:val="subscript"/>
                <w:lang w:bidi="ar"/>
                <w14:textFill>
                  <w14:solidFill>
                    <w14:schemeClr w14:val="tx1"/>
                  </w14:solidFill>
                </w14:textFill>
              </w:rPr>
              <w:t>4</w:t>
            </w:r>
            <w:r>
              <w:rPr>
                <w:color w:val="000000" w:themeColor="text1"/>
                <w:kern w:val="0"/>
                <w:szCs w:val="21"/>
                <w:lang w:bidi="ar"/>
                <w14:textFill>
                  <w14:solidFill>
                    <w14:schemeClr w14:val="tx1"/>
                  </w14:solidFill>
                </w14:textFill>
              </w:rPr>
              <w:t>+V</w:t>
            </w:r>
            <w:r>
              <w:rPr>
                <w:color w:val="000000" w:themeColor="text1"/>
                <w:kern w:val="0"/>
                <w:szCs w:val="21"/>
                <w:vertAlign w:val="subscript"/>
                <w:lang w:bidi="ar"/>
                <w14:textFill>
                  <w14:solidFill>
                    <w14:schemeClr w14:val="tx1"/>
                  </w14:solidFill>
                </w14:textFill>
              </w:rPr>
              <w:t>5</w:t>
            </w:r>
          </w:p>
          <w:p w14:paraId="1801B31D">
            <w:pPr>
              <w:widowControl/>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式中：</w:t>
            </w:r>
          </w:p>
          <w:p w14:paraId="25883565">
            <w:pPr>
              <w:widowControl/>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V</w:t>
            </w:r>
            <w:r>
              <w:rPr>
                <w:color w:val="000000" w:themeColor="text1"/>
                <w:kern w:val="0"/>
                <w:szCs w:val="21"/>
                <w:vertAlign w:val="subscript"/>
                <w:lang w:bidi="ar"/>
                <w14:textFill>
                  <w14:solidFill>
                    <w14:schemeClr w14:val="tx1"/>
                  </w14:solidFill>
                </w14:textFill>
              </w:rPr>
              <w:t>T</w:t>
            </w:r>
            <w:r>
              <w:rPr>
                <w:color w:val="000000" w:themeColor="text1"/>
                <w:kern w:val="0"/>
                <w:szCs w:val="21"/>
                <w:lang w:bidi="ar"/>
                <w14:textFill>
                  <w14:solidFill>
                    <w14:schemeClr w14:val="tx1"/>
                  </w14:solidFill>
                </w14:textFill>
              </w:rPr>
              <w:t>——事故储存设施总有效容积；</w:t>
            </w:r>
          </w:p>
          <w:p w14:paraId="587C758E">
            <w:pPr>
              <w:widowControl/>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V</w:t>
            </w:r>
            <w:r>
              <w:rPr>
                <w:color w:val="000000" w:themeColor="text1"/>
                <w:kern w:val="0"/>
                <w:szCs w:val="21"/>
                <w:vertAlign w:val="subscript"/>
                <w:lang w:bidi="ar"/>
                <w14:textFill>
                  <w14:solidFill>
                    <w14:schemeClr w14:val="tx1"/>
                  </w14:solidFill>
                </w14:textFill>
              </w:rPr>
              <w:t>1</w:t>
            </w:r>
            <w:r>
              <w:rPr>
                <w:color w:val="000000" w:themeColor="text1"/>
                <w:kern w:val="0"/>
                <w:szCs w:val="21"/>
                <w:lang w:bidi="ar"/>
                <w14:textFill>
                  <w14:solidFill>
                    <w14:schemeClr w14:val="tx1"/>
                  </w14:solidFill>
                </w14:textFill>
              </w:rPr>
              <w:t>——收集系统范围内发生事故的一个罐组或一套装置的物料量；</w:t>
            </w:r>
          </w:p>
          <w:p w14:paraId="5CDFD8FC">
            <w:pPr>
              <w:widowControl/>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V</w:t>
            </w:r>
            <w:r>
              <w:rPr>
                <w:color w:val="000000" w:themeColor="text1"/>
                <w:kern w:val="0"/>
                <w:szCs w:val="21"/>
                <w:vertAlign w:val="subscript"/>
                <w:lang w:bidi="ar"/>
                <w14:textFill>
                  <w14:solidFill>
                    <w14:schemeClr w14:val="tx1"/>
                  </w14:solidFill>
                </w14:textFill>
              </w:rPr>
              <w:t>2</w:t>
            </w:r>
            <w:r>
              <w:rPr>
                <w:color w:val="000000" w:themeColor="text1"/>
                <w:kern w:val="0"/>
                <w:szCs w:val="21"/>
                <w:lang w:bidi="ar"/>
                <w14:textFill>
                  <w14:solidFill>
                    <w14:schemeClr w14:val="tx1"/>
                  </w14:solidFill>
                </w14:textFill>
              </w:rPr>
              <w:t>——发生事故的储罐或装置的消防水量，m</w:t>
            </w:r>
            <w:r>
              <w:rPr>
                <w:color w:val="000000" w:themeColor="text1"/>
                <w:kern w:val="0"/>
                <w:szCs w:val="21"/>
                <w:vertAlign w:val="superscript"/>
                <w:lang w:bidi="ar"/>
                <w14:textFill>
                  <w14:solidFill>
                    <w14:schemeClr w14:val="tx1"/>
                  </w14:solidFill>
                </w14:textFill>
              </w:rPr>
              <w:t>3</w:t>
            </w:r>
            <w:r>
              <w:rPr>
                <w:color w:val="000000" w:themeColor="text1"/>
                <w:kern w:val="0"/>
                <w:szCs w:val="21"/>
                <w:lang w:bidi="ar"/>
                <w14:textFill>
                  <w14:solidFill>
                    <w14:schemeClr w14:val="tx1"/>
                  </w14:solidFill>
                </w14:textFill>
              </w:rPr>
              <w:t>；</w:t>
            </w:r>
          </w:p>
          <w:p w14:paraId="522604B5">
            <w:pPr>
              <w:widowControl/>
              <w:spacing w:line="360" w:lineRule="auto"/>
              <w:ind w:firstLine="420" w:firstLineChars="20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V</w:t>
            </w:r>
            <w:r>
              <w:rPr>
                <w:color w:val="000000" w:themeColor="text1"/>
                <w:kern w:val="0"/>
                <w:szCs w:val="21"/>
                <w:vertAlign w:val="subscript"/>
                <w:lang w:bidi="ar"/>
                <w14:textFill>
                  <w14:solidFill>
                    <w14:schemeClr w14:val="tx1"/>
                  </w14:solidFill>
                </w14:textFill>
              </w:rPr>
              <w:t>2</w:t>
            </w:r>
            <w:r>
              <w:rPr>
                <w:rFonts w:hint="eastAsia"/>
                <w:color w:val="000000" w:themeColor="text1"/>
                <w:kern w:val="0"/>
                <w:szCs w:val="21"/>
                <w:lang w:bidi="ar"/>
                <w14:textFill>
                  <w14:solidFill>
                    <w14:schemeClr w14:val="tx1"/>
                  </w14:solidFill>
                </w14:textFill>
              </w:rPr>
              <w:t xml:space="preserve"> </w:t>
            </w:r>
            <w:r>
              <w:rPr>
                <w:color w:val="000000" w:themeColor="text1"/>
                <w:kern w:val="0"/>
                <w:szCs w:val="21"/>
                <w:lang w:bidi="ar"/>
                <w14:textFill>
                  <w14:solidFill>
                    <w14:schemeClr w14:val="tx1"/>
                  </w14:solidFill>
                </w14:textFill>
              </w:rPr>
              <w:t>=</w:t>
            </w:r>
            <w:r>
              <w:rPr>
                <w:rFonts w:hint="eastAsia"/>
                <w:color w:val="000000" w:themeColor="text1"/>
                <w:kern w:val="0"/>
                <w:szCs w:val="21"/>
                <w:lang w:bidi="ar"/>
                <w14:textFill>
                  <w14:solidFill>
                    <w14:schemeClr w14:val="tx1"/>
                  </w14:solidFill>
                </w14:textFill>
              </w:rPr>
              <w:t xml:space="preserve"> </w:t>
            </w:r>
            <w:r>
              <w:rPr>
                <w:color w:val="000000" w:themeColor="text1"/>
                <w:kern w:val="0"/>
                <w:szCs w:val="21"/>
                <w:lang w:bidi="ar"/>
                <w14:textFill>
                  <w14:solidFill>
                    <w14:schemeClr w14:val="tx1"/>
                  </w14:solidFill>
                </w14:textFill>
              </w:rPr>
              <w:t>∑Q</w:t>
            </w:r>
            <w:r>
              <w:rPr>
                <w:color w:val="000000" w:themeColor="text1"/>
                <w:kern w:val="0"/>
                <w:szCs w:val="21"/>
                <w:vertAlign w:val="subscript"/>
                <w:lang w:bidi="ar"/>
                <w14:textFill>
                  <w14:solidFill>
                    <w14:schemeClr w14:val="tx1"/>
                  </w14:solidFill>
                </w14:textFill>
              </w:rPr>
              <w:t>wi</w:t>
            </w:r>
            <w:r>
              <w:rPr>
                <w:color w:val="000000" w:themeColor="text1"/>
                <w:kern w:val="0"/>
                <w:szCs w:val="21"/>
                <w:lang w:bidi="ar"/>
                <w14:textFill>
                  <w14:solidFill>
                    <w14:schemeClr w14:val="tx1"/>
                  </w14:solidFill>
                </w14:textFill>
              </w:rPr>
              <w:t>×t</w:t>
            </w:r>
            <w:r>
              <w:rPr>
                <w:color w:val="000000" w:themeColor="text1"/>
                <w:kern w:val="0"/>
                <w:szCs w:val="21"/>
                <w:vertAlign w:val="subscript"/>
                <w:lang w:bidi="ar"/>
                <w14:textFill>
                  <w14:solidFill>
                    <w14:schemeClr w14:val="tx1"/>
                  </w14:solidFill>
                </w14:textFill>
              </w:rPr>
              <w:t>wi</w:t>
            </w:r>
          </w:p>
          <w:p w14:paraId="32BBB124">
            <w:pPr>
              <w:widowControl/>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式中：</w:t>
            </w:r>
          </w:p>
          <w:p w14:paraId="2A8830FF">
            <w:pPr>
              <w:widowControl/>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Q</w:t>
            </w:r>
            <w:r>
              <w:rPr>
                <w:color w:val="000000" w:themeColor="text1"/>
                <w:kern w:val="0"/>
                <w:szCs w:val="21"/>
                <w:vertAlign w:val="subscript"/>
                <w:lang w:bidi="ar"/>
                <w14:textFill>
                  <w14:solidFill>
                    <w14:schemeClr w14:val="tx1"/>
                  </w14:solidFill>
                </w14:textFill>
              </w:rPr>
              <w:t>wi</w:t>
            </w:r>
            <w:r>
              <w:rPr>
                <w:color w:val="000000" w:themeColor="text1"/>
                <w:kern w:val="0"/>
                <w:szCs w:val="21"/>
                <w:lang w:bidi="ar"/>
                <w14:textFill>
                  <w14:solidFill>
                    <w14:schemeClr w14:val="tx1"/>
                  </w14:solidFill>
                </w14:textFill>
              </w:rPr>
              <w:t>——发生事故的储罐或装置的同时使用的消防设施给水流量，m</w:t>
            </w:r>
            <w:r>
              <w:rPr>
                <w:color w:val="000000" w:themeColor="text1"/>
                <w:kern w:val="0"/>
                <w:szCs w:val="21"/>
                <w:vertAlign w:val="superscript"/>
                <w:lang w:bidi="ar"/>
                <w14:textFill>
                  <w14:solidFill>
                    <w14:schemeClr w14:val="tx1"/>
                  </w14:solidFill>
                </w14:textFill>
              </w:rPr>
              <w:t>3</w:t>
            </w:r>
            <w:r>
              <w:rPr>
                <w:color w:val="000000" w:themeColor="text1"/>
                <w:kern w:val="0"/>
                <w:szCs w:val="21"/>
                <w:lang w:bidi="ar"/>
                <w14:textFill>
                  <w14:solidFill>
                    <w14:schemeClr w14:val="tx1"/>
                  </w14:solidFill>
                </w14:textFill>
              </w:rPr>
              <w:t>/h；</w:t>
            </w:r>
          </w:p>
          <w:p w14:paraId="445952C5">
            <w:pPr>
              <w:widowControl/>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t</w:t>
            </w:r>
            <w:r>
              <w:rPr>
                <w:color w:val="000000" w:themeColor="text1"/>
                <w:kern w:val="0"/>
                <w:szCs w:val="21"/>
                <w:vertAlign w:val="subscript"/>
                <w:lang w:bidi="ar"/>
                <w14:textFill>
                  <w14:solidFill>
                    <w14:schemeClr w14:val="tx1"/>
                  </w14:solidFill>
                </w14:textFill>
              </w:rPr>
              <w:t>wi</w:t>
            </w:r>
            <w:r>
              <w:rPr>
                <w:color w:val="000000" w:themeColor="text1"/>
                <w:kern w:val="0"/>
                <w:szCs w:val="21"/>
                <w:lang w:bidi="ar"/>
                <w14:textFill>
                  <w14:solidFill>
                    <w14:schemeClr w14:val="tx1"/>
                  </w14:solidFill>
                </w14:textFill>
              </w:rPr>
              <w:t>———消防设施对应的设计消防历时，h；</w:t>
            </w:r>
          </w:p>
          <w:p w14:paraId="69E866C9">
            <w:pPr>
              <w:widowControl/>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V</w:t>
            </w:r>
            <w:r>
              <w:rPr>
                <w:color w:val="000000" w:themeColor="text1"/>
                <w:kern w:val="0"/>
                <w:szCs w:val="21"/>
                <w:vertAlign w:val="subscript"/>
                <w:lang w:bidi="ar"/>
                <w14:textFill>
                  <w14:solidFill>
                    <w14:schemeClr w14:val="tx1"/>
                  </w14:solidFill>
                </w14:textFill>
              </w:rPr>
              <w:t>3</w:t>
            </w:r>
            <w:r>
              <w:rPr>
                <w:color w:val="000000" w:themeColor="text1"/>
                <w:kern w:val="0"/>
                <w:szCs w:val="21"/>
                <w:lang w:bidi="ar"/>
                <w14:textFill>
                  <w14:solidFill>
                    <w14:schemeClr w14:val="tx1"/>
                  </w14:solidFill>
                </w14:textFill>
              </w:rPr>
              <w:t>——发生事故时可以转输到其他储存或处理设施的物料量，m</w:t>
            </w:r>
            <w:r>
              <w:rPr>
                <w:color w:val="000000" w:themeColor="text1"/>
                <w:kern w:val="0"/>
                <w:szCs w:val="21"/>
                <w:vertAlign w:val="superscript"/>
                <w:lang w:bidi="ar"/>
                <w14:textFill>
                  <w14:solidFill>
                    <w14:schemeClr w14:val="tx1"/>
                  </w14:solidFill>
                </w14:textFill>
              </w:rPr>
              <w:t>3</w:t>
            </w:r>
            <w:r>
              <w:rPr>
                <w:color w:val="000000" w:themeColor="text1"/>
                <w:kern w:val="0"/>
                <w:szCs w:val="21"/>
                <w:lang w:bidi="ar"/>
                <w14:textFill>
                  <w14:solidFill>
                    <w14:schemeClr w14:val="tx1"/>
                  </w14:solidFill>
                </w14:textFill>
              </w:rPr>
              <w:t>；</w:t>
            </w:r>
          </w:p>
          <w:p w14:paraId="080F2A4B">
            <w:pPr>
              <w:widowControl/>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V</w:t>
            </w:r>
            <w:r>
              <w:rPr>
                <w:color w:val="000000" w:themeColor="text1"/>
                <w:kern w:val="0"/>
                <w:szCs w:val="21"/>
                <w:vertAlign w:val="subscript"/>
                <w:lang w:bidi="ar"/>
                <w14:textFill>
                  <w14:solidFill>
                    <w14:schemeClr w14:val="tx1"/>
                  </w14:solidFill>
                </w14:textFill>
              </w:rPr>
              <w:t>4</w:t>
            </w:r>
            <w:r>
              <w:rPr>
                <w:color w:val="000000" w:themeColor="text1"/>
                <w:kern w:val="0"/>
                <w:szCs w:val="21"/>
                <w:lang w:bidi="ar"/>
                <w14:textFill>
                  <w14:solidFill>
                    <w14:schemeClr w14:val="tx1"/>
                  </w14:solidFill>
                </w14:textFill>
              </w:rPr>
              <w:t>——发生事故时仍应进入该收集系统的工业废水量，m</w:t>
            </w:r>
            <w:r>
              <w:rPr>
                <w:color w:val="000000" w:themeColor="text1"/>
                <w:kern w:val="0"/>
                <w:szCs w:val="21"/>
                <w:vertAlign w:val="superscript"/>
                <w:lang w:bidi="ar"/>
                <w14:textFill>
                  <w14:solidFill>
                    <w14:schemeClr w14:val="tx1"/>
                  </w14:solidFill>
                </w14:textFill>
              </w:rPr>
              <w:t>3</w:t>
            </w:r>
            <w:r>
              <w:rPr>
                <w:color w:val="000000" w:themeColor="text1"/>
                <w:kern w:val="0"/>
                <w:szCs w:val="21"/>
                <w:lang w:bidi="ar"/>
                <w14:textFill>
                  <w14:solidFill>
                    <w14:schemeClr w14:val="tx1"/>
                  </w14:solidFill>
                </w14:textFill>
              </w:rPr>
              <w:t>；</w:t>
            </w:r>
          </w:p>
          <w:p w14:paraId="713D8D1C">
            <w:pPr>
              <w:widowControl/>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V</w:t>
            </w:r>
            <w:r>
              <w:rPr>
                <w:color w:val="000000" w:themeColor="text1"/>
                <w:kern w:val="0"/>
                <w:szCs w:val="21"/>
                <w:vertAlign w:val="subscript"/>
                <w:lang w:bidi="ar"/>
                <w14:textFill>
                  <w14:solidFill>
                    <w14:schemeClr w14:val="tx1"/>
                  </w14:solidFill>
                </w14:textFill>
              </w:rPr>
              <w:t>5</w:t>
            </w:r>
            <w:r>
              <w:rPr>
                <w:color w:val="000000" w:themeColor="text1"/>
                <w:kern w:val="0"/>
                <w:szCs w:val="21"/>
                <w:lang w:bidi="ar"/>
                <w14:textFill>
                  <w14:solidFill>
                    <w14:schemeClr w14:val="tx1"/>
                  </w14:solidFill>
                </w14:textFill>
              </w:rPr>
              <w:t>——发生事故时可能进入该收集系统的降雨量，m</w:t>
            </w:r>
            <w:r>
              <w:rPr>
                <w:color w:val="000000" w:themeColor="text1"/>
                <w:kern w:val="0"/>
                <w:szCs w:val="21"/>
                <w:vertAlign w:val="superscript"/>
                <w:lang w:bidi="ar"/>
                <w14:textFill>
                  <w14:solidFill>
                    <w14:schemeClr w14:val="tx1"/>
                  </w14:solidFill>
                </w14:textFill>
              </w:rPr>
              <w:t>3</w:t>
            </w:r>
            <w:r>
              <w:rPr>
                <w:color w:val="000000" w:themeColor="text1"/>
                <w:kern w:val="0"/>
                <w:szCs w:val="21"/>
                <w:lang w:bidi="ar"/>
                <w14:textFill>
                  <w14:solidFill>
                    <w14:schemeClr w14:val="tx1"/>
                  </w14:solidFill>
                </w14:textFill>
              </w:rPr>
              <w:t>；</w:t>
            </w:r>
          </w:p>
          <w:p w14:paraId="02B37BDB">
            <w:pPr>
              <w:widowControl/>
              <w:spacing w:line="360" w:lineRule="auto"/>
              <w:ind w:firstLine="420" w:firstLineChars="20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V</w:t>
            </w:r>
            <w:r>
              <w:rPr>
                <w:color w:val="000000" w:themeColor="text1"/>
                <w:kern w:val="0"/>
                <w:szCs w:val="21"/>
                <w:vertAlign w:val="subscript"/>
                <w:lang w:bidi="ar"/>
                <w14:textFill>
                  <w14:solidFill>
                    <w14:schemeClr w14:val="tx1"/>
                  </w14:solidFill>
                </w14:textFill>
              </w:rPr>
              <w:t>5</w:t>
            </w:r>
            <w:r>
              <w:rPr>
                <w:color w:val="000000" w:themeColor="text1"/>
                <w:kern w:val="0"/>
                <w:szCs w:val="21"/>
                <w:lang w:bidi="ar"/>
                <w14:textFill>
                  <w14:solidFill>
                    <w14:schemeClr w14:val="tx1"/>
                  </w14:solidFill>
                </w14:textFill>
              </w:rPr>
              <w:t>=10q×F</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q=q</w:t>
            </w:r>
            <w:r>
              <w:rPr>
                <w:color w:val="000000" w:themeColor="text1"/>
                <w:kern w:val="0"/>
                <w:szCs w:val="21"/>
                <w:vertAlign w:val="subscript"/>
                <w:lang w:bidi="ar"/>
                <w14:textFill>
                  <w14:solidFill>
                    <w14:schemeClr w14:val="tx1"/>
                  </w14:solidFill>
                </w14:textFill>
              </w:rPr>
              <w:t>a</w:t>
            </w:r>
            <w:r>
              <w:rPr>
                <w:color w:val="000000" w:themeColor="text1"/>
                <w:kern w:val="0"/>
                <w:szCs w:val="21"/>
                <w:lang w:bidi="ar"/>
                <w14:textFill>
                  <w14:solidFill>
                    <w14:schemeClr w14:val="tx1"/>
                  </w14:solidFill>
                </w14:textFill>
              </w:rPr>
              <w:t>/n</w:t>
            </w:r>
          </w:p>
          <w:p w14:paraId="14C19686">
            <w:pPr>
              <w:widowControl/>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式中：</w:t>
            </w:r>
          </w:p>
          <w:p w14:paraId="5CD3CED9">
            <w:pPr>
              <w:widowControl/>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q——降雨强度，按平均日降雨量，mm；</w:t>
            </w:r>
          </w:p>
          <w:p w14:paraId="6EB2947C">
            <w:pPr>
              <w:widowControl/>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q</w:t>
            </w:r>
            <w:r>
              <w:rPr>
                <w:color w:val="000000" w:themeColor="text1"/>
                <w:kern w:val="0"/>
                <w:szCs w:val="21"/>
                <w:vertAlign w:val="subscript"/>
                <w:lang w:bidi="ar"/>
                <w14:textFill>
                  <w14:solidFill>
                    <w14:schemeClr w14:val="tx1"/>
                  </w14:solidFill>
                </w14:textFill>
              </w:rPr>
              <w:t>a</w:t>
            </w:r>
            <w:r>
              <w:rPr>
                <w:color w:val="000000" w:themeColor="text1"/>
                <w:kern w:val="0"/>
                <w:szCs w:val="21"/>
                <w:lang w:bidi="ar"/>
                <w14:textFill>
                  <w14:solidFill>
                    <w14:schemeClr w14:val="tx1"/>
                  </w14:solidFill>
                </w14:textFill>
              </w:rPr>
              <w:t>——年平均降雨量，mm；</w:t>
            </w:r>
          </w:p>
          <w:p w14:paraId="4A1569BB">
            <w:pPr>
              <w:widowControl/>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n——年平均降雨日数；</w:t>
            </w:r>
          </w:p>
          <w:p w14:paraId="679F7E91">
            <w:pPr>
              <w:widowControl/>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F——应进入事故废水收集系统的雨水汇水面积，ha。</w:t>
            </w:r>
          </w:p>
          <w:p w14:paraId="226F3233">
            <w:pPr>
              <w:widowControl/>
              <w:spacing w:line="360" w:lineRule="auto"/>
              <w:ind w:firstLine="420" w:firstLineChars="200"/>
              <w:jc w:val="left"/>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A.</w:t>
            </w:r>
            <w:r>
              <w:rPr>
                <w:color w:val="000000" w:themeColor="text1"/>
                <w:kern w:val="0"/>
                <w:szCs w:val="21"/>
                <w:lang w:bidi="ar"/>
                <w14:textFill>
                  <w14:solidFill>
                    <w14:schemeClr w14:val="tx1"/>
                  </w14:solidFill>
                </w14:textFill>
              </w:rPr>
              <w:t>V</w:t>
            </w:r>
            <w:r>
              <w:rPr>
                <w:color w:val="000000" w:themeColor="text1"/>
                <w:kern w:val="0"/>
                <w:szCs w:val="21"/>
                <w:vertAlign w:val="subscript"/>
                <w:lang w:bidi="ar"/>
                <w14:textFill>
                  <w14:solidFill>
                    <w14:schemeClr w14:val="tx1"/>
                  </w14:solidFill>
                </w14:textFill>
              </w:rPr>
              <w:t>1</w:t>
            </w:r>
            <w:r>
              <w:rPr>
                <w:rFonts w:hint="eastAsia"/>
                <w:color w:val="000000" w:themeColor="text1"/>
                <w:kern w:val="0"/>
                <w:szCs w:val="21"/>
                <w:lang w:bidi="ar"/>
                <w14:textFill>
                  <w14:solidFill>
                    <w14:schemeClr w14:val="tx1"/>
                  </w14:solidFill>
                </w14:textFill>
              </w:rPr>
              <w:t>=0.</w:t>
            </w:r>
            <w:r>
              <w:rPr>
                <w:rFonts w:hint="eastAsia"/>
                <w:color w:val="000000" w:themeColor="text1"/>
                <w:kern w:val="0"/>
                <w:szCs w:val="21"/>
                <w:lang w:val="en-US" w:eastAsia="zh-CN" w:bidi="ar"/>
                <w14:textFill>
                  <w14:solidFill>
                    <w14:schemeClr w14:val="tx1"/>
                  </w14:solidFill>
                </w14:textFill>
              </w:rPr>
              <w:t>17</w:t>
            </w:r>
            <w:r>
              <w:rPr>
                <w:rFonts w:hint="eastAsia"/>
                <w:color w:val="000000" w:themeColor="text1"/>
                <w:kern w:val="0"/>
                <w:szCs w:val="21"/>
                <w:lang w:bidi="ar"/>
                <w14:textFill>
                  <w14:solidFill>
                    <w14:schemeClr w14:val="tx1"/>
                  </w14:solidFill>
                </w14:textFill>
              </w:rPr>
              <w:t>m</w:t>
            </w:r>
            <w:r>
              <w:rPr>
                <w:rFonts w:hint="eastAsia"/>
                <w:color w:val="000000" w:themeColor="text1"/>
                <w:kern w:val="0"/>
                <w:szCs w:val="21"/>
                <w:vertAlign w:val="superscript"/>
                <w:lang w:bidi="ar"/>
                <w14:textFill>
                  <w14:solidFill>
                    <w14:schemeClr w14:val="tx1"/>
                  </w14:solidFill>
                </w14:textFill>
              </w:rPr>
              <w:t>3</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收集系统范围内发生事故的一个罐组或一套装置的物料量</w:t>
            </w:r>
            <w:r>
              <w:rPr>
                <w:rFonts w:hint="eastAsia"/>
                <w:color w:val="000000" w:themeColor="text1"/>
                <w:kern w:val="0"/>
                <w:szCs w:val="21"/>
                <w:lang w:bidi="ar"/>
                <w14:textFill>
                  <w14:solidFill>
                    <w14:schemeClr w14:val="tx1"/>
                  </w14:solidFill>
                </w14:textFill>
              </w:rPr>
              <w:t>以单桶</w:t>
            </w:r>
            <w:r>
              <w:rPr>
                <w:rFonts w:hint="eastAsia"/>
                <w:color w:val="000000" w:themeColor="text1"/>
                <w:kern w:val="0"/>
                <w:szCs w:val="21"/>
                <w:lang w:val="en-US" w:eastAsia="zh-CN" w:bidi="ar"/>
                <w14:textFill>
                  <w14:solidFill>
                    <w14:schemeClr w14:val="tx1"/>
                  </w14:solidFill>
                </w14:textFill>
              </w:rPr>
              <w:t>液压油</w:t>
            </w:r>
            <w:r>
              <w:rPr>
                <w:rFonts w:hint="eastAsia"/>
                <w:color w:val="000000" w:themeColor="text1"/>
                <w:kern w:val="0"/>
                <w:szCs w:val="21"/>
                <w:lang w:bidi="ar"/>
                <w14:textFill>
                  <w14:solidFill>
                    <w14:schemeClr w14:val="tx1"/>
                  </w14:solidFill>
                </w14:textFill>
              </w:rPr>
              <w:t>储量计；</w:t>
            </w:r>
          </w:p>
          <w:p w14:paraId="57018D09">
            <w:pPr>
              <w:widowControl/>
              <w:spacing w:line="360" w:lineRule="auto"/>
              <w:ind w:firstLine="420" w:firstLineChars="200"/>
              <w:jc w:val="left"/>
              <w:rPr>
                <w:rFonts w:hint="eastAsia"/>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B.</w:t>
            </w:r>
            <w:r>
              <w:rPr>
                <w:color w:val="000000" w:themeColor="text1"/>
                <w:kern w:val="0"/>
                <w:szCs w:val="21"/>
                <w:lang w:bidi="ar"/>
                <w14:textFill>
                  <w14:solidFill>
                    <w14:schemeClr w14:val="tx1"/>
                  </w14:solidFill>
                </w14:textFill>
              </w:rPr>
              <w:t>V</w:t>
            </w:r>
            <w:r>
              <w:rPr>
                <w:color w:val="000000" w:themeColor="text1"/>
                <w:kern w:val="0"/>
                <w:szCs w:val="21"/>
                <w:vertAlign w:val="subscript"/>
                <w:lang w:bidi="ar"/>
                <w14:textFill>
                  <w14:solidFill>
                    <w14:schemeClr w14:val="tx1"/>
                  </w14:solidFill>
                </w14:textFill>
              </w:rPr>
              <w:t>2</w:t>
            </w:r>
            <w:r>
              <w:rPr>
                <w:rFonts w:hint="eastAsia"/>
                <w:color w:val="000000" w:themeColor="text1"/>
                <w:kern w:val="0"/>
                <w:szCs w:val="21"/>
                <w:lang w:bidi="ar"/>
                <w14:textFill>
                  <w14:solidFill>
                    <w14:schemeClr w14:val="tx1"/>
                  </w14:solidFill>
                </w14:textFill>
              </w:rPr>
              <w:t>计算依据及结论如下：</w:t>
            </w:r>
          </w:p>
          <w:p w14:paraId="721E801C">
            <w:pPr>
              <w:widowControl/>
              <w:spacing w:line="360" w:lineRule="auto"/>
              <w:ind w:firstLine="420" w:firstLineChars="200"/>
              <w:jc w:val="left"/>
              <w:rPr>
                <w:rFonts w:hint="eastAsia"/>
                <w:color w:val="000000" w:themeColor="text1"/>
                <w:kern w:val="0"/>
                <w:szCs w:val="21"/>
                <w:lang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本项目所在生产厂房占地面积为973.63</w:t>
            </w:r>
            <w:r>
              <w:rPr>
                <w:color w:val="000000" w:themeColor="text1"/>
                <w:szCs w:val="21"/>
                <w:highlight w:val="none"/>
                <w14:textFill>
                  <w14:solidFill>
                    <w14:schemeClr w14:val="tx1"/>
                  </w14:solidFill>
                </w14:textFill>
              </w:rPr>
              <w:t>m</w:t>
            </w:r>
            <w:r>
              <w:rPr>
                <w:color w:val="000000" w:themeColor="text1"/>
                <w:szCs w:val="21"/>
                <w:highlight w:val="none"/>
                <w:vertAlign w:val="superscript"/>
                <w14:textFill>
                  <w14:solidFill>
                    <w14:schemeClr w14:val="tx1"/>
                  </w14:solidFill>
                </w14:textFill>
              </w:rPr>
              <w:t>2</w:t>
            </w:r>
            <w:r>
              <w:rPr>
                <w:rFonts w:hint="eastAsia"/>
                <w:color w:val="000000" w:themeColor="text1"/>
                <w:szCs w:val="21"/>
                <w:vertAlign w:val="baseline"/>
                <w:lang w:eastAsia="zh-CN"/>
                <w14:textFill>
                  <w14:solidFill>
                    <w14:schemeClr w14:val="tx1"/>
                  </w14:solidFill>
                </w14:textFill>
              </w:rPr>
              <w:t>，</w:t>
            </w:r>
            <w:r>
              <w:rPr>
                <w:rFonts w:hint="eastAsia"/>
                <w:color w:val="000000" w:themeColor="text1"/>
                <w:szCs w:val="21"/>
                <w:vertAlign w:val="baseline"/>
                <w:lang w:val="en-US" w:eastAsia="zh-CN"/>
                <w14:textFill>
                  <w14:solidFill>
                    <w14:schemeClr w14:val="tx1"/>
                  </w14:solidFill>
                </w14:textFill>
              </w:rPr>
              <w:t>高度为20m，则建筑体积为19472.6</w:t>
            </w:r>
            <w:r>
              <w:rPr>
                <w:color w:val="000000" w:themeColor="text1"/>
                <w:szCs w:val="21"/>
                <w:highlight w:val="none"/>
                <w14:textFill>
                  <w14:solidFill>
                    <w14:schemeClr w14:val="tx1"/>
                  </w14:solidFill>
                </w14:textFill>
              </w:rPr>
              <w:t>m</w:t>
            </w:r>
            <w:r>
              <w:rPr>
                <w:rFonts w:hint="eastAsia"/>
                <w:color w:val="000000" w:themeColor="text1"/>
                <w:szCs w:val="21"/>
                <w:highlight w:val="none"/>
                <w:vertAlign w:val="superscript"/>
                <w:lang w:val="en-US" w:eastAsia="zh-CN"/>
                <w14:textFill>
                  <w14:solidFill>
                    <w14:schemeClr w14:val="tx1"/>
                  </w14:solidFill>
                </w14:textFill>
              </w:rPr>
              <w:t>3</w:t>
            </w:r>
            <w:r>
              <w:rPr>
                <w:rFonts w:hint="eastAsia"/>
                <w:color w:val="000000" w:themeColor="text1"/>
                <w:szCs w:val="21"/>
                <w:vertAlign w:val="baseline"/>
                <w:lang w:val="en-US" w:eastAsia="zh-CN"/>
                <w14:textFill>
                  <w14:solidFill>
                    <w14:schemeClr w14:val="tx1"/>
                  </w14:solidFill>
                </w14:textFill>
              </w:rPr>
              <w:t>，且厂房火灾危险性类别为丙类，</w:t>
            </w:r>
            <w:r>
              <w:rPr>
                <w:color w:val="000000" w:themeColor="text1"/>
                <w:kern w:val="0"/>
                <w:szCs w:val="21"/>
                <w:lang w:bidi="ar"/>
                <w14:textFill>
                  <w14:solidFill>
                    <w14:schemeClr w14:val="tx1"/>
                  </w14:solidFill>
                </w14:textFill>
              </w:rPr>
              <w:t>根据《消防给水及消火栓系统技术规范》（GB50974-2014），</w:t>
            </w:r>
            <w:r>
              <w:rPr>
                <w:rFonts w:hint="eastAsia"/>
                <w:color w:val="000000" w:themeColor="text1"/>
                <w:kern w:val="0"/>
                <w:szCs w:val="21"/>
                <w:lang w:bidi="ar"/>
                <w14:textFill>
                  <w14:solidFill>
                    <w14:schemeClr w14:val="tx1"/>
                  </w14:solidFill>
                </w14:textFill>
              </w:rPr>
              <w:t>公司发生火灾的地方以</w:t>
            </w:r>
            <w:r>
              <w:rPr>
                <w:rFonts w:hint="eastAsia"/>
                <w:color w:val="000000" w:themeColor="text1"/>
                <w:kern w:val="0"/>
                <w:szCs w:val="21"/>
                <w:lang w:val="en-US" w:eastAsia="zh-CN" w:bidi="ar"/>
                <w14:textFill>
                  <w14:solidFill>
                    <w14:schemeClr w14:val="tx1"/>
                  </w14:solidFill>
                </w14:textFill>
              </w:rPr>
              <w:t>生产厂房</w:t>
            </w:r>
            <w:r>
              <w:rPr>
                <w:rFonts w:hint="eastAsia"/>
                <w:color w:val="000000" w:themeColor="text1"/>
                <w:kern w:val="0"/>
                <w:szCs w:val="21"/>
                <w:lang w:bidi="ar"/>
                <w14:textFill>
                  <w14:solidFill>
                    <w14:schemeClr w14:val="tx1"/>
                  </w14:solidFill>
                </w14:textFill>
              </w:rPr>
              <w:t>计，</w:t>
            </w:r>
            <w:r>
              <w:rPr>
                <w:rFonts w:hint="eastAsia"/>
                <w:color w:val="000000" w:themeColor="text1"/>
                <w:kern w:val="0"/>
                <w:szCs w:val="21"/>
                <w:lang w:val="en-US" w:eastAsia="zh-CN" w:bidi="ar"/>
                <w14:textFill>
                  <w14:solidFill>
                    <w14:schemeClr w14:val="tx1"/>
                  </w14:solidFill>
                </w14:textFill>
              </w:rPr>
              <w:t>室外</w:t>
            </w:r>
            <w:r>
              <w:rPr>
                <w:color w:val="000000" w:themeColor="text1"/>
                <w:kern w:val="0"/>
                <w:szCs w:val="21"/>
                <w:lang w:bidi="ar"/>
                <w14:textFill>
                  <w14:solidFill>
                    <w14:schemeClr w14:val="tx1"/>
                  </w14:solidFill>
                </w14:textFill>
              </w:rPr>
              <w:t>消防用水量按</w:t>
            </w:r>
            <w:r>
              <w:rPr>
                <w:rFonts w:hint="eastAsia"/>
                <w:color w:val="000000" w:themeColor="text1"/>
                <w:kern w:val="0"/>
                <w:szCs w:val="21"/>
                <w:lang w:val="en-US" w:eastAsia="zh-CN" w:bidi="ar"/>
                <w14:textFill>
                  <w14:solidFill>
                    <w14:schemeClr w14:val="tx1"/>
                  </w14:solidFill>
                </w14:textFill>
              </w:rPr>
              <w:t>30</w:t>
            </w:r>
            <w:r>
              <w:rPr>
                <w:color w:val="000000" w:themeColor="text1"/>
                <w:kern w:val="0"/>
                <w:szCs w:val="21"/>
                <w:lang w:bidi="ar"/>
                <w14:textFill>
                  <w14:solidFill>
                    <w14:schemeClr w14:val="tx1"/>
                  </w14:solidFill>
                </w14:textFill>
              </w:rPr>
              <w:t>L/s进行计算</w:t>
            </w:r>
            <w:r>
              <w:rPr>
                <w:rFonts w:hint="eastAsia"/>
                <w:color w:val="000000" w:themeColor="text1"/>
                <w:kern w:val="0"/>
                <w:szCs w:val="21"/>
                <w:lang w:eastAsia="zh-CN" w:bidi="ar"/>
                <w14:textFill>
                  <w14:solidFill>
                    <w14:schemeClr w14:val="tx1"/>
                  </w14:solidFill>
                </w14:textFill>
              </w:rPr>
              <w:t>，</w:t>
            </w:r>
            <w:r>
              <w:rPr>
                <w:rFonts w:hint="eastAsia"/>
                <w:color w:val="000000" w:themeColor="text1"/>
                <w:kern w:val="0"/>
                <w:szCs w:val="21"/>
                <w:lang w:val="en-US" w:eastAsia="zh-CN" w:bidi="ar"/>
                <w14:textFill>
                  <w14:solidFill>
                    <w14:schemeClr w14:val="tx1"/>
                  </w14:solidFill>
                </w14:textFill>
              </w:rPr>
              <w:t>室内</w:t>
            </w:r>
            <w:r>
              <w:rPr>
                <w:color w:val="000000" w:themeColor="text1"/>
                <w:kern w:val="0"/>
                <w:szCs w:val="21"/>
                <w:lang w:bidi="ar"/>
                <w14:textFill>
                  <w14:solidFill>
                    <w14:schemeClr w14:val="tx1"/>
                  </w14:solidFill>
                </w14:textFill>
              </w:rPr>
              <w:t>消防用水量按</w:t>
            </w:r>
            <w:r>
              <w:rPr>
                <w:rFonts w:hint="eastAsia"/>
                <w:color w:val="000000" w:themeColor="text1"/>
                <w:kern w:val="0"/>
                <w:szCs w:val="21"/>
                <w:lang w:val="en-US" w:eastAsia="zh-CN" w:bidi="ar"/>
                <w14:textFill>
                  <w14:solidFill>
                    <w14:schemeClr w14:val="tx1"/>
                  </w14:solidFill>
                </w14:textFill>
              </w:rPr>
              <w:t>20</w:t>
            </w:r>
            <w:r>
              <w:rPr>
                <w:color w:val="000000" w:themeColor="text1"/>
                <w:kern w:val="0"/>
                <w:szCs w:val="21"/>
                <w:lang w:bidi="ar"/>
                <w14:textFill>
                  <w14:solidFill>
                    <w14:schemeClr w14:val="tx1"/>
                  </w14:solidFill>
                </w14:textFill>
              </w:rPr>
              <w:t>L/s进行计算</w:t>
            </w:r>
            <w:r>
              <w:rPr>
                <w:rFonts w:hint="eastAsia"/>
                <w:color w:val="000000" w:themeColor="text1"/>
                <w:kern w:val="0"/>
                <w:szCs w:val="21"/>
                <w:lang w:eastAsia="zh-CN" w:bidi="ar"/>
                <w14:textFill>
                  <w14:solidFill>
                    <w14:schemeClr w14:val="tx1"/>
                  </w14:solidFill>
                </w14:textFill>
              </w:rPr>
              <w:t>，</w:t>
            </w:r>
            <w:r>
              <w:rPr>
                <w:rFonts w:hint="eastAsia"/>
                <w:color w:val="000000" w:themeColor="text1"/>
                <w:kern w:val="0"/>
                <w:szCs w:val="21"/>
                <w:lang w:val="en-US" w:eastAsia="zh-CN" w:bidi="ar"/>
                <w14:textFill>
                  <w14:solidFill>
                    <w14:schemeClr w14:val="tx1"/>
                  </w14:solidFill>
                </w14:textFill>
              </w:rPr>
              <w:t>室内外</w:t>
            </w:r>
            <w:r>
              <w:rPr>
                <w:color w:val="000000" w:themeColor="text1"/>
                <w:kern w:val="0"/>
                <w:szCs w:val="21"/>
                <w:lang w:bidi="ar"/>
                <w14:textFill>
                  <w14:solidFill>
                    <w14:schemeClr w14:val="tx1"/>
                  </w14:solidFill>
                </w14:textFill>
              </w:rPr>
              <w:t>消防用水量</w:t>
            </w:r>
            <w:r>
              <w:rPr>
                <w:rFonts w:hint="eastAsia"/>
                <w:color w:val="000000" w:themeColor="text1"/>
                <w:kern w:val="0"/>
                <w:szCs w:val="21"/>
                <w:lang w:val="en-US" w:eastAsia="zh-CN" w:bidi="ar"/>
                <w14:textFill>
                  <w14:solidFill>
                    <w14:schemeClr w14:val="tx1"/>
                  </w14:solidFill>
                </w14:textFill>
              </w:rPr>
              <w:t>合计</w:t>
            </w:r>
            <w:r>
              <w:rPr>
                <w:color w:val="000000" w:themeColor="text1"/>
                <w:kern w:val="0"/>
                <w:szCs w:val="21"/>
                <w:lang w:bidi="ar"/>
                <w14:textFill>
                  <w14:solidFill>
                    <w14:schemeClr w14:val="tx1"/>
                  </w14:solidFill>
                </w14:textFill>
              </w:rPr>
              <w:t>按</w:t>
            </w:r>
            <w:r>
              <w:rPr>
                <w:rFonts w:hint="eastAsia"/>
                <w:color w:val="000000" w:themeColor="text1"/>
                <w:kern w:val="0"/>
                <w:szCs w:val="21"/>
                <w:lang w:val="en-US" w:eastAsia="zh-CN" w:bidi="ar"/>
                <w14:textFill>
                  <w14:solidFill>
                    <w14:schemeClr w14:val="tx1"/>
                  </w14:solidFill>
                </w14:textFill>
              </w:rPr>
              <w:t>50</w:t>
            </w:r>
            <w:r>
              <w:rPr>
                <w:color w:val="000000" w:themeColor="text1"/>
                <w:kern w:val="0"/>
                <w:szCs w:val="21"/>
                <w:lang w:bidi="ar"/>
                <w14:textFill>
                  <w14:solidFill>
                    <w14:schemeClr w14:val="tx1"/>
                  </w14:solidFill>
                </w14:textFill>
              </w:rPr>
              <w:t>L/s，</w:t>
            </w:r>
            <w:r>
              <w:rPr>
                <w:color w:val="000000" w:themeColor="text1"/>
                <w:kern w:val="0"/>
                <w:szCs w:val="21"/>
                <w:highlight w:val="none"/>
                <w:lang w:bidi="ar"/>
                <w14:textFill>
                  <w14:solidFill>
                    <w14:schemeClr w14:val="tx1"/>
                  </w14:solidFill>
                </w14:textFill>
              </w:rPr>
              <w:t>火灾延续时间按</w:t>
            </w:r>
            <w:r>
              <w:rPr>
                <w:rFonts w:hint="eastAsia"/>
                <w:color w:val="000000" w:themeColor="text1"/>
                <w:kern w:val="0"/>
                <w:szCs w:val="21"/>
                <w:highlight w:val="none"/>
                <w:lang w:val="en-US" w:eastAsia="zh-CN" w:bidi="ar"/>
                <w14:textFill>
                  <w14:solidFill>
                    <w14:schemeClr w14:val="tx1"/>
                  </w14:solidFill>
                </w14:textFill>
              </w:rPr>
              <w:t>3</w:t>
            </w:r>
            <w:r>
              <w:rPr>
                <w:rFonts w:hint="eastAsia"/>
                <w:color w:val="000000" w:themeColor="text1"/>
                <w:kern w:val="0"/>
                <w:szCs w:val="21"/>
                <w:highlight w:val="none"/>
                <w:lang w:bidi="ar"/>
                <w14:textFill>
                  <w14:solidFill>
                    <w14:schemeClr w14:val="tx1"/>
                  </w14:solidFill>
                </w14:textFill>
              </w:rPr>
              <w:t>h</w:t>
            </w:r>
            <w:r>
              <w:rPr>
                <w:color w:val="000000" w:themeColor="text1"/>
                <w:kern w:val="0"/>
                <w:szCs w:val="21"/>
                <w:highlight w:val="none"/>
                <w:lang w:bidi="ar"/>
                <w14:textFill>
                  <w14:solidFill>
                    <w14:schemeClr w14:val="tx1"/>
                  </w14:solidFill>
                </w14:textFill>
              </w:rPr>
              <w:t>计</w:t>
            </w:r>
            <w:r>
              <w:rPr>
                <w:color w:val="000000" w:themeColor="text1"/>
                <w:kern w:val="0"/>
                <w:szCs w:val="21"/>
                <w:highlight w:val="none"/>
                <w:lang w:bidi="ar"/>
                <w14:textFill>
                  <w14:solidFill>
                    <w14:schemeClr w14:val="tx1"/>
                  </w14:solidFill>
                </w14:textFill>
              </w:rPr>
              <w:t>，其消防水使用量为</w:t>
            </w:r>
            <w:r>
              <w:rPr>
                <w:rFonts w:hint="eastAsia"/>
                <w:color w:val="000000" w:themeColor="text1"/>
                <w:kern w:val="0"/>
                <w:szCs w:val="21"/>
                <w:highlight w:val="none"/>
                <w:lang w:val="en-US" w:eastAsia="zh-CN" w:bidi="ar"/>
                <w14:textFill>
                  <w14:solidFill>
                    <w14:schemeClr w14:val="tx1"/>
                  </w14:solidFill>
                </w14:textFill>
              </w:rPr>
              <w:t>540</w:t>
            </w:r>
            <w:r>
              <w:rPr>
                <w:color w:val="000000" w:themeColor="text1"/>
                <w:kern w:val="0"/>
                <w:szCs w:val="21"/>
                <w:highlight w:val="none"/>
                <w:lang w:bidi="ar"/>
                <w14:textFill>
                  <w14:solidFill>
                    <w14:schemeClr w14:val="tx1"/>
                  </w14:solidFill>
                </w14:textFill>
              </w:rPr>
              <w:t>m</w:t>
            </w:r>
            <w:r>
              <w:rPr>
                <w:color w:val="000000" w:themeColor="text1"/>
                <w:kern w:val="0"/>
                <w:szCs w:val="21"/>
                <w:highlight w:val="none"/>
                <w:vertAlign w:val="superscript"/>
                <w:lang w:bidi="ar"/>
                <w14:textFill>
                  <w14:solidFill>
                    <w14:schemeClr w14:val="tx1"/>
                  </w14:solidFill>
                </w14:textFill>
              </w:rPr>
              <w:t>3</w:t>
            </w:r>
            <w:r>
              <w:rPr>
                <w:color w:val="000000" w:themeColor="text1"/>
                <w:kern w:val="0"/>
                <w:szCs w:val="21"/>
                <w:highlight w:val="none"/>
                <w:lang w:bidi="ar"/>
                <w14:textFill>
                  <w14:solidFill>
                    <w14:schemeClr w14:val="tx1"/>
                  </w14:solidFill>
                </w14:textFill>
              </w:rPr>
              <w:t>，按8</w:t>
            </w:r>
            <w:r>
              <w:rPr>
                <w:rFonts w:hint="eastAsia"/>
                <w:color w:val="000000" w:themeColor="text1"/>
                <w:kern w:val="0"/>
                <w:szCs w:val="21"/>
                <w:highlight w:val="none"/>
                <w:lang w:bidi="ar"/>
                <w14:textFill>
                  <w14:solidFill>
                    <w14:schemeClr w14:val="tx1"/>
                  </w14:solidFill>
                </w14:textFill>
              </w:rPr>
              <w:t>0</w:t>
            </w:r>
            <w:r>
              <w:rPr>
                <w:color w:val="000000" w:themeColor="text1"/>
                <w:kern w:val="0"/>
                <w:szCs w:val="21"/>
                <w:highlight w:val="none"/>
                <w:lang w:bidi="ar"/>
                <w14:textFill>
                  <w14:solidFill>
                    <w14:schemeClr w14:val="tx1"/>
                  </w14:solidFill>
                </w14:textFill>
              </w:rPr>
              <w:t>%的转化系数计算，将产生消防</w:t>
            </w:r>
            <w:r>
              <w:rPr>
                <w:rFonts w:hint="eastAsia"/>
                <w:color w:val="000000" w:themeColor="text1"/>
                <w:kern w:val="0"/>
                <w:szCs w:val="21"/>
                <w:highlight w:val="none"/>
                <w:lang w:bidi="ar"/>
                <w14:textFill>
                  <w14:solidFill>
                    <w14:schemeClr w14:val="tx1"/>
                  </w14:solidFill>
                </w14:textFill>
              </w:rPr>
              <w:t>水量V</w:t>
            </w:r>
            <w:r>
              <w:rPr>
                <w:rFonts w:hint="eastAsia"/>
                <w:color w:val="000000" w:themeColor="text1"/>
                <w:kern w:val="0"/>
                <w:szCs w:val="21"/>
                <w:highlight w:val="none"/>
                <w:vertAlign w:val="subscript"/>
                <w:lang w:bidi="ar"/>
                <w14:textFill>
                  <w14:solidFill>
                    <w14:schemeClr w14:val="tx1"/>
                  </w14:solidFill>
                </w14:textFill>
              </w:rPr>
              <w:t>2</w:t>
            </w:r>
            <w:r>
              <w:rPr>
                <w:rFonts w:hint="eastAsia"/>
                <w:color w:val="000000" w:themeColor="text1"/>
                <w:kern w:val="0"/>
                <w:szCs w:val="21"/>
                <w:highlight w:val="none"/>
                <w:lang w:bidi="ar"/>
                <w14:textFill>
                  <w14:solidFill>
                    <w14:schemeClr w14:val="tx1"/>
                  </w14:solidFill>
                </w14:textFill>
              </w:rPr>
              <w:t>=</w:t>
            </w:r>
            <w:r>
              <w:rPr>
                <w:rFonts w:hint="eastAsia"/>
                <w:color w:val="000000" w:themeColor="text1"/>
                <w:kern w:val="0"/>
                <w:szCs w:val="21"/>
                <w:highlight w:val="none"/>
                <w:lang w:val="en-US" w:eastAsia="zh-CN" w:bidi="ar"/>
                <w14:textFill>
                  <w14:solidFill>
                    <w14:schemeClr w14:val="tx1"/>
                  </w14:solidFill>
                </w14:textFill>
              </w:rPr>
              <w:t>432</w:t>
            </w:r>
            <w:r>
              <w:rPr>
                <w:color w:val="000000" w:themeColor="text1"/>
                <w:kern w:val="0"/>
                <w:szCs w:val="21"/>
                <w:highlight w:val="none"/>
                <w:lang w:bidi="ar"/>
                <w14:textFill>
                  <w14:solidFill>
                    <w14:schemeClr w14:val="tx1"/>
                  </w14:solidFill>
                </w14:textFill>
              </w:rPr>
              <w:t>m</w:t>
            </w:r>
            <w:r>
              <w:rPr>
                <w:color w:val="000000" w:themeColor="text1"/>
                <w:kern w:val="0"/>
                <w:szCs w:val="21"/>
                <w:highlight w:val="none"/>
                <w:vertAlign w:val="superscript"/>
                <w:lang w:bidi="ar"/>
                <w14:textFill>
                  <w14:solidFill>
                    <w14:schemeClr w14:val="tx1"/>
                  </w14:solidFill>
                </w14:textFill>
              </w:rPr>
              <w:t>3</w:t>
            </w:r>
            <w:r>
              <w:rPr>
                <w:rFonts w:hint="eastAsia"/>
                <w:color w:val="000000" w:themeColor="text1"/>
                <w:kern w:val="0"/>
                <w:szCs w:val="21"/>
                <w:highlight w:val="none"/>
                <w:lang w:bidi="ar"/>
                <w14:textFill>
                  <w14:solidFill>
                    <w14:schemeClr w14:val="tx1"/>
                  </w14:solidFill>
                </w14:textFill>
              </w:rPr>
              <w:t>；</w:t>
            </w:r>
          </w:p>
          <w:p w14:paraId="0C24C8EB">
            <w:pPr>
              <w:widowControl/>
              <w:spacing w:line="360" w:lineRule="auto"/>
              <w:ind w:firstLine="420" w:firstLineChars="200"/>
              <w:jc w:val="left"/>
              <w:rPr>
                <w:rFonts w:hint="eastAsia"/>
                <w:color w:val="000000" w:themeColor="text1"/>
                <w:kern w:val="0"/>
                <w:szCs w:val="21"/>
                <w:highlight w:val="none"/>
                <w:vertAlign w:val="subscript"/>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C.</w:t>
            </w:r>
            <w:r>
              <w:rPr>
                <w:color w:val="000000" w:themeColor="text1"/>
                <w:kern w:val="0"/>
                <w:szCs w:val="21"/>
                <w:lang w:bidi="ar"/>
                <w14:textFill>
                  <w14:solidFill>
                    <w14:schemeClr w14:val="tx1"/>
                  </w14:solidFill>
                </w14:textFill>
              </w:rPr>
              <w:t>V</w:t>
            </w:r>
            <w:r>
              <w:rPr>
                <w:color w:val="000000" w:themeColor="text1"/>
                <w:kern w:val="0"/>
                <w:szCs w:val="21"/>
                <w:vertAlign w:val="subscript"/>
                <w:lang w:bidi="ar"/>
                <w14:textFill>
                  <w14:solidFill>
                    <w14:schemeClr w14:val="tx1"/>
                  </w14:solidFill>
                </w14:textFill>
              </w:rPr>
              <w:t>3</w:t>
            </w:r>
            <w:r>
              <w:rPr>
                <w:rFonts w:hint="eastAsia"/>
                <w:color w:val="000000" w:themeColor="text1"/>
                <w:kern w:val="0"/>
                <w:szCs w:val="21"/>
                <w:lang w:bidi="ar"/>
                <w14:textFill>
                  <w14:solidFill>
                    <w14:schemeClr w14:val="tx1"/>
                  </w14:solidFill>
                </w14:textFill>
              </w:rPr>
              <w:t>计算依据及结</w:t>
            </w:r>
            <w:r>
              <w:rPr>
                <w:rFonts w:hint="eastAsia"/>
                <w:color w:val="000000" w:themeColor="text1"/>
                <w:kern w:val="0"/>
                <w:szCs w:val="21"/>
                <w:highlight w:val="none"/>
                <w:lang w:bidi="ar"/>
                <w14:textFill>
                  <w14:solidFill>
                    <w14:schemeClr w14:val="tx1"/>
                  </w14:solidFill>
                </w14:textFill>
              </w:rPr>
              <w:t>论如下：</w:t>
            </w:r>
          </w:p>
          <w:p w14:paraId="211BBBD8">
            <w:pPr>
              <w:widowControl/>
              <w:spacing w:line="360" w:lineRule="auto"/>
              <w:ind w:firstLine="420" w:firstLineChars="200"/>
              <w:jc w:val="left"/>
              <w:rPr>
                <w:color w:val="000000" w:themeColor="text1"/>
                <w:kern w:val="0"/>
                <w:szCs w:val="21"/>
                <w:lang w:bidi="ar"/>
                <w14:textFill>
                  <w14:solidFill>
                    <w14:schemeClr w14:val="tx1"/>
                  </w14:solidFill>
                </w14:textFill>
              </w:rPr>
            </w:pPr>
            <w:r>
              <w:rPr>
                <w:rFonts w:hint="eastAsia"/>
                <w:color w:val="000000" w:themeColor="text1"/>
                <w:kern w:val="0"/>
                <w:szCs w:val="21"/>
                <w:highlight w:val="none"/>
                <w:lang w:bidi="ar"/>
                <w14:textFill>
                  <w14:solidFill>
                    <w14:schemeClr w14:val="tx1"/>
                  </w14:solidFill>
                </w14:textFill>
              </w:rPr>
              <w:t>公司污染废水可暂存雨水管道中</w:t>
            </w:r>
            <w:r>
              <w:rPr>
                <w:rFonts w:hint="eastAsia"/>
                <w:color w:val="000000" w:themeColor="text1"/>
                <w:kern w:val="0"/>
                <w:szCs w:val="21"/>
                <w:highlight w:val="none"/>
                <w:lang w:eastAsia="zh-CN" w:bidi="ar"/>
                <w14:textFill>
                  <w14:solidFill>
                    <w14:schemeClr w14:val="tx1"/>
                  </w14:solidFill>
                </w14:textFill>
              </w:rPr>
              <w:t>，</w:t>
            </w:r>
            <w:r>
              <w:rPr>
                <w:rFonts w:hint="eastAsia"/>
                <w:color w:val="000000" w:themeColor="text1"/>
                <w:kern w:val="0"/>
                <w:szCs w:val="21"/>
                <w:highlight w:val="none"/>
                <w:lang w:val="en-US" w:eastAsia="zh-CN" w:bidi="ar"/>
                <w14:textFill>
                  <w14:solidFill>
                    <w14:schemeClr w14:val="tx1"/>
                  </w14:solidFill>
                </w14:textFill>
              </w:rPr>
              <w:t>依托产业园内现有的部分雨水管道，通过设置雨水阀门截断园区与本项目之间的雨水管网</w:t>
            </w:r>
            <w:r>
              <w:rPr>
                <w:rFonts w:hint="eastAsia"/>
                <w:color w:val="000000" w:themeColor="text1"/>
                <w:kern w:val="0"/>
                <w:szCs w:val="21"/>
                <w:highlight w:val="none"/>
                <w:lang w:bidi="ar"/>
                <w14:textFill>
                  <w14:solidFill>
                    <w14:schemeClr w14:val="tx1"/>
                  </w14:solidFill>
                </w14:textFill>
              </w:rPr>
              <w:t>，雨水管道内径</w:t>
            </w:r>
            <w:r>
              <w:rPr>
                <w:rFonts w:hint="eastAsia"/>
                <w:color w:val="000000" w:themeColor="text1"/>
                <w:kern w:val="0"/>
                <w:szCs w:val="21"/>
                <w:highlight w:val="none"/>
                <w:lang w:val="en-US" w:eastAsia="zh-CN" w:bidi="ar"/>
                <w14:textFill>
                  <w14:solidFill>
                    <w14:schemeClr w14:val="tx1"/>
                  </w14:solidFill>
                </w14:textFill>
              </w:rPr>
              <w:t>40</w:t>
            </w:r>
            <w:r>
              <w:rPr>
                <w:rFonts w:hint="eastAsia"/>
                <w:color w:val="000000" w:themeColor="text1"/>
                <w:kern w:val="0"/>
                <w:szCs w:val="21"/>
                <w:highlight w:val="none"/>
                <w:lang w:bidi="ar"/>
                <w14:textFill>
                  <w14:solidFill>
                    <w14:schemeClr w14:val="tx1"/>
                  </w14:solidFill>
                </w14:textFill>
              </w:rPr>
              <w:t>0mm，厂区内长度约</w:t>
            </w:r>
            <w:r>
              <w:rPr>
                <w:rFonts w:hint="eastAsia"/>
                <w:color w:val="000000" w:themeColor="text1"/>
                <w:kern w:val="0"/>
                <w:szCs w:val="21"/>
                <w:highlight w:val="none"/>
                <w:lang w:val="en-US" w:eastAsia="zh-CN" w:bidi="ar"/>
                <w14:textFill>
                  <w14:solidFill>
                    <w14:schemeClr w14:val="tx1"/>
                  </w14:solidFill>
                </w14:textFill>
              </w:rPr>
              <w:t>239</w:t>
            </w:r>
            <w:r>
              <w:rPr>
                <w:rFonts w:hint="eastAsia"/>
                <w:color w:val="000000" w:themeColor="text1"/>
                <w:kern w:val="0"/>
                <w:szCs w:val="21"/>
                <w:highlight w:val="none"/>
                <w:lang w:bidi="ar"/>
                <w14:textFill>
                  <w14:solidFill>
                    <w14:schemeClr w14:val="tx1"/>
                  </w14:solidFill>
                </w14:textFill>
              </w:rPr>
              <w:t>m，雨水管网可</w:t>
            </w:r>
            <w:r>
              <w:rPr>
                <w:rFonts w:hint="eastAsia"/>
                <w:color w:val="000000" w:themeColor="text1"/>
                <w:kern w:val="0"/>
                <w:szCs w:val="21"/>
                <w:highlight w:val="none"/>
                <w:lang w:val="en-US" w:eastAsia="zh-CN" w:bidi="ar"/>
                <w14:textFill>
                  <w14:solidFill>
                    <w14:schemeClr w14:val="tx1"/>
                  </w14:solidFill>
                </w14:textFill>
              </w:rPr>
              <w:t>容纳</w:t>
            </w:r>
            <w:r>
              <w:rPr>
                <w:rFonts w:hint="eastAsia"/>
                <w:color w:val="000000" w:themeColor="text1"/>
                <w:kern w:val="0"/>
                <w:szCs w:val="21"/>
                <w:highlight w:val="none"/>
                <w:lang w:bidi="ar"/>
                <w14:textFill>
                  <w14:solidFill>
                    <w14:schemeClr w14:val="tx1"/>
                  </w14:solidFill>
                </w14:textFill>
              </w:rPr>
              <w:t>废水量</w:t>
            </w:r>
            <w:r>
              <w:rPr>
                <w:rFonts w:hint="eastAsia"/>
                <w:color w:val="000000" w:themeColor="text1"/>
                <w:kern w:val="0"/>
                <w:szCs w:val="21"/>
                <w:highlight w:val="none"/>
                <w:lang w:val="en-US" w:eastAsia="zh-CN" w:bidi="ar"/>
                <w14:textFill>
                  <w14:solidFill>
                    <w14:schemeClr w14:val="tx1"/>
                  </w14:solidFill>
                </w14:textFill>
              </w:rPr>
              <w:t>V</w:t>
            </w:r>
            <w:r>
              <w:rPr>
                <w:rFonts w:hint="eastAsia"/>
                <w:color w:val="000000" w:themeColor="text1"/>
                <w:kern w:val="0"/>
                <w:szCs w:val="21"/>
                <w:highlight w:val="none"/>
                <w:vertAlign w:val="subscript"/>
                <w:lang w:val="en-US" w:eastAsia="zh-CN" w:bidi="ar"/>
                <w14:textFill>
                  <w14:solidFill>
                    <w14:schemeClr w14:val="tx1"/>
                  </w14:solidFill>
                </w14:textFill>
              </w:rPr>
              <w:t>3</w:t>
            </w:r>
            <w:r>
              <w:rPr>
                <w:rFonts w:hint="eastAsia"/>
                <w:color w:val="000000" w:themeColor="text1"/>
                <w:kern w:val="0"/>
                <w:szCs w:val="21"/>
                <w:highlight w:val="none"/>
                <w:lang w:bidi="ar"/>
                <w14:textFill>
                  <w14:solidFill>
                    <w14:schemeClr w14:val="tx1"/>
                  </w14:solidFill>
                </w14:textFill>
              </w:rPr>
              <w:t>约</w:t>
            </w:r>
            <w:r>
              <w:rPr>
                <w:rFonts w:hint="eastAsia"/>
                <w:color w:val="000000" w:themeColor="text1"/>
                <w:kern w:val="0"/>
                <w:szCs w:val="21"/>
                <w:highlight w:val="none"/>
                <w:lang w:val="en-US" w:eastAsia="zh-CN" w:bidi="ar"/>
                <w14:textFill>
                  <w14:solidFill>
                    <w14:schemeClr w14:val="tx1"/>
                  </w14:solidFill>
                </w14:textFill>
              </w:rPr>
              <w:t>30.02</w:t>
            </w:r>
            <w:r>
              <w:rPr>
                <w:color w:val="000000" w:themeColor="text1"/>
                <w:kern w:val="0"/>
                <w:szCs w:val="21"/>
                <w:highlight w:val="none"/>
                <w:lang w:bidi="ar"/>
                <w14:textFill>
                  <w14:solidFill>
                    <w14:schemeClr w14:val="tx1"/>
                  </w14:solidFill>
                </w14:textFill>
              </w:rPr>
              <w:t>m</w:t>
            </w:r>
            <w:r>
              <w:rPr>
                <w:color w:val="000000" w:themeColor="text1"/>
                <w:kern w:val="0"/>
                <w:szCs w:val="21"/>
                <w:highlight w:val="none"/>
                <w:vertAlign w:val="superscript"/>
                <w:lang w:bidi="ar"/>
                <w14:textFill>
                  <w14:solidFill>
                    <w14:schemeClr w14:val="tx1"/>
                  </w14:solidFill>
                </w14:textFill>
              </w:rPr>
              <w:t>3</w:t>
            </w:r>
            <w:r>
              <w:rPr>
                <w:rFonts w:hint="eastAsia"/>
                <w:color w:val="000000" w:themeColor="text1"/>
                <w:kern w:val="0"/>
                <w:szCs w:val="21"/>
                <w:lang w:bidi="ar"/>
                <w14:textFill>
                  <w14:solidFill>
                    <w14:schemeClr w14:val="tx1"/>
                  </w14:solidFill>
                </w14:textFill>
              </w:rPr>
              <w:t>。</w:t>
            </w:r>
          </w:p>
          <w:p w14:paraId="09202823">
            <w:pPr>
              <w:widowControl/>
              <w:spacing w:line="360" w:lineRule="auto"/>
              <w:ind w:firstLine="420" w:firstLineChars="200"/>
              <w:jc w:val="left"/>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D.</w:t>
            </w:r>
            <w:r>
              <w:rPr>
                <w:color w:val="000000" w:themeColor="text1"/>
                <w:kern w:val="0"/>
                <w:szCs w:val="21"/>
                <w:lang w:bidi="ar"/>
                <w14:textFill>
                  <w14:solidFill>
                    <w14:schemeClr w14:val="tx1"/>
                  </w14:solidFill>
                </w14:textFill>
              </w:rPr>
              <w:t>V</w:t>
            </w:r>
            <w:r>
              <w:rPr>
                <w:color w:val="000000" w:themeColor="text1"/>
                <w:kern w:val="0"/>
                <w:szCs w:val="21"/>
                <w:vertAlign w:val="subscript"/>
                <w:lang w:bidi="ar"/>
                <w14:textFill>
                  <w14:solidFill>
                    <w14:schemeClr w14:val="tx1"/>
                  </w14:solidFill>
                </w14:textFill>
              </w:rPr>
              <w:t>4</w:t>
            </w:r>
            <w:r>
              <w:rPr>
                <w:rFonts w:hint="eastAsia"/>
                <w:color w:val="000000" w:themeColor="text1"/>
                <w:kern w:val="0"/>
                <w:szCs w:val="21"/>
                <w:lang w:bidi="ar"/>
                <w14:textFill>
                  <w14:solidFill>
                    <w14:schemeClr w14:val="tx1"/>
                  </w14:solidFill>
                </w14:textFill>
              </w:rPr>
              <w:t>=0m</w:t>
            </w:r>
            <w:r>
              <w:rPr>
                <w:rFonts w:hint="eastAsia"/>
                <w:color w:val="000000" w:themeColor="text1"/>
                <w:kern w:val="0"/>
                <w:szCs w:val="21"/>
                <w:vertAlign w:val="superscript"/>
                <w:lang w:bidi="ar"/>
                <w14:textFill>
                  <w14:solidFill>
                    <w14:schemeClr w14:val="tx1"/>
                  </w14:solidFill>
                </w14:textFill>
              </w:rPr>
              <w:t>3</w:t>
            </w:r>
            <w:r>
              <w:rPr>
                <w:rFonts w:hint="eastAsia"/>
                <w:color w:val="000000" w:themeColor="text1"/>
                <w:kern w:val="0"/>
                <w:szCs w:val="21"/>
                <w:lang w:bidi="ar"/>
                <w14:textFill>
                  <w14:solidFill>
                    <w14:schemeClr w14:val="tx1"/>
                  </w14:solidFill>
                </w14:textFill>
              </w:rPr>
              <w:t>，公司无生产废水排放；</w:t>
            </w:r>
          </w:p>
          <w:p w14:paraId="036603DA">
            <w:pPr>
              <w:widowControl/>
              <w:spacing w:line="360" w:lineRule="auto"/>
              <w:ind w:firstLine="420" w:firstLineChars="200"/>
              <w:jc w:val="left"/>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E.</w:t>
            </w:r>
            <w:r>
              <w:rPr>
                <w:color w:val="000000" w:themeColor="text1"/>
                <w:kern w:val="0"/>
                <w:szCs w:val="21"/>
                <w:lang w:bidi="ar"/>
                <w14:textFill>
                  <w14:solidFill>
                    <w14:schemeClr w14:val="tx1"/>
                  </w14:solidFill>
                </w14:textFill>
              </w:rPr>
              <w:t>V</w:t>
            </w:r>
            <w:r>
              <w:rPr>
                <w:rFonts w:hint="eastAsia"/>
                <w:color w:val="000000" w:themeColor="text1"/>
                <w:kern w:val="0"/>
                <w:szCs w:val="21"/>
                <w:vertAlign w:val="subscript"/>
                <w:lang w:bidi="ar"/>
                <w14:textFill>
                  <w14:solidFill>
                    <w14:schemeClr w14:val="tx1"/>
                  </w14:solidFill>
                </w14:textFill>
              </w:rPr>
              <w:t>5</w:t>
            </w:r>
            <w:r>
              <w:rPr>
                <w:rFonts w:hint="eastAsia"/>
                <w:color w:val="000000" w:themeColor="text1"/>
                <w:kern w:val="0"/>
                <w:szCs w:val="21"/>
                <w:lang w:bidi="ar"/>
                <w14:textFill>
                  <w14:solidFill>
                    <w14:schemeClr w14:val="tx1"/>
                  </w14:solidFill>
                </w14:textFill>
              </w:rPr>
              <w:t>计算依据及结论如下：</w:t>
            </w:r>
          </w:p>
          <w:p w14:paraId="5317A561">
            <w:pPr>
              <w:widowControl/>
              <w:spacing w:line="360" w:lineRule="auto"/>
              <w:ind w:firstLine="420" w:firstLineChars="200"/>
              <w:jc w:val="left"/>
              <w:rPr>
                <w:rFonts w:hint="eastAsia"/>
                <w:color w:val="000000" w:themeColor="text1"/>
                <w:kern w:val="0"/>
                <w:szCs w:val="21"/>
                <w:highlight w:val="none"/>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常熟市2012年到2021年，十年平均降水量为1374.18mm（qa），十年平均降水日数为130.7天（n），应进入事故废水收集系统的雨水汇水面积</w:t>
            </w:r>
            <w:r>
              <w:rPr>
                <w:rFonts w:hint="eastAsia"/>
                <w:color w:val="000000" w:themeColor="text1"/>
                <w:kern w:val="0"/>
                <w:szCs w:val="21"/>
                <w:highlight w:val="none"/>
                <w:lang w:bidi="ar"/>
                <w14:textFill>
                  <w14:solidFill>
                    <w14:schemeClr w14:val="tx1"/>
                  </w14:solidFill>
                </w14:textFill>
              </w:rPr>
              <w:t>约</w:t>
            </w:r>
            <w:r>
              <w:rPr>
                <w:rFonts w:hint="eastAsia"/>
                <w:color w:val="000000" w:themeColor="text1"/>
                <w:kern w:val="0"/>
                <w:szCs w:val="21"/>
                <w:highlight w:val="none"/>
                <w:lang w:val="en-US" w:eastAsia="zh-CN" w:bidi="ar"/>
                <w14:textFill>
                  <w14:solidFill>
                    <w14:schemeClr w14:val="tx1"/>
                  </w14:solidFill>
                </w14:textFill>
              </w:rPr>
              <w:t>973.64</w:t>
            </w:r>
            <w:r>
              <w:rPr>
                <w:rFonts w:hint="eastAsia"/>
                <w:color w:val="000000" w:themeColor="text1"/>
                <w:kern w:val="0"/>
                <w:szCs w:val="21"/>
                <w:highlight w:val="none"/>
                <w:lang w:bidi="ar"/>
                <w14:textFill>
                  <w14:solidFill>
                    <w14:schemeClr w14:val="tx1"/>
                  </w14:solidFill>
                </w14:textFill>
              </w:rPr>
              <w:t>m</w:t>
            </w:r>
            <w:r>
              <w:rPr>
                <w:rFonts w:hint="eastAsia"/>
                <w:color w:val="000000" w:themeColor="text1"/>
                <w:kern w:val="0"/>
                <w:szCs w:val="21"/>
                <w:highlight w:val="none"/>
                <w:vertAlign w:val="superscript"/>
                <w:lang w:bidi="ar"/>
                <w14:textFill>
                  <w14:solidFill>
                    <w14:schemeClr w14:val="tx1"/>
                  </w14:solidFill>
                </w14:textFill>
              </w:rPr>
              <w:t>2</w:t>
            </w:r>
            <w:r>
              <w:rPr>
                <w:rFonts w:hint="eastAsia"/>
                <w:color w:val="000000" w:themeColor="text1"/>
                <w:kern w:val="0"/>
                <w:szCs w:val="21"/>
                <w:highlight w:val="none"/>
                <w:lang w:bidi="ar"/>
                <w14:textFill>
                  <w14:solidFill>
                    <w14:schemeClr w14:val="tx1"/>
                  </w14:solidFill>
                </w14:textFill>
              </w:rPr>
              <w:t>，即</w:t>
            </w:r>
            <w:r>
              <w:rPr>
                <w:rFonts w:hint="eastAsia"/>
                <w:color w:val="000000" w:themeColor="text1"/>
                <w:kern w:val="0"/>
                <w:szCs w:val="21"/>
                <w:highlight w:val="none"/>
                <w:lang w:val="en-US" w:eastAsia="zh-CN" w:bidi="ar"/>
                <w14:textFill>
                  <w14:solidFill>
                    <w14:schemeClr w14:val="tx1"/>
                  </w14:solidFill>
                </w14:textFill>
              </w:rPr>
              <w:t>0.097364</w:t>
            </w:r>
            <w:r>
              <w:rPr>
                <w:rFonts w:hint="eastAsia"/>
                <w:color w:val="000000" w:themeColor="text1"/>
                <w:kern w:val="0"/>
                <w:szCs w:val="21"/>
                <w:highlight w:val="none"/>
                <w:lang w:bidi="ar"/>
                <w14:textFill>
                  <w14:solidFill>
                    <w14:schemeClr w14:val="tx1"/>
                  </w14:solidFill>
                </w14:textFill>
              </w:rPr>
              <w:t>ha。故V</w:t>
            </w:r>
            <w:r>
              <w:rPr>
                <w:rFonts w:hint="eastAsia"/>
                <w:color w:val="000000" w:themeColor="text1"/>
                <w:kern w:val="0"/>
                <w:szCs w:val="21"/>
                <w:highlight w:val="none"/>
                <w:vertAlign w:val="subscript"/>
                <w:lang w:bidi="ar"/>
                <w14:textFill>
                  <w14:solidFill>
                    <w14:schemeClr w14:val="tx1"/>
                  </w14:solidFill>
                </w14:textFill>
              </w:rPr>
              <w:t>5</w:t>
            </w:r>
            <w:r>
              <w:rPr>
                <w:rFonts w:hint="eastAsia"/>
                <w:color w:val="000000" w:themeColor="text1"/>
                <w:kern w:val="0"/>
                <w:szCs w:val="21"/>
                <w:highlight w:val="none"/>
                <w:lang w:bidi="ar"/>
                <w14:textFill>
                  <w14:solidFill>
                    <w14:schemeClr w14:val="tx1"/>
                  </w14:solidFill>
                </w14:textFill>
              </w:rPr>
              <w:t>=10*（1374.18/130.7）*</w:t>
            </w:r>
            <w:r>
              <w:rPr>
                <w:rFonts w:hint="eastAsia"/>
                <w:color w:val="000000" w:themeColor="text1"/>
                <w:kern w:val="0"/>
                <w:szCs w:val="21"/>
                <w:highlight w:val="none"/>
                <w:lang w:val="en-US" w:eastAsia="zh-CN" w:bidi="ar"/>
                <w14:textFill>
                  <w14:solidFill>
                    <w14:schemeClr w14:val="tx1"/>
                  </w14:solidFill>
                </w14:textFill>
              </w:rPr>
              <w:t>0.097364≈10</w:t>
            </w:r>
            <w:r>
              <w:rPr>
                <w:rFonts w:hint="eastAsia"/>
                <w:color w:val="000000" w:themeColor="text1"/>
                <w:kern w:val="0"/>
                <w:szCs w:val="21"/>
                <w:highlight w:val="none"/>
                <w:lang w:bidi="ar"/>
                <w14:textFill>
                  <w14:solidFill>
                    <w14:schemeClr w14:val="tx1"/>
                  </w14:solidFill>
                </w14:textFill>
              </w:rPr>
              <w:t>m</w:t>
            </w:r>
            <w:r>
              <w:rPr>
                <w:rFonts w:hint="eastAsia"/>
                <w:color w:val="000000" w:themeColor="text1"/>
                <w:kern w:val="0"/>
                <w:szCs w:val="21"/>
                <w:highlight w:val="none"/>
                <w:vertAlign w:val="superscript"/>
                <w:lang w:bidi="ar"/>
                <w14:textFill>
                  <w14:solidFill>
                    <w14:schemeClr w14:val="tx1"/>
                  </w14:solidFill>
                </w14:textFill>
              </w:rPr>
              <w:t>3</w:t>
            </w:r>
            <w:r>
              <w:rPr>
                <w:rFonts w:hint="eastAsia"/>
                <w:color w:val="000000" w:themeColor="text1"/>
                <w:kern w:val="0"/>
                <w:szCs w:val="21"/>
                <w:highlight w:val="none"/>
                <w:lang w:bidi="ar"/>
                <w14:textFill>
                  <w14:solidFill>
                    <w14:schemeClr w14:val="tx1"/>
                  </w14:solidFill>
                </w14:textFill>
              </w:rPr>
              <w:t>。</w:t>
            </w:r>
          </w:p>
          <w:p w14:paraId="5A26F625">
            <w:pPr>
              <w:pStyle w:val="6"/>
              <w:spacing w:line="360" w:lineRule="auto"/>
              <w:ind w:firstLine="420" w:firstLineChars="200"/>
              <w:jc w:val="left"/>
              <w:rPr>
                <w:rFonts w:ascii="Times New Roman" w:eastAsia="宋体"/>
                <w:b w:val="0"/>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t>综上，事故池容量VT =（0.</w:t>
            </w:r>
            <w:r>
              <w:rPr>
                <w:rFonts w:hint="eastAsia" w:ascii="Times New Roman" w:eastAsia="宋体" w:cs="Times New Roman"/>
                <w:b w:val="0"/>
                <w:color w:val="000000" w:themeColor="text1"/>
                <w:kern w:val="0"/>
                <w:sz w:val="21"/>
                <w:szCs w:val="21"/>
                <w:highlight w:val="none"/>
                <w:lang w:val="en-US" w:eastAsia="zh-CN" w:bidi="ar"/>
                <w14:textFill>
                  <w14:solidFill>
                    <w14:schemeClr w14:val="tx1"/>
                  </w14:solidFill>
                </w14:textFill>
              </w:rPr>
              <w:t>17</w:t>
            </w:r>
            <w:r>
              <w:rPr>
                <w:rFonts w:hint="eastAsia"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t>+</w:t>
            </w:r>
            <w:r>
              <w:rPr>
                <w:rFonts w:hint="eastAsia" w:ascii="Times New Roman" w:eastAsia="宋体" w:cs="Times New Roman"/>
                <w:b w:val="0"/>
                <w:color w:val="000000" w:themeColor="text1"/>
                <w:kern w:val="0"/>
                <w:sz w:val="21"/>
                <w:szCs w:val="21"/>
                <w:highlight w:val="none"/>
                <w:lang w:val="en-US" w:eastAsia="zh-CN" w:bidi="ar"/>
                <w14:textFill>
                  <w14:solidFill>
                    <w14:schemeClr w14:val="tx1"/>
                  </w14:solidFill>
                </w14:textFill>
              </w:rPr>
              <w:t>432</w:t>
            </w:r>
            <w:r>
              <w:rPr>
                <w:rFonts w:hint="eastAsia"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t>-</w:t>
            </w:r>
            <w:r>
              <w:rPr>
                <w:rFonts w:hint="eastAsia" w:ascii="Times New Roman" w:eastAsia="宋体" w:cs="Times New Roman"/>
                <w:b w:val="0"/>
                <w:color w:val="000000" w:themeColor="text1"/>
                <w:kern w:val="0"/>
                <w:sz w:val="21"/>
                <w:szCs w:val="21"/>
                <w:highlight w:val="none"/>
                <w:lang w:val="en-US" w:eastAsia="zh-CN" w:bidi="ar"/>
                <w14:textFill>
                  <w14:solidFill>
                    <w14:schemeClr w14:val="tx1"/>
                  </w14:solidFill>
                </w14:textFill>
              </w:rPr>
              <w:t>30.02</w:t>
            </w:r>
            <w:r>
              <w:rPr>
                <w:rFonts w:hint="eastAsia"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t>）+0+</w:t>
            </w:r>
            <w:r>
              <w:rPr>
                <w:rFonts w:hint="eastAsia" w:ascii="Times New Roman" w:eastAsia="宋体" w:cs="Times New Roman"/>
                <w:b w:val="0"/>
                <w:color w:val="000000" w:themeColor="text1"/>
                <w:kern w:val="0"/>
                <w:sz w:val="21"/>
                <w:szCs w:val="21"/>
                <w:highlight w:val="none"/>
                <w:lang w:val="en-US" w:eastAsia="zh-CN" w:bidi="ar"/>
                <w14:textFill>
                  <w14:solidFill>
                    <w14:schemeClr w14:val="tx1"/>
                  </w14:solidFill>
                </w14:textFill>
              </w:rPr>
              <w:t>10</w:t>
            </w:r>
            <w:r>
              <w:rPr>
                <w:rFonts w:hint="eastAsia"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t>=</w:t>
            </w:r>
            <w:r>
              <w:rPr>
                <w:rFonts w:hint="eastAsia" w:ascii="Times New Roman" w:eastAsia="宋体" w:cs="Times New Roman"/>
                <w:b w:val="0"/>
                <w:color w:val="000000" w:themeColor="text1"/>
                <w:kern w:val="0"/>
                <w:sz w:val="21"/>
                <w:szCs w:val="21"/>
                <w:highlight w:val="none"/>
                <w:lang w:val="en-US" w:eastAsia="zh-CN" w:bidi="ar"/>
                <w14:textFill>
                  <w14:solidFill>
                    <w14:schemeClr w14:val="tx1"/>
                  </w14:solidFill>
                </w14:textFill>
              </w:rPr>
              <w:t>412.15</w:t>
            </w:r>
            <w:r>
              <w:rPr>
                <w:rFonts w:hint="eastAsia"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t>m</w:t>
            </w:r>
            <w:r>
              <w:rPr>
                <w:rFonts w:hint="eastAsia" w:ascii="Times New Roman" w:hAnsi="Times New Roman" w:eastAsia="宋体" w:cs="Times New Roman"/>
                <w:b w:val="0"/>
                <w:color w:val="000000" w:themeColor="text1"/>
                <w:kern w:val="0"/>
                <w:sz w:val="21"/>
                <w:szCs w:val="21"/>
                <w:highlight w:val="none"/>
                <w:vertAlign w:val="superscript"/>
                <w:lang w:val="en-US" w:eastAsia="zh-CN" w:bidi="ar"/>
                <w14:textFill>
                  <w14:solidFill>
                    <w14:schemeClr w14:val="tx1"/>
                  </w14:solidFill>
                </w14:textFill>
              </w:rPr>
              <w:t>3</w:t>
            </w:r>
            <w:r>
              <w:rPr>
                <w:rFonts w:hint="eastAsia" w:ascii="Times New Roman" w:eastAsia="宋体"/>
                <w:b w:val="0"/>
                <w:bCs/>
                <w:color w:val="000000" w:themeColor="text1"/>
                <w:sz w:val="21"/>
                <w:szCs w:val="21"/>
                <w:highlight w:val="none"/>
                <w14:textFill>
                  <w14:solidFill>
                    <w14:schemeClr w14:val="tx1"/>
                  </w14:solidFill>
                </w14:textFill>
              </w:rPr>
              <w:t>。</w:t>
            </w:r>
          </w:p>
          <w:p w14:paraId="45748200">
            <w:pPr>
              <w:widowControl/>
              <w:spacing w:line="360" w:lineRule="auto"/>
              <w:ind w:firstLine="420" w:firstLineChars="200"/>
              <w:jc w:val="left"/>
              <w:rPr>
                <w:rFonts w:hint="eastAsia" w:ascii="Times New Roman" w:hAnsi="Times New Roman" w:eastAsia="宋体" w:cs="Times New Roman"/>
                <w:color w:val="000000" w:themeColor="text1"/>
                <w:kern w:val="0"/>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事故应急措施</w:t>
            </w:r>
            <w:r>
              <w:rPr>
                <w:rFonts w:hint="eastAsia" w:ascii="Times New Roman" w:hAnsi="Times New Roman" w:eastAsia="宋体" w:cs="Times New Roman"/>
                <w:color w:val="000000" w:themeColor="text1"/>
                <w:kern w:val="0"/>
                <w:sz w:val="21"/>
                <w:szCs w:val="21"/>
                <w:lang w:eastAsia="zh-CN" w:bidi="ar"/>
                <w14:textFill>
                  <w14:solidFill>
                    <w14:schemeClr w14:val="tx1"/>
                  </w14:solidFill>
                </w14:textFill>
              </w:rPr>
              <w:t>：</w:t>
            </w:r>
          </w:p>
          <w:p w14:paraId="6B0E86BB">
            <w:pPr>
              <w:pStyle w:val="38"/>
              <w:adjustRightInd w:val="0"/>
              <w:snapToGrid w:val="0"/>
              <w:spacing w:line="360" w:lineRule="auto"/>
              <w:ind w:firstLine="480"/>
              <w:jc w:val="both"/>
              <w:rPr>
                <w:rFonts w:hint="default"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当物料泄漏或</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发生火灾产生</w:t>
            </w:r>
            <w:r>
              <w:rPr>
                <w:rFonts w:hint="default" w:ascii="Times New Roman" w:hAnsi="Times New Roman" w:eastAsia="宋体" w:cs="Times New Roman"/>
                <w:color w:val="000000" w:themeColor="text1"/>
                <w:kern w:val="0"/>
                <w:sz w:val="21"/>
                <w:szCs w:val="21"/>
                <w:lang w:bidi="ar"/>
                <w14:textFill>
                  <w14:solidFill>
                    <w14:schemeClr w14:val="tx1"/>
                  </w14:solidFill>
                </w14:textFill>
              </w:rPr>
              <w:t>消防尾水时，首先关闭厂区内的雨污水控制阀，通过废水收集管网</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将废水</w:t>
            </w:r>
            <w:r>
              <w:rPr>
                <w:rFonts w:hint="default" w:ascii="Times New Roman" w:hAnsi="Times New Roman" w:eastAsia="宋体" w:cs="Times New Roman"/>
                <w:color w:val="000000" w:themeColor="text1"/>
                <w:kern w:val="0"/>
                <w:sz w:val="21"/>
                <w:szCs w:val="21"/>
                <w:lang w:bidi="ar"/>
                <w14:textFill>
                  <w14:solidFill>
                    <w14:schemeClr w14:val="tx1"/>
                  </w14:solidFill>
                </w14:textFill>
              </w:rPr>
              <w:t>收集</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至应急事故池</w:t>
            </w:r>
            <w:r>
              <w:rPr>
                <w:rFonts w:hint="default" w:ascii="Times New Roman" w:hAnsi="Times New Roman" w:eastAsia="宋体" w:cs="Times New Roman"/>
                <w:color w:val="000000" w:themeColor="text1"/>
                <w:kern w:val="0"/>
                <w:sz w:val="21"/>
                <w:szCs w:val="21"/>
                <w:lang w:bidi="ar"/>
                <w14:textFill>
                  <w14:solidFill>
                    <w14:schemeClr w14:val="tx1"/>
                  </w14:solidFill>
                </w14:textFill>
              </w:rPr>
              <w:t>。事故得到控制后，</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事故池内的</w:t>
            </w:r>
            <w:r>
              <w:rPr>
                <w:rFonts w:hint="default" w:ascii="Times New Roman" w:hAnsi="Times New Roman" w:eastAsia="宋体" w:cs="Times New Roman"/>
                <w:color w:val="000000" w:themeColor="text1"/>
                <w:kern w:val="0"/>
                <w:sz w:val="21"/>
                <w:szCs w:val="21"/>
                <w:lang w:bidi="ar"/>
                <w14:textFill>
                  <w14:solidFill>
                    <w14:schemeClr w14:val="tx1"/>
                  </w14:solidFill>
                </w14:textFill>
              </w:rPr>
              <w:t>废水委托有资质单位处理。</w:t>
            </w:r>
          </w:p>
          <w:p w14:paraId="3EA6F63E">
            <w:pPr>
              <w:pStyle w:val="10"/>
              <w:numPr>
                <w:ilvl w:val="0"/>
                <w:numId w:val="0"/>
              </w:numPr>
              <w:spacing w:line="360" w:lineRule="auto"/>
              <w:ind w:firstLine="420" w:firstLineChars="200"/>
              <w:rPr>
                <w:rFonts w:hint="eastAsia"/>
                <w:color w:val="000000" w:themeColor="text1"/>
                <w:kern w:val="0"/>
                <w:szCs w:val="21"/>
                <w:highlight w:val="none"/>
                <w:lang w:bidi="ar"/>
                <w14:textFill>
                  <w14:solidFill>
                    <w14:schemeClr w14:val="tx1"/>
                  </w14:solidFill>
                </w14:textFill>
              </w:rPr>
            </w:pPr>
            <w:r>
              <w:rPr>
                <w:rFonts w:hint="eastAsia"/>
                <w:color w:val="000000" w:themeColor="text1"/>
                <w:kern w:val="0"/>
                <w:szCs w:val="21"/>
                <w:highlight w:val="none"/>
                <w:lang w:bidi="ar"/>
                <w14:textFill>
                  <w14:solidFill>
                    <w14:schemeClr w14:val="tx1"/>
                  </w14:solidFill>
                </w14:textFill>
              </w:rPr>
              <w:t>因此，本项目需要至少</w:t>
            </w:r>
            <w:r>
              <w:rPr>
                <w:rFonts w:hint="eastAsia"/>
                <w:color w:val="000000" w:themeColor="text1"/>
                <w:kern w:val="0"/>
                <w:szCs w:val="21"/>
                <w:highlight w:val="none"/>
                <w:lang w:val="en-US" w:eastAsia="zh-CN" w:bidi="ar"/>
                <w14:textFill>
                  <w14:solidFill>
                    <w14:schemeClr w14:val="tx1"/>
                  </w14:solidFill>
                </w14:textFill>
              </w:rPr>
              <w:t>415</w:t>
            </w:r>
            <w:r>
              <w:rPr>
                <w:rFonts w:hint="eastAsia"/>
                <w:color w:val="000000" w:themeColor="text1"/>
                <w:kern w:val="0"/>
                <w:szCs w:val="21"/>
                <w:highlight w:val="none"/>
                <w:lang w:bidi="ar"/>
                <w14:textFill>
                  <w14:solidFill>
                    <w14:schemeClr w14:val="tx1"/>
                  </w14:solidFill>
                </w14:textFill>
              </w:rPr>
              <w:t>m</w:t>
            </w:r>
            <w:r>
              <w:rPr>
                <w:rFonts w:hint="eastAsia"/>
                <w:color w:val="000000" w:themeColor="text1"/>
                <w:kern w:val="0"/>
                <w:szCs w:val="21"/>
                <w:highlight w:val="none"/>
                <w:vertAlign w:val="superscript"/>
                <w:lang w:bidi="ar"/>
                <w14:textFill>
                  <w14:solidFill>
                    <w14:schemeClr w14:val="tx1"/>
                  </w14:solidFill>
                </w14:textFill>
              </w:rPr>
              <w:t>3</w:t>
            </w:r>
            <w:r>
              <w:rPr>
                <w:rFonts w:hint="eastAsia"/>
                <w:color w:val="000000" w:themeColor="text1"/>
                <w:kern w:val="0"/>
                <w:szCs w:val="21"/>
                <w:highlight w:val="none"/>
                <w:lang w:bidi="ar"/>
                <w14:textFill>
                  <w14:solidFill>
                    <w14:schemeClr w14:val="tx1"/>
                  </w14:solidFill>
                </w14:textFill>
              </w:rPr>
              <w:t>的事故应急池。</w:t>
            </w:r>
          </w:p>
          <w:p w14:paraId="2C4F81B8">
            <w:pPr>
              <w:pStyle w:val="38"/>
              <w:adjustRightInd w:val="0"/>
              <w:snapToGrid w:val="0"/>
              <w:spacing w:line="360" w:lineRule="auto"/>
              <w:ind w:firstLine="480"/>
              <w:jc w:val="both"/>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 xml:space="preserve">⑥车间设置隔离，安装消防措施，加强通风，同时仓储驻地严禁烟火。在作业场所及储存场所设置烟感报警器和消防灭火设施。 </w:t>
            </w:r>
          </w:p>
          <w:p w14:paraId="0D6DED86">
            <w:pPr>
              <w:pStyle w:val="38"/>
              <w:adjustRightInd w:val="0"/>
              <w:snapToGrid w:val="0"/>
              <w:spacing w:line="360" w:lineRule="auto"/>
              <w:ind w:firstLine="480"/>
              <w:jc w:val="both"/>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生产区域配备防毒面具、防护手套、防护服、防护鞋等防护用品，配备 消防、堵漏、通讯、交通、工具、应急照明、防护、急救等各类所需应急抢险 装备器材。</w:t>
            </w:r>
          </w:p>
          <w:p w14:paraId="0A742E2E">
            <w:pPr>
              <w:spacing w:line="360" w:lineRule="auto"/>
              <w:ind w:firstLine="480"/>
              <w:jc w:val="left"/>
              <w:rPr>
                <w:rFonts w:hint="eastAsia"/>
                <w:b/>
                <w:bCs/>
                <w:color w:val="000000" w:themeColor="text1"/>
                <w:szCs w:val="21"/>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配备完善的厂区应急队伍，做好人员分工和应急救援知识的培训，演练。与周边企业建立了良好的应急互助关系，在较大事故发生后，相互支援。厂区需要外部援助时可第一时间向沙家浜人民政府求助，还可以联系常熟市生态环境局、消防、医院、公安、交通、应急管理局以及各相关职能部门，请求救援力量、设备的支持。</w:t>
            </w:r>
          </w:p>
          <w:p w14:paraId="6570A32A">
            <w:pPr>
              <w:widowControl/>
              <w:spacing w:line="360" w:lineRule="auto"/>
              <w:ind w:firstLine="422" w:firstLineChars="20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4.7.4应急管理制度</w:t>
            </w:r>
          </w:p>
          <w:p w14:paraId="6641BAD3">
            <w:pPr>
              <w:widowControl/>
              <w:spacing w:line="360" w:lineRule="auto"/>
              <w:ind w:firstLine="420" w:firstLineChars="200"/>
              <w:jc w:val="left"/>
              <w:rPr>
                <w:color w:val="000000" w:themeColor="text1"/>
                <w:kern w:val="0"/>
                <w:szCs w:val="21"/>
                <w14:textFill>
                  <w14:solidFill>
                    <w14:schemeClr w14:val="tx1"/>
                  </w14:solidFill>
                </w14:textFill>
              </w:rPr>
            </w:pPr>
            <w:r>
              <w:rPr>
                <w:rFonts w:hint="eastAsia"/>
                <w:bCs/>
                <w:color w:val="000000" w:themeColor="text1"/>
                <w:szCs w:val="21"/>
                <w14:textFill>
                  <w14:solidFill>
                    <w14:schemeClr w14:val="tx1"/>
                  </w14:solidFill>
                </w14:textFill>
              </w:rPr>
              <w:t>①</w:t>
            </w:r>
            <w:r>
              <w:rPr>
                <w:rFonts w:hint="default" w:ascii="Times New Roman" w:hAnsi="Times New Roman" w:cs="Times New Roman"/>
                <w:color w:val="000000" w:themeColor="text1"/>
                <w:kern w:val="0"/>
                <w:szCs w:val="21"/>
                <w14:textFill>
                  <w14:solidFill>
                    <w14:schemeClr w14:val="tx1"/>
                  </w14:solidFill>
                </w14:textFill>
              </w:rPr>
              <w:t>项目建成后应认真落实</w:t>
            </w:r>
            <w:r>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t>《企事业单位和工业园区突发环境事件应急预案编制导则》</w:t>
            </w:r>
            <w:r>
              <w:rPr>
                <w:rFonts w:hint="eastAsia"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t>DB32/T3795-2020</w:t>
            </w:r>
            <w:r>
              <w:rPr>
                <w:rFonts w:hint="eastAsia"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t>、《江苏省突发环境事件应急预案管理办法》</w:t>
            </w:r>
            <w:r>
              <w:rPr>
                <w:rFonts w:hint="eastAsia"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t>苏环发[2023]7号</w:t>
            </w:r>
            <w:r>
              <w:rPr>
                <w:rFonts w:hint="eastAsia"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cs="Times New Roman"/>
                <w:color w:val="000000" w:themeColor="text1"/>
                <w:kern w:val="0"/>
                <w:szCs w:val="21"/>
                <w14:textFill>
                  <w14:solidFill>
                    <w14:schemeClr w14:val="tx1"/>
                  </w14:solidFill>
                </w14:textFill>
              </w:rPr>
              <w:t>文件要求，</w:t>
            </w:r>
            <w:r>
              <w:rPr>
                <w:rFonts w:hint="eastAsia" w:ascii="Times New Roman" w:hAnsi="Times New Roman" w:cs="Times New Roman"/>
                <w:color w:val="000000" w:themeColor="text1"/>
                <w:kern w:val="0"/>
                <w:szCs w:val="21"/>
                <w:lang w:val="en-US" w:eastAsia="zh-CN"/>
                <w14:textFill>
                  <w14:solidFill>
                    <w14:schemeClr w14:val="tx1"/>
                  </w14:solidFill>
                </w14:textFill>
              </w:rPr>
              <w:t>修编</w:t>
            </w:r>
            <w:r>
              <w:rPr>
                <w:rFonts w:hint="default" w:ascii="Times New Roman" w:hAnsi="Times New Roman" w:cs="Times New Roman"/>
                <w:color w:val="000000" w:themeColor="text1"/>
                <w:kern w:val="0"/>
                <w:szCs w:val="21"/>
                <w14:textFill>
                  <w14:solidFill>
                    <w14:schemeClr w14:val="tx1"/>
                  </w14:solidFill>
                </w14:textFill>
              </w:rPr>
              <w:t>应急预案，并根据应急预案要求，规范建设事故应急池，当发生事故时，</w:t>
            </w:r>
            <w:r>
              <w:rPr>
                <w:rFonts w:hint="default" w:ascii="Times New Roman" w:hAnsi="Times New Roman" w:eastAsia="宋体" w:cs="Times New Roman"/>
                <w:color w:val="000000" w:themeColor="text1"/>
                <w:kern w:val="0"/>
                <w:szCs w:val="21"/>
                <w14:textFill>
                  <w14:solidFill>
                    <w14:schemeClr w14:val="tx1"/>
                  </w14:solidFill>
                </w14:textFill>
              </w:rPr>
              <w:t>建设单位应将事故废水截留在应急池中，待事故结束后，根据废水类型委托有资质单位处理</w:t>
            </w:r>
            <w:r>
              <w:rPr>
                <w:rFonts w:hint="eastAsia"/>
                <w:color w:val="000000" w:themeColor="text1"/>
                <w:kern w:val="0"/>
                <w:szCs w:val="21"/>
                <w14:textFill>
                  <w14:solidFill>
                    <w14:schemeClr w14:val="tx1"/>
                  </w14:solidFill>
                </w14:textFill>
              </w:rPr>
              <w:t>。</w:t>
            </w:r>
          </w:p>
          <w:p w14:paraId="5DAE64BF">
            <w:pPr>
              <w:widowControl/>
              <w:spacing w:line="360" w:lineRule="auto"/>
              <w:ind w:firstLine="420" w:firstLineChars="20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②</w:t>
            </w:r>
            <w:r>
              <w:rPr>
                <w:rFonts w:hint="default" w:ascii="Times New Roman" w:hAnsi="Times New Roman" w:eastAsia="宋体" w:cs="Times New Roman"/>
                <w:color w:val="000000" w:themeColor="text1"/>
                <w:kern w:val="0"/>
                <w:szCs w:val="21"/>
                <w14:textFill>
                  <w14:solidFill>
                    <w14:schemeClr w14:val="tx1"/>
                  </w14:solidFill>
                </w14:textFill>
              </w:rPr>
              <w:t>建立环境风险防控和应急措施制度，明确环境风险防控重点岗位的责任人，并且</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设置</w:t>
            </w:r>
            <w:r>
              <w:rPr>
                <w:rFonts w:hint="default" w:ascii="Times New Roman" w:hAnsi="Times New Roman" w:eastAsia="宋体" w:cs="Times New Roman"/>
                <w:color w:val="000000" w:themeColor="text1"/>
                <w:kern w:val="0"/>
                <w:szCs w:val="21"/>
                <w14:textFill>
                  <w14:solidFill>
                    <w14:schemeClr w14:val="tx1"/>
                  </w14:solidFill>
                </w14:textFill>
              </w:rPr>
              <w:t>专人每天对现场进行巡检，各种设备定期进行维护保养。</w:t>
            </w:r>
            <w:r>
              <w:rPr>
                <w:rFonts w:hint="default" w:ascii="Times New Roman" w:hAnsi="Times New Roman" w:cs="Times New Roman"/>
                <w:color w:val="000000" w:themeColor="text1"/>
                <w:kern w:val="0"/>
                <w:szCs w:val="21"/>
                <w14:textFill>
                  <w14:solidFill>
                    <w14:schemeClr w14:val="tx1"/>
                  </w14:solidFill>
                </w14:textFill>
              </w:rPr>
              <w:t>应急队伍要进行专业培训，并要有培训记录和档案</w:t>
            </w:r>
            <w:r>
              <w:rPr>
                <w:rFonts w:hint="eastAsia"/>
                <w:color w:val="000000" w:themeColor="text1"/>
                <w:kern w:val="0"/>
                <w:szCs w:val="21"/>
                <w14:textFill>
                  <w14:solidFill>
                    <w14:schemeClr w14:val="tx1"/>
                  </w14:solidFill>
                </w14:textFill>
              </w:rPr>
              <w:t>。</w:t>
            </w:r>
          </w:p>
          <w:p w14:paraId="21CB7F9B">
            <w:pPr>
              <w:widowControl/>
              <w:spacing w:line="360" w:lineRule="auto"/>
              <w:ind w:firstLine="420" w:firstLineChars="200"/>
              <w:jc w:val="left"/>
              <w:rPr>
                <w:bCs/>
                <w:color w:val="000000" w:themeColor="text1"/>
                <w:szCs w:val="21"/>
                <w14:textFill>
                  <w14:solidFill>
                    <w14:schemeClr w14:val="tx1"/>
                  </w14:solidFill>
                </w14:textFill>
              </w:rPr>
            </w:pPr>
            <w:r>
              <w:rPr>
                <w:color w:val="000000" w:themeColor="text1"/>
                <w:kern w:val="0"/>
                <w:szCs w:val="21"/>
                <w14:textFill>
                  <w14:solidFill>
                    <w14:schemeClr w14:val="tx1"/>
                  </w14:solidFill>
                </w14:textFill>
              </w:rPr>
              <w:fldChar w:fldCharType="begin"/>
            </w:r>
            <w:r>
              <w:rPr>
                <w:color w:val="000000" w:themeColor="text1"/>
                <w:kern w:val="0"/>
                <w:szCs w:val="21"/>
                <w14:textFill>
                  <w14:solidFill>
                    <w14:schemeClr w14:val="tx1"/>
                  </w14:solidFill>
                </w14:textFill>
              </w:rPr>
              <w:instrText xml:space="preserve"> = 3 \* GB3 \* MERGEFORMAT </w:instrText>
            </w:r>
            <w:r>
              <w:rPr>
                <w:color w:val="000000" w:themeColor="text1"/>
                <w:kern w:val="0"/>
                <w:szCs w:val="21"/>
                <w14:textFill>
                  <w14:solidFill>
                    <w14:schemeClr w14:val="tx1"/>
                  </w14:solidFill>
                </w14:textFill>
              </w:rPr>
              <w:fldChar w:fldCharType="separate"/>
            </w:r>
            <w:r>
              <w:rPr>
                <w:color w:val="000000" w:themeColor="text1"/>
                <w14:textFill>
                  <w14:solidFill>
                    <w14:schemeClr w14:val="tx1"/>
                  </w14:solidFill>
                </w14:textFill>
              </w:rPr>
              <w:t>③</w:t>
            </w:r>
            <w:r>
              <w:rPr>
                <w:color w:val="000000" w:themeColor="text1"/>
                <w:kern w:val="0"/>
                <w:szCs w:val="21"/>
                <w14:textFill>
                  <w14:solidFill>
                    <w14:schemeClr w14:val="tx1"/>
                  </w14:solidFill>
                </w14:textFill>
              </w:rPr>
              <w:fldChar w:fldCharType="end"/>
            </w:r>
            <w:r>
              <w:rPr>
                <w:rFonts w:hint="eastAsia"/>
                <w:bCs/>
                <w:color w:val="000000" w:themeColor="text1"/>
                <w:szCs w:val="21"/>
                <w14:textFill>
                  <w14:solidFill>
                    <w14:schemeClr w14:val="tx1"/>
                  </w14:solidFill>
                </w14:textFill>
              </w:rPr>
              <w:t>重视风险管理工作，制定相关文件，编制生产安全事故应急预案和突发环境事件应急预案，并将两个预案结合起来定期进行演练。公司事故应急救援和突发环境事故处理人员培训每年开展一次。 针对疏散、个体防护等内容，向周边群众进行宣传，使事故波及到的区域都能对化学品事故应急救援的基本程序、应该采取的措施等内容有所了解。</w:t>
            </w:r>
          </w:p>
          <w:p w14:paraId="74C89096">
            <w:pPr>
              <w:widowControl/>
              <w:spacing w:line="360" w:lineRule="auto"/>
              <w:ind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fldChar w:fldCharType="begin"/>
            </w:r>
            <w:r>
              <w:rPr>
                <w:rFonts w:hint="eastAsia"/>
                <w:bCs/>
                <w:color w:val="000000" w:themeColor="text1"/>
                <w:szCs w:val="21"/>
                <w14:textFill>
                  <w14:solidFill>
                    <w14:schemeClr w14:val="tx1"/>
                  </w14:solidFill>
                </w14:textFill>
              </w:rPr>
              <w:instrText xml:space="preserve"> = 4 \* GB3 \* MERGEFORMAT </w:instrText>
            </w:r>
            <w:r>
              <w:rPr>
                <w:rFonts w:hint="eastAsia"/>
                <w:bCs/>
                <w:color w:val="000000" w:themeColor="text1"/>
                <w:szCs w:val="21"/>
                <w14:textFill>
                  <w14:solidFill>
                    <w14:schemeClr w14:val="tx1"/>
                  </w14:solidFill>
                </w14:textFill>
              </w:rPr>
              <w:fldChar w:fldCharType="separate"/>
            </w:r>
            <w:r>
              <w:rPr>
                <w:rFonts w:hint="eastAsia"/>
                <w:bCs/>
                <w:color w:val="000000" w:themeColor="text1"/>
                <w:szCs w:val="21"/>
                <w14:textFill>
                  <w14:solidFill>
                    <w14:schemeClr w14:val="tx1"/>
                  </w14:solidFill>
                </w14:textFill>
              </w:rPr>
              <w:t>④</w:t>
            </w:r>
            <w:r>
              <w:rPr>
                <w:rFonts w:hint="eastAsia"/>
                <w:bCs/>
                <w:color w:val="000000" w:themeColor="text1"/>
                <w:szCs w:val="21"/>
                <w14:textFill>
                  <w14:solidFill>
                    <w14:schemeClr w14:val="tx1"/>
                  </w14:solidFill>
                </w14:textFill>
              </w:rPr>
              <w:fldChar w:fldCharType="end"/>
            </w:r>
            <w:r>
              <w:rPr>
                <w:rFonts w:hint="eastAsia"/>
                <w:bCs/>
                <w:color w:val="000000" w:themeColor="text1"/>
                <w:szCs w:val="21"/>
                <w14:textFill>
                  <w14:solidFill>
                    <w14:schemeClr w14:val="tx1"/>
                  </w14:solidFill>
                </w14:textFill>
              </w:rPr>
              <w:t>建立突发环境事件信息报告制度，按照事故级别的不同，明确了信息报告人员、信息报告时限、事故报告内容、信息报告部门等内容。同时，加强各应急救援专业队伍的建设，配有相应器材（灭火器、黄沙箱等）并确保设备性能完好，保证公司应急预案与常熟市高新技术产业开发区应急预案衔接与联动有效。</w:t>
            </w:r>
          </w:p>
          <w:p w14:paraId="07C24B61">
            <w:pPr>
              <w:widowControl/>
              <w:spacing w:line="360" w:lineRule="auto"/>
              <w:ind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fldChar w:fldCharType="begin"/>
            </w:r>
            <w:r>
              <w:rPr>
                <w:rFonts w:hint="eastAsia"/>
                <w:bCs/>
                <w:color w:val="000000" w:themeColor="text1"/>
                <w:szCs w:val="21"/>
                <w14:textFill>
                  <w14:solidFill>
                    <w14:schemeClr w14:val="tx1"/>
                  </w14:solidFill>
                </w14:textFill>
              </w:rPr>
              <w:instrText xml:space="preserve"> = 5 \* GB3 \* MERGEFORMAT </w:instrText>
            </w:r>
            <w:r>
              <w:rPr>
                <w:rFonts w:hint="eastAsia"/>
                <w:bCs/>
                <w:color w:val="000000" w:themeColor="text1"/>
                <w:szCs w:val="21"/>
                <w14:textFill>
                  <w14:solidFill>
                    <w14:schemeClr w14:val="tx1"/>
                  </w14:solidFill>
                </w14:textFill>
              </w:rPr>
              <w:fldChar w:fldCharType="separate"/>
            </w:r>
            <w:r>
              <w:rPr>
                <w:rFonts w:hint="eastAsia"/>
                <w:bCs/>
                <w:color w:val="000000" w:themeColor="text1"/>
                <w:szCs w:val="21"/>
                <w14:textFill>
                  <w14:solidFill>
                    <w14:schemeClr w14:val="tx1"/>
                  </w14:solidFill>
                </w14:textFill>
              </w:rPr>
              <w:t>⑤</w:t>
            </w:r>
            <w:r>
              <w:rPr>
                <w:rFonts w:hint="eastAsia"/>
                <w:bCs/>
                <w:color w:val="000000" w:themeColor="text1"/>
                <w:szCs w:val="21"/>
                <w14:textFill>
                  <w14:solidFill>
                    <w14:schemeClr w14:val="tx1"/>
                  </w14:solidFill>
                </w14:textFill>
              </w:rPr>
              <w:fldChar w:fldCharType="end"/>
            </w:r>
            <w:r>
              <w:rPr>
                <w:rFonts w:hint="eastAsia"/>
                <w:bCs/>
                <w:color w:val="000000" w:themeColor="text1"/>
                <w:szCs w:val="21"/>
                <w14:textFill>
                  <w14:solidFill>
                    <w14:schemeClr w14:val="tx1"/>
                  </w14:solidFill>
                </w14:textFill>
              </w:rPr>
              <w:t>重视安全生产管理，加强风险防范，定期进行安全评价和隐患排查，加强对员工的安全教育和培训，每年进行事故应急培训和演练。</w:t>
            </w:r>
          </w:p>
          <w:p w14:paraId="51ACC436">
            <w:pPr>
              <w:pStyle w:val="2"/>
              <w:spacing w:after="0" w:line="360" w:lineRule="auto"/>
              <w:ind w:firstLine="422" w:firstLineChars="200"/>
              <w:rPr>
                <w:b/>
                <w:bCs/>
                <w:color w:val="000000" w:themeColor="text1"/>
                <w:sz w:val="21"/>
                <w:szCs w:val="21"/>
                <w:lang w:bidi="ar"/>
                <w14:textFill>
                  <w14:solidFill>
                    <w14:schemeClr w14:val="tx1"/>
                  </w14:solidFill>
                </w14:textFill>
              </w:rPr>
            </w:pPr>
            <w:r>
              <w:rPr>
                <w:rFonts w:hint="eastAsia"/>
                <w:b/>
                <w:bCs/>
                <w:color w:val="000000" w:themeColor="text1"/>
                <w:sz w:val="21"/>
                <w:szCs w:val="21"/>
                <w:lang w:val="en-US" w:eastAsia="zh-CN" w:bidi="ar"/>
                <w14:textFill>
                  <w14:solidFill>
                    <w14:schemeClr w14:val="tx1"/>
                  </w14:solidFill>
                </w14:textFill>
              </w:rPr>
              <w:t>4.7.5</w:t>
            </w:r>
            <w:r>
              <w:rPr>
                <w:rFonts w:hint="eastAsia"/>
                <w:b/>
                <w:bCs/>
                <w:color w:val="000000" w:themeColor="text1"/>
                <w:sz w:val="21"/>
                <w:szCs w:val="21"/>
                <w:lang w:bidi="ar"/>
                <w14:textFill>
                  <w14:solidFill>
                    <w14:schemeClr w14:val="tx1"/>
                  </w14:solidFill>
                </w14:textFill>
              </w:rPr>
              <w:t>应急管理联动</w:t>
            </w:r>
          </w:p>
          <w:p w14:paraId="1098158A">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根据江苏省生态环境厅、江苏省应急管理厅发布的《关于做好生态环境和应急管理部门联动工作的意见》（苏环办[2020]101），需要加强完善对全厂危险废物的监督管理，具体要求如下：</w:t>
            </w:r>
          </w:p>
          <w:p w14:paraId="1B8F6852">
            <w:pPr>
              <w:numPr>
                <w:ilvl w:val="0"/>
                <w:numId w:val="8"/>
              </w:numPr>
              <w:spacing w:line="360" w:lineRule="auto"/>
              <w:ind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建立危险废物监管联动机制</w:t>
            </w:r>
          </w:p>
          <w:p w14:paraId="17E050AB">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法定代表人和实际控制人是企业废弃危险化学品等危险废物安全环保全过程管理的第一责任人。企业要切实履行好从危险废物产生、收集、贮存、运输、利用、处置等环节各项环保和安全职责；要制定危险废物管理计划并报属地生态环境部门备案。申请备案时，对废弃危险化学品、物理危险性尚不确定、根据相关文件无法认定达到稳定化要求的</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要提供有资质单位出具的化学品物理危险性报告及其他证明材料，认定达到稳定化要求。</w:t>
            </w:r>
          </w:p>
          <w:p w14:paraId="3C2F75E7">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态环境部门依法对危险废物的收集、贮存、处置等进行监督管理。收到企业废弃危险化学品等危险废物管理计划后，对符合备案要求的，纳入危险废物管理。生态环境部门要将危险废物管理计划备案情况及时通报应急管理部门。</w:t>
            </w:r>
          </w:p>
          <w:p w14:paraId="013894C1">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应急管理部门要督促企业加强安全生产工作，加强危险化学品企业中间产品、最终产品以及拟废弃危险化学品的安全管理。生态环境和应急管理部门对于被列入危险废物管理的上述物料，要共同加强安全监管。生态环境部门对日常环境监管过程中发现的安全隐患线索，及时移送同级应急管理部门；应急管理部门接到生态环境部门移送安全隐患线索的函后，应组织现场核查，依法依规查处，并督促企业将隐患整改到位。对于涉及安全和环保标准要求存在不一致的，要及时会商，帮助企业解决。</w:t>
            </w:r>
          </w:p>
          <w:p w14:paraId="4AE866A5">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本项目危险废物为废液压油、废抹布、废包装桶、废油桶、废活性炭，贮存在</w:t>
            </w:r>
            <w:r>
              <w:rPr>
                <w:rFonts w:hint="eastAsia"/>
                <w:color w:val="000000" w:themeColor="text1"/>
                <w:szCs w:val="21"/>
                <w:lang w:val="en-US" w:eastAsia="zh-CN"/>
                <w14:textFill>
                  <w14:solidFill>
                    <w14:schemeClr w14:val="tx1"/>
                  </w14:solidFill>
                </w14:textFill>
              </w:rPr>
              <w:t>新建</w:t>
            </w:r>
            <w:r>
              <w:rPr>
                <w:rFonts w:hint="eastAsia"/>
                <w:color w:val="000000" w:themeColor="text1"/>
                <w:szCs w:val="21"/>
                <w14:textFill>
                  <w14:solidFill>
                    <w14:schemeClr w14:val="tx1"/>
                  </w14:solidFill>
                </w14:textFill>
              </w:rPr>
              <w:t>的危废仓库，并委托有资质单位处置，加强危险废物的贮存管理，并配合生态环境部门、应急管理部门的安全监管工作。</w:t>
            </w:r>
          </w:p>
          <w:p w14:paraId="64FD1E2C">
            <w:pPr>
              <w:numPr>
                <w:ilvl w:val="0"/>
                <w:numId w:val="8"/>
              </w:numPr>
              <w:spacing w:line="360" w:lineRule="auto"/>
              <w:ind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建立环境治理设施监管联动机制</w:t>
            </w:r>
          </w:p>
          <w:p w14:paraId="366D871D">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企业是各类环境治理设施建设、运行、维护、拆除的责任主体。企业要对脱硫脱硝、挥发性有机物回收、污水处理、粉尘治理、蓄热式焚烧炉等</w:t>
            </w:r>
            <w:r>
              <w:rPr>
                <w:rFonts w:hint="eastAsia"/>
                <w:color w:val="000000" w:themeColor="text1"/>
                <w:szCs w:val="21"/>
                <w:lang w:val="en-US" w:eastAsia="zh-CN"/>
                <w14:textFill>
                  <w14:solidFill>
                    <w14:schemeClr w14:val="tx1"/>
                  </w14:solidFill>
                </w14:textFill>
              </w:rPr>
              <w:t>5</w:t>
            </w:r>
            <w:r>
              <w:rPr>
                <w:rFonts w:hint="eastAsia"/>
                <w:color w:val="000000" w:themeColor="text1"/>
                <w:szCs w:val="21"/>
                <w14:textFill>
                  <w14:solidFill>
                    <w14:schemeClr w14:val="tx1"/>
                  </w14:solidFill>
                </w14:textFill>
              </w:rPr>
              <w:t>类环境治理设施</w:t>
            </w:r>
            <w:r>
              <w:rPr>
                <w:rFonts w:hint="eastAsia"/>
                <w:color w:val="000000" w:themeColor="text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根据</w:t>
            </w:r>
            <w:r>
              <w:rPr>
                <w:rFonts w:hint="eastAsia"/>
                <w:color w:val="000000" w:themeColor="text1"/>
                <w:sz w:val="21"/>
                <w:szCs w:val="21"/>
                <w14:textFill>
                  <w14:solidFill>
                    <w14:schemeClr w14:val="tx1"/>
                  </w14:solidFill>
                </w14:textFill>
              </w:rPr>
              <w:t>安委办明电【2022】17号文件将六类设施调整为“5类”</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开展安全风险辨识管控，要健全</w:t>
            </w:r>
            <w:r>
              <w:rPr>
                <w:rFonts w:hint="eastAsia"/>
                <w:color w:val="000000" w:themeColor="text1"/>
                <w:szCs w:val="21"/>
                <w14:textFill>
                  <w14:solidFill>
                    <w14:schemeClr w14:val="tx1"/>
                  </w14:solidFill>
                </w14:textFill>
              </w:rPr>
              <w:t>内部污染防治设施稳定运行和管理责任制度，严格依据标准规范建设环境治理设施，确保环境治理设施安全、稳定、有效运行。</w:t>
            </w:r>
          </w:p>
          <w:p w14:paraId="447185ED">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态环境部门在上述六类环境治理设施的环评审批过程中要督促企业开展安全风险辨识，并将已审批的环境治理设施项目及时通报应急管理部门。生态环境部门在日常环境监管中，将发现的安全隐患线索及时移送应急管理部门。</w:t>
            </w:r>
          </w:p>
          <w:p w14:paraId="6AE255CF">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应急管理部门应当将上述六类环境治理设施纳入安全监管范围，推进企业安全生产标准化体系建设。对生态环境部门发现移送的安全隐患线索进行核查，督促企业进行整改，消除安全隐患。</w:t>
            </w:r>
          </w:p>
          <w:p w14:paraId="46FAE1B8">
            <w:pPr>
              <w:spacing w:line="360" w:lineRule="auto"/>
              <w:ind w:firstLine="420" w:firstLineChars="200"/>
              <w:rPr>
                <w:rFonts w:hint="eastAsia"/>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bCs/>
                <w:color w:val="000000" w:themeColor="text1"/>
                <w:szCs w:val="21"/>
                <w14:textFill>
                  <w14:solidFill>
                    <w14:schemeClr w14:val="tx1"/>
                  </w14:solidFill>
                </w14:textFill>
              </w:rPr>
              <w:t>吹塑、印刷、烘干、印刷机清理工序产生的有机废气经</w:t>
            </w:r>
            <w:r>
              <w:rPr>
                <w:rFonts w:hint="eastAsia"/>
                <w:bCs/>
                <w:color w:val="000000" w:themeColor="text1"/>
                <w:szCs w:val="21"/>
                <w:lang w:val="en-US" w:eastAsia="zh-CN"/>
                <w14:textFill>
                  <w14:solidFill>
                    <w14:schemeClr w14:val="tx1"/>
                  </w14:solidFill>
                </w14:textFill>
              </w:rPr>
              <w:t>包围式集气罩收集后通过1套二级活性炭吸附</w:t>
            </w:r>
            <w:r>
              <w:rPr>
                <w:rFonts w:hint="eastAsia"/>
                <w:bCs/>
                <w:color w:val="000000" w:themeColor="text1"/>
                <w:szCs w:val="21"/>
                <w14:textFill>
                  <w14:solidFill>
                    <w14:schemeClr w14:val="tx1"/>
                  </w14:solidFill>
                </w14:textFill>
              </w:rPr>
              <w:t>装置</w:t>
            </w:r>
            <w:r>
              <w:rPr>
                <w:rFonts w:hint="eastAsia"/>
                <w:bCs/>
                <w:color w:val="000000" w:themeColor="text1"/>
                <w:szCs w:val="21"/>
                <w:lang w:val="en-US" w:eastAsia="zh-CN"/>
                <w14:textFill>
                  <w14:solidFill>
                    <w14:schemeClr w14:val="tx1"/>
                  </w14:solidFill>
                </w14:textFill>
              </w:rPr>
              <w:t>T</w:t>
            </w:r>
            <w:r>
              <w:rPr>
                <w:rFonts w:hint="eastAsia"/>
                <w:bCs/>
                <w:color w:val="000000" w:themeColor="text1"/>
                <w:szCs w:val="21"/>
                <w14:textFill>
                  <w14:solidFill>
                    <w14:schemeClr w14:val="tx1"/>
                  </w14:solidFill>
                </w14:textFill>
              </w:rPr>
              <w:t>A001处理后通过</w:t>
            </w:r>
            <w:r>
              <w:rPr>
                <w:rFonts w:hint="eastAsia"/>
                <w:bCs/>
                <w:color w:val="000000" w:themeColor="text1"/>
                <w:szCs w:val="21"/>
                <w:lang w:val="en-US" w:eastAsia="zh-CN"/>
                <w14:textFill>
                  <w14:solidFill>
                    <w14:schemeClr w14:val="tx1"/>
                  </w14:solidFill>
                </w14:textFill>
              </w:rPr>
              <w:t>2</w:t>
            </w:r>
            <w:r>
              <w:rPr>
                <w:rFonts w:hint="eastAsia"/>
                <w:bCs/>
                <w:color w:val="000000" w:themeColor="text1"/>
                <w:szCs w:val="21"/>
                <w14:textFill>
                  <w14:solidFill>
                    <w14:schemeClr w14:val="tx1"/>
                  </w14:solidFill>
                </w14:textFill>
              </w:rPr>
              <w:t>5米高</w:t>
            </w:r>
            <w:r>
              <w:rPr>
                <w:rFonts w:hint="eastAsia"/>
                <w:bCs/>
                <w:color w:val="000000" w:themeColor="text1"/>
                <w:szCs w:val="21"/>
                <w:lang w:val="en-US" w:eastAsia="zh-CN"/>
                <w14:textFill>
                  <w14:solidFill>
                    <w14:schemeClr w14:val="tx1"/>
                  </w14:solidFill>
                </w14:textFill>
              </w:rPr>
              <w:t>DA00</w:t>
            </w:r>
            <w:r>
              <w:rPr>
                <w:rFonts w:hint="eastAsia"/>
                <w:bCs/>
                <w:color w:val="000000" w:themeColor="text1"/>
                <w:szCs w:val="21"/>
                <w14:textFill>
                  <w14:solidFill>
                    <w14:schemeClr w14:val="tx1"/>
                  </w14:solidFill>
                </w14:textFill>
              </w:rPr>
              <w:t>1排气筒排放</w:t>
            </w:r>
            <w:r>
              <w:rPr>
                <w:rFonts w:hint="eastAsia"/>
                <w:color w:val="000000" w:themeColor="text1"/>
                <w14:textFill>
                  <w14:solidFill>
                    <w14:schemeClr w14:val="tx1"/>
                  </w14:solidFill>
                </w14:textFill>
              </w:rPr>
              <w:t>，</w:t>
            </w:r>
            <w:r>
              <w:rPr>
                <w:rFonts w:hint="eastAsia"/>
                <w:color w:val="000000" w:themeColor="text1"/>
                <w:szCs w:val="21"/>
                <w14:textFill>
                  <w14:solidFill>
                    <w14:schemeClr w14:val="tx1"/>
                  </w14:solidFill>
                </w14:textFill>
              </w:rPr>
              <w:t>本项目建成后可确保厂内</w:t>
            </w:r>
            <w:r>
              <w:rPr>
                <w:rFonts w:hint="eastAsia"/>
                <w:color w:val="000000" w:themeColor="text1"/>
                <w:szCs w:val="21"/>
                <w:lang w:val="en-US" w:eastAsia="zh-CN"/>
                <w14:textFill>
                  <w14:solidFill>
                    <w14:schemeClr w14:val="tx1"/>
                  </w14:solidFill>
                </w14:textFill>
              </w:rPr>
              <w:t>废气处理设备</w:t>
            </w:r>
            <w:r>
              <w:rPr>
                <w:rFonts w:hint="eastAsia"/>
                <w:color w:val="000000" w:themeColor="text1"/>
                <w:szCs w:val="21"/>
                <w14:textFill>
                  <w14:solidFill>
                    <w14:schemeClr w14:val="tx1"/>
                  </w14:solidFill>
                </w14:textFill>
              </w:rPr>
              <w:t>安全、稳定、有效运行。</w:t>
            </w:r>
          </w:p>
          <w:p w14:paraId="63278EA5">
            <w:pPr>
              <w:widowControl/>
              <w:spacing w:line="360" w:lineRule="auto"/>
              <w:ind w:firstLine="422" w:firstLineChars="20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4.7.</w:t>
            </w: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14:textFill>
                  <w14:solidFill>
                    <w14:schemeClr w14:val="tx1"/>
                  </w14:solidFill>
                </w14:textFill>
              </w:rPr>
              <w:t>竣工验收内容</w:t>
            </w:r>
          </w:p>
          <w:p w14:paraId="2CDC3D3A">
            <w:pPr>
              <w:widowControl/>
              <w:spacing w:line="360" w:lineRule="auto"/>
              <w:ind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本项目环境风险竣工验收内容见下表：</w:t>
            </w:r>
          </w:p>
          <w:p w14:paraId="7C5EE40D">
            <w:pPr>
              <w:widowControl/>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表4.7-</w:t>
            </w:r>
            <w:r>
              <w:rPr>
                <w:rFonts w:hint="eastAsia"/>
                <w:b/>
                <w:bCs/>
                <w:color w:val="000000" w:themeColor="text1"/>
                <w:szCs w:val="21"/>
                <w:lang w:val="en-US" w:eastAsia="zh-CN"/>
                <w14:textFill>
                  <w14:solidFill>
                    <w14:schemeClr w14:val="tx1"/>
                  </w14:solidFill>
                </w14:textFill>
              </w:rPr>
              <w:t>4</w:t>
            </w:r>
            <w:r>
              <w:rPr>
                <w:rFonts w:hint="eastAsia"/>
                <w:b/>
                <w:bCs/>
                <w:color w:val="000000" w:themeColor="text1"/>
                <w:szCs w:val="21"/>
                <w14:textFill>
                  <w14:solidFill>
                    <w14:schemeClr w14:val="tx1"/>
                  </w14:solidFill>
                </w14:textFill>
              </w:rPr>
              <w:t>本项目环境风险竣工验收表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2733"/>
              <w:gridCol w:w="2790"/>
              <w:gridCol w:w="1076"/>
              <w:gridCol w:w="1182"/>
            </w:tblGrid>
            <w:tr w14:paraId="40C7E9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tl2br w:val="nil"/>
                    <w:tr2bl w:val="nil"/>
                  </w:tcBorders>
                </w:tcPr>
                <w:p w14:paraId="35ADDC20">
                  <w:pPr>
                    <w:widowControl/>
                    <w:jc w:val="center"/>
                    <w:rPr>
                      <w:b/>
                      <w:bCs/>
                      <w:color w:val="000000" w:themeColor="text1"/>
                      <w:sz w:val="24"/>
                      <w:vertAlign w:val="baseline"/>
                      <w14:textFill>
                        <w14:solidFill>
                          <w14:schemeClr w14:val="tx1"/>
                        </w14:solidFill>
                      </w14:textFill>
                    </w:rPr>
                  </w:pPr>
                  <w:r>
                    <w:rPr>
                      <w:rFonts w:hint="eastAsia"/>
                      <w:b/>
                      <w:bCs/>
                      <w:color w:val="000000" w:themeColor="text1"/>
                      <w:szCs w:val="21"/>
                      <w:lang w:eastAsia="zh-CN"/>
                      <w14:textFill>
                        <w14:solidFill>
                          <w14:schemeClr w14:val="tx1"/>
                        </w14:solidFill>
                      </w14:textFill>
                    </w:rPr>
                    <w:t>新建塑料零部件及制品生产项目</w:t>
                  </w:r>
                </w:p>
              </w:tc>
            </w:tr>
            <w:tr w14:paraId="7F073E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tcBorders>
                    <w:tl2br w:val="nil"/>
                    <w:tr2bl w:val="nil"/>
                  </w:tcBorders>
                  <w:vAlign w:val="center"/>
                </w:tcPr>
                <w:p w14:paraId="37184935">
                  <w:pPr>
                    <w:widowControl/>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序号</w:t>
                  </w:r>
                </w:p>
              </w:tc>
              <w:tc>
                <w:tcPr>
                  <w:tcW w:w="1605" w:type="pct"/>
                  <w:tcBorders>
                    <w:tl2br w:val="nil"/>
                    <w:tr2bl w:val="nil"/>
                  </w:tcBorders>
                  <w:vAlign w:val="center"/>
                </w:tcPr>
                <w:p w14:paraId="47C50E3A">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防范治理措施</w:t>
                  </w:r>
                </w:p>
              </w:tc>
              <w:tc>
                <w:tcPr>
                  <w:tcW w:w="1637" w:type="pct"/>
                  <w:tcBorders>
                    <w:tl2br w:val="nil"/>
                    <w:tr2bl w:val="nil"/>
                  </w:tcBorders>
                  <w:vAlign w:val="center"/>
                </w:tcPr>
                <w:p w14:paraId="4339F9A0">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处理效果、</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执行标准</w:t>
                  </w:r>
                  <w:r>
                    <w:rPr>
                      <w:rFonts w:ascii="Times New Roman" w:hAnsi="Times New Roman" w:eastAsia="宋体" w:cs="Times New Roman"/>
                      <w:color w:val="000000" w:themeColor="text1"/>
                      <w:kern w:val="0"/>
                      <w:szCs w:val="21"/>
                      <w14:textFill>
                        <w14:solidFill>
                          <w14:schemeClr w14:val="tx1"/>
                        </w14:solidFill>
                      </w14:textFill>
                    </w:rPr>
                    <w:t>或拟达要求</w:t>
                  </w:r>
                </w:p>
              </w:tc>
              <w:tc>
                <w:tcPr>
                  <w:tcW w:w="632" w:type="pct"/>
                  <w:tcBorders>
                    <w:tl2br w:val="nil"/>
                    <w:tr2bl w:val="nil"/>
                  </w:tcBorders>
                  <w:vAlign w:val="center"/>
                </w:tcPr>
                <w:p w14:paraId="3EBDFA9D">
                  <w:pPr>
                    <w:widowControl/>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投资</w:t>
                  </w:r>
                </w:p>
              </w:tc>
              <w:tc>
                <w:tcPr>
                  <w:tcW w:w="692" w:type="pct"/>
                  <w:tcBorders>
                    <w:tl2br w:val="nil"/>
                    <w:tr2bl w:val="nil"/>
                  </w:tcBorders>
                  <w:vAlign w:val="center"/>
                </w:tcPr>
                <w:p w14:paraId="135B6B81">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完成时间</w:t>
                  </w:r>
                </w:p>
              </w:tc>
            </w:tr>
            <w:tr w14:paraId="0C723F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tcBorders>
                    <w:tl2br w:val="nil"/>
                    <w:tr2bl w:val="nil"/>
                  </w:tcBorders>
                  <w:vAlign w:val="center"/>
                </w:tcPr>
                <w:p w14:paraId="33A3CEAA">
                  <w:pPr>
                    <w:widowControl/>
                    <w:jc w:val="center"/>
                    <w:rPr>
                      <w:rFonts w:hint="eastAsia" w:eastAsia="宋体"/>
                      <w:b/>
                      <w:bCs/>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1</w:t>
                  </w:r>
                </w:p>
              </w:tc>
              <w:tc>
                <w:tcPr>
                  <w:tcW w:w="1605" w:type="pct"/>
                  <w:tcBorders>
                    <w:tl2br w:val="nil"/>
                    <w:tr2bl w:val="nil"/>
                  </w:tcBorders>
                  <w:vAlign w:val="center"/>
                </w:tcPr>
                <w:p w14:paraId="2139245A">
                  <w:pPr>
                    <w:widowControl/>
                    <w:jc w:val="center"/>
                    <w:rPr>
                      <w:b/>
                      <w:bCs/>
                      <w:color w:val="000000" w:themeColor="text1"/>
                      <w:sz w:val="24"/>
                      <w:vertAlign w:val="baseline"/>
                      <w14:textFill>
                        <w14:solidFill>
                          <w14:schemeClr w14:val="tx1"/>
                        </w14:solidFill>
                      </w14:textFill>
                    </w:rPr>
                  </w:pPr>
                  <w:r>
                    <w:rPr>
                      <w:rFonts w:ascii="Times New Roman" w:eastAsia="宋体"/>
                      <w:b w:val="0"/>
                      <w:color w:val="000000" w:themeColor="text1"/>
                      <w:sz w:val="21"/>
                      <w:szCs w:val="21"/>
                      <w14:textFill>
                        <w14:solidFill>
                          <w14:schemeClr w14:val="tx1"/>
                        </w14:solidFill>
                      </w14:textFill>
                    </w:rPr>
                    <w:t>消防设计、安全与卫生防护</w:t>
                  </w:r>
                </w:p>
              </w:tc>
              <w:tc>
                <w:tcPr>
                  <w:tcW w:w="1637" w:type="pct"/>
                  <w:tcBorders>
                    <w:tl2br w:val="nil"/>
                    <w:tr2bl w:val="nil"/>
                  </w:tcBorders>
                  <w:vAlign w:val="center"/>
                </w:tcPr>
                <w:p w14:paraId="44AD0281">
                  <w:pPr>
                    <w:widowControl/>
                    <w:jc w:val="center"/>
                    <w:rPr>
                      <w:b/>
                      <w:bCs/>
                      <w:color w:val="000000" w:themeColor="text1"/>
                      <w:sz w:val="24"/>
                      <w:vertAlign w:val="baseline"/>
                      <w14:textFill>
                        <w14:solidFill>
                          <w14:schemeClr w14:val="tx1"/>
                        </w14:solidFill>
                      </w14:textFill>
                    </w:rPr>
                  </w:pPr>
                  <w:r>
                    <w:rPr>
                      <w:rFonts w:ascii="Times New Roman" w:eastAsia="宋体"/>
                      <w:b w:val="0"/>
                      <w:color w:val="000000" w:themeColor="text1"/>
                      <w:sz w:val="21"/>
                      <w:szCs w:val="21"/>
                      <w14:textFill>
                        <w14:solidFill>
                          <w14:schemeClr w14:val="tx1"/>
                        </w14:solidFill>
                      </w14:textFill>
                    </w:rPr>
                    <w:t>《工业企业总平面设计规范》、《建筑设计防火规范》的要求</w:t>
                  </w:r>
                </w:p>
              </w:tc>
              <w:tc>
                <w:tcPr>
                  <w:tcW w:w="632" w:type="pct"/>
                  <w:tcBorders>
                    <w:tl2br w:val="nil"/>
                    <w:tr2bl w:val="nil"/>
                  </w:tcBorders>
                  <w:vAlign w:val="center"/>
                </w:tcPr>
                <w:p w14:paraId="3BE1F32E">
                  <w:pPr>
                    <w:widowControl/>
                    <w:jc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5</w:t>
                  </w:r>
                </w:p>
              </w:tc>
              <w:tc>
                <w:tcPr>
                  <w:tcW w:w="692" w:type="pct"/>
                  <w:vMerge w:val="restart"/>
                  <w:tcBorders>
                    <w:tl2br w:val="nil"/>
                    <w:tr2bl w:val="nil"/>
                  </w:tcBorders>
                  <w:vAlign w:val="center"/>
                </w:tcPr>
                <w:p w14:paraId="31238B70">
                  <w:pPr>
                    <w:widowControl/>
                    <w:jc w:val="center"/>
                    <w:rPr>
                      <w:b/>
                      <w:bCs/>
                      <w:color w:val="000000" w:themeColor="text1"/>
                      <w:sz w:val="24"/>
                      <w:vertAlign w:val="baseline"/>
                      <w14:textFill>
                        <w14:solidFill>
                          <w14:schemeClr w14:val="tx1"/>
                        </w14:solidFill>
                      </w14:textFill>
                    </w:rPr>
                  </w:pPr>
                  <w:r>
                    <w:rPr>
                      <w:color w:val="000000" w:themeColor="text1"/>
                      <w:szCs w:val="21"/>
                      <w14:textFill>
                        <w14:solidFill>
                          <w14:schemeClr w14:val="tx1"/>
                        </w14:solidFill>
                      </w14:textFill>
                    </w:rPr>
                    <w:t>与主体项目同时设计、同时施工、同时投入使用</w:t>
                  </w:r>
                </w:p>
              </w:tc>
            </w:tr>
            <w:tr w14:paraId="7D3083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tcBorders>
                    <w:tl2br w:val="nil"/>
                    <w:tr2bl w:val="nil"/>
                  </w:tcBorders>
                  <w:vAlign w:val="center"/>
                </w:tcPr>
                <w:p w14:paraId="62361DB5">
                  <w:pPr>
                    <w:widowControl/>
                    <w:jc w:val="center"/>
                    <w:rPr>
                      <w:rFonts w:hint="eastAsia" w:eastAsia="宋体"/>
                      <w:b/>
                      <w:bCs/>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2</w:t>
                  </w:r>
                </w:p>
              </w:tc>
              <w:tc>
                <w:tcPr>
                  <w:tcW w:w="1605" w:type="pct"/>
                  <w:tcBorders>
                    <w:tl2br w:val="nil"/>
                    <w:tr2bl w:val="nil"/>
                  </w:tcBorders>
                  <w:vAlign w:val="center"/>
                </w:tcPr>
                <w:p w14:paraId="34D3D2CF">
                  <w:pPr>
                    <w:widowControl/>
                    <w:jc w:val="center"/>
                    <w:rPr>
                      <w:rFonts w:hint="default" w:eastAsia="宋体"/>
                      <w:b/>
                      <w:bCs/>
                      <w:color w:val="000000" w:themeColor="text1"/>
                      <w:sz w:val="24"/>
                      <w:vertAlign w:val="baseline"/>
                      <w:lang w:val="en-US" w:eastAsia="zh-CN"/>
                      <w14:textFill>
                        <w14:solidFill>
                          <w14:schemeClr w14:val="tx1"/>
                        </w14:solidFill>
                      </w14:textFill>
                    </w:rPr>
                  </w:pPr>
                  <w:r>
                    <w:rPr>
                      <w:rFonts w:hint="eastAsia"/>
                      <w:color w:val="000000" w:themeColor="text1"/>
                      <w14:textFill>
                        <w14:solidFill>
                          <w14:schemeClr w14:val="tx1"/>
                        </w14:solidFill>
                      </w14:textFill>
                    </w:rPr>
                    <w:t>组建应急救援队伍</w:t>
                  </w:r>
                </w:p>
              </w:tc>
              <w:tc>
                <w:tcPr>
                  <w:tcW w:w="1637" w:type="pct"/>
                  <w:tcBorders>
                    <w:tl2br w:val="nil"/>
                    <w:tr2bl w:val="nil"/>
                  </w:tcBorders>
                  <w:vAlign w:val="center"/>
                </w:tcPr>
                <w:p w14:paraId="6AEF7327">
                  <w:pPr>
                    <w:widowControl/>
                    <w:jc w:val="center"/>
                    <w:rPr>
                      <w:b/>
                      <w:bCs/>
                      <w:color w:val="000000" w:themeColor="text1"/>
                      <w:sz w:val="24"/>
                      <w:vertAlign w:val="baseline"/>
                      <w14:textFill>
                        <w14:solidFill>
                          <w14:schemeClr w14:val="tx1"/>
                        </w14:solidFill>
                      </w14:textFill>
                    </w:rPr>
                  </w:pPr>
                  <w:r>
                    <w:rPr>
                      <w:rFonts w:hint="eastAsia"/>
                      <w:color w:val="000000" w:themeColor="text1"/>
                      <w:lang w:val="en-US" w:eastAsia="zh-CN"/>
                      <w14:textFill>
                        <w14:solidFill>
                          <w14:schemeClr w14:val="tx1"/>
                        </w14:solidFill>
                      </w14:textFill>
                    </w:rPr>
                    <w:t>在厂内组建应急救援队伍，并</w:t>
                  </w:r>
                  <w:r>
                    <w:rPr>
                      <w:rFonts w:hint="eastAsia"/>
                      <w:color w:val="000000" w:themeColor="text1"/>
                      <w14:textFill>
                        <w14:solidFill>
                          <w14:schemeClr w14:val="tx1"/>
                        </w14:solidFill>
                      </w14:textFill>
                    </w:rPr>
                    <w:t>定期安排专业人员对应急救援队伍进行培训</w:t>
                  </w:r>
                  <w:r>
                    <w:rPr>
                      <w:rFonts w:hint="eastAsia"/>
                      <w:color w:val="000000" w:themeColor="text1"/>
                      <w:lang w:val="en-US" w:eastAsia="zh-CN"/>
                      <w14:textFill>
                        <w14:solidFill>
                          <w14:schemeClr w14:val="tx1"/>
                        </w14:solidFill>
                      </w14:textFill>
                    </w:rPr>
                    <w:t>和演练</w:t>
                  </w:r>
                </w:p>
              </w:tc>
              <w:tc>
                <w:tcPr>
                  <w:tcW w:w="632" w:type="pct"/>
                  <w:tcBorders>
                    <w:tl2br w:val="nil"/>
                    <w:tr2bl w:val="nil"/>
                  </w:tcBorders>
                  <w:vAlign w:val="center"/>
                </w:tcPr>
                <w:p w14:paraId="6931BBD9">
                  <w:pPr>
                    <w:widowControl/>
                    <w:jc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1</w:t>
                  </w:r>
                </w:p>
              </w:tc>
              <w:tc>
                <w:tcPr>
                  <w:tcW w:w="692" w:type="pct"/>
                  <w:vMerge w:val="continue"/>
                  <w:tcBorders>
                    <w:tl2br w:val="nil"/>
                    <w:tr2bl w:val="nil"/>
                  </w:tcBorders>
                </w:tcPr>
                <w:p w14:paraId="6972C26E">
                  <w:pPr>
                    <w:widowControl/>
                    <w:jc w:val="center"/>
                    <w:rPr>
                      <w:b/>
                      <w:bCs/>
                      <w:color w:val="000000" w:themeColor="text1"/>
                      <w:sz w:val="24"/>
                      <w:vertAlign w:val="baseline"/>
                      <w14:textFill>
                        <w14:solidFill>
                          <w14:schemeClr w14:val="tx1"/>
                        </w14:solidFill>
                      </w14:textFill>
                    </w:rPr>
                  </w:pPr>
                </w:p>
              </w:tc>
            </w:tr>
            <w:tr w14:paraId="340AE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tcBorders>
                    <w:tl2br w:val="nil"/>
                    <w:tr2bl w:val="nil"/>
                  </w:tcBorders>
                  <w:vAlign w:val="center"/>
                </w:tcPr>
                <w:p w14:paraId="258FCBF0">
                  <w:pPr>
                    <w:widowControl/>
                    <w:jc w:val="center"/>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3</w:t>
                  </w:r>
                </w:p>
              </w:tc>
              <w:tc>
                <w:tcPr>
                  <w:tcW w:w="1605" w:type="pct"/>
                  <w:tcBorders>
                    <w:tl2br w:val="nil"/>
                    <w:tr2bl w:val="nil"/>
                  </w:tcBorders>
                  <w:vAlign w:val="center"/>
                </w:tcPr>
                <w:p w14:paraId="09D1155B">
                  <w:pPr>
                    <w:widowControl/>
                    <w:jc w:val="center"/>
                    <w:rPr>
                      <w:rFonts w:hint="eastAsia"/>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配备消防器材</w:t>
                  </w:r>
                </w:p>
              </w:tc>
              <w:tc>
                <w:tcPr>
                  <w:tcW w:w="1637" w:type="pct"/>
                  <w:tcBorders>
                    <w:tl2br w:val="nil"/>
                    <w:tr2bl w:val="nil"/>
                  </w:tcBorders>
                  <w:vAlign w:val="center"/>
                </w:tcPr>
                <w:p w14:paraId="3AD9987C">
                  <w:pPr>
                    <w:widowControl/>
                    <w:jc w:val="center"/>
                    <w:rPr>
                      <w:b/>
                      <w:bCs/>
                      <w:color w:val="000000" w:themeColor="text1"/>
                      <w:sz w:val="24"/>
                      <w:vertAlign w:val="baseline"/>
                      <w14:textFill>
                        <w14:solidFill>
                          <w14:schemeClr w14:val="tx1"/>
                        </w14:solidFill>
                      </w14:textFill>
                    </w:rPr>
                  </w:pPr>
                  <w:r>
                    <w:rPr>
                      <w:rFonts w:hint="eastAsia"/>
                      <w:bCs/>
                      <w:color w:val="000000" w:themeColor="text1"/>
                      <w:szCs w:val="21"/>
                      <w:lang w:val="en-US" w:eastAsia="zh-CN"/>
                      <w14:textFill>
                        <w14:solidFill>
                          <w14:schemeClr w14:val="tx1"/>
                        </w14:solidFill>
                      </w14:textFill>
                    </w:rPr>
                    <w:t>配备灭火器、消火栓等消防器材</w:t>
                  </w:r>
                  <w:r>
                    <w:rPr>
                      <w:rFonts w:hint="eastAsia"/>
                      <w:bCs/>
                      <w:color w:val="000000" w:themeColor="text1"/>
                      <w:szCs w:val="21"/>
                      <w14:textFill>
                        <w14:solidFill>
                          <w14:schemeClr w14:val="tx1"/>
                        </w14:solidFill>
                      </w14:textFill>
                    </w:rPr>
                    <w:t>，并定期对其进行维护保养</w:t>
                  </w:r>
                </w:p>
              </w:tc>
              <w:tc>
                <w:tcPr>
                  <w:tcW w:w="632" w:type="pct"/>
                  <w:tcBorders>
                    <w:tl2br w:val="nil"/>
                    <w:tr2bl w:val="nil"/>
                  </w:tcBorders>
                  <w:vAlign w:val="center"/>
                </w:tcPr>
                <w:p w14:paraId="38800840">
                  <w:pPr>
                    <w:widowControl/>
                    <w:jc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3</w:t>
                  </w:r>
                </w:p>
              </w:tc>
              <w:tc>
                <w:tcPr>
                  <w:tcW w:w="692" w:type="pct"/>
                  <w:vMerge w:val="continue"/>
                  <w:tcBorders>
                    <w:tl2br w:val="nil"/>
                    <w:tr2bl w:val="nil"/>
                  </w:tcBorders>
                </w:tcPr>
                <w:p w14:paraId="50764F20">
                  <w:pPr>
                    <w:widowControl/>
                    <w:jc w:val="center"/>
                    <w:rPr>
                      <w:b/>
                      <w:bCs/>
                      <w:color w:val="000000" w:themeColor="text1"/>
                      <w:sz w:val="24"/>
                      <w:vertAlign w:val="baseline"/>
                      <w14:textFill>
                        <w14:solidFill>
                          <w14:schemeClr w14:val="tx1"/>
                        </w14:solidFill>
                      </w14:textFill>
                    </w:rPr>
                  </w:pPr>
                </w:p>
              </w:tc>
            </w:tr>
            <w:tr w14:paraId="164935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tcBorders>
                    <w:tl2br w:val="nil"/>
                    <w:tr2bl w:val="nil"/>
                  </w:tcBorders>
                  <w:vAlign w:val="center"/>
                </w:tcPr>
                <w:p w14:paraId="59B4CEEE">
                  <w:pPr>
                    <w:widowControl/>
                    <w:jc w:val="center"/>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4</w:t>
                  </w:r>
                </w:p>
              </w:tc>
              <w:tc>
                <w:tcPr>
                  <w:tcW w:w="1605" w:type="pct"/>
                  <w:tcBorders>
                    <w:tl2br w:val="nil"/>
                    <w:tr2bl w:val="nil"/>
                  </w:tcBorders>
                  <w:vAlign w:val="center"/>
                </w:tcPr>
                <w:p w14:paraId="0C9C086C">
                  <w:pPr>
                    <w:widowControl/>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配备应急物资</w:t>
                  </w:r>
                </w:p>
              </w:tc>
              <w:tc>
                <w:tcPr>
                  <w:tcW w:w="1637" w:type="pct"/>
                  <w:tcBorders>
                    <w:tl2br w:val="nil"/>
                    <w:tr2bl w:val="nil"/>
                  </w:tcBorders>
                  <w:vAlign w:val="center"/>
                </w:tcPr>
                <w:p w14:paraId="7EC8C3BC">
                  <w:pPr>
                    <w:widowControl/>
                    <w:jc w:val="center"/>
                    <w:rPr>
                      <w:b/>
                      <w:bCs/>
                      <w:color w:val="000000" w:themeColor="text1"/>
                      <w:sz w:val="24"/>
                      <w:vertAlign w:val="baseline"/>
                      <w14:textFill>
                        <w14:solidFill>
                          <w14:schemeClr w14:val="tx1"/>
                        </w14:solidFill>
                      </w14:textFill>
                    </w:rPr>
                  </w:pPr>
                  <w:r>
                    <w:rPr>
                      <w:rFonts w:hint="eastAsia"/>
                      <w:bCs/>
                      <w:color w:val="000000" w:themeColor="text1"/>
                      <w:szCs w:val="21"/>
                      <w:lang w:val="en-US" w:eastAsia="zh-CN"/>
                      <w14:textFill>
                        <w14:solidFill>
                          <w14:schemeClr w14:val="tx1"/>
                        </w14:solidFill>
                      </w14:textFill>
                    </w:rPr>
                    <w:t>配备</w:t>
                  </w:r>
                  <w:r>
                    <w:rPr>
                      <w:rFonts w:hint="eastAsia"/>
                      <w:bCs/>
                      <w:color w:val="000000" w:themeColor="text1"/>
                      <w:szCs w:val="21"/>
                      <w14:textFill>
                        <w14:solidFill>
                          <w14:schemeClr w14:val="tx1"/>
                        </w14:solidFill>
                      </w14:textFill>
                    </w:rPr>
                    <w:t>堵漏工具、黄沙、吸附材料</w:t>
                  </w:r>
                  <w:r>
                    <w:rPr>
                      <w:rFonts w:hint="eastAsia"/>
                      <w:bCs/>
                      <w:color w:val="000000" w:themeColor="text1"/>
                      <w:szCs w:val="21"/>
                      <w:lang w:val="en-US" w:eastAsia="zh-CN"/>
                      <w14:textFill>
                        <w14:solidFill>
                          <w14:schemeClr w14:val="tx1"/>
                        </w14:solidFill>
                      </w14:textFill>
                    </w:rPr>
                    <w:t>等</w:t>
                  </w:r>
                </w:p>
              </w:tc>
              <w:tc>
                <w:tcPr>
                  <w:tcW w:w="632" w:type="pct"/>
                  <w:tcBorders>
                    <w:tl2br w:val="nil"/>
                    <w:tr2bl w:val="nil"/>
                  </w:tcBorders>
                  <w:vAlign w:val="center"/>
                </w:tcPr>
                <w:p w14:paraId="3FFEE1FA">
                  <w:pPr>
                    <w:widowControl/>
                    <w:jc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3</w:t>
                  </w:r>
                </w:p>
              </w:tc>
              <w:tc>
                <w:tcPr>
                  <w:tcW w:w="692" w:type="pct"/>
                  <w:vMerge w:val="continue"/>
                  <w:tcBorders>
                    <w:tl2br w:val="nil"/>
                    <w:tr2bl w:val="nil"/>
                  </w:tcBorders>
                </w:tcPr>
                <w:p w14:paraId="2A5785E6">
                  <w:pPr>
                    <w:widowControl/>
                    <w:jc w:val="center"/>
                    <w:rPr>
                      <w:b/>
                      <w:bCs/>
                      <w:color w:val="000000" w:themeColor="text1"/>
                      <w:sz w:val="24"/>
                      <w:vertAlign w:val="baseline"/>
                      <w14:textFill>
                        <w14:solidFill>
                          <w14:schemeClr w14:val="tx1"/>
                        </w14:solidFill>
                      </w14:textFill>
                    </w:rPr>
                  </w:pPr>
                </w:p>
              </w:tc>
            </w:tr>
            <w:tr w14:paraId="6FFA9D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tcBorders>
                    <w:tl2br w:val="nil"/>
                    <w:tr2bl w:val="nil"/>
                  </w:tcBorders>
                  <w:vAlign w:val="center"/>
                </w:tcPr>
                <w:p w14:paraId="267E9205">
                  <w:pPr>
                    <w:widowControl/>
                    <w:jc w:val="center"/>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5</w:t>
                  </w:r>
                </w:p>
              </w:tc>
              <w:tc>
                <w:tcPr>
                  <w:tcW w:w="1605" w:type="pct"/>
                  <w:tcBorders>
                    <w:tl2br w:val="nil"/>
                    <w:tr2bl w:val="nil"/>
                  </w:tcBorders>
                  <w:vAlign w:val="center"/>
                </w:tcPr>
                <w:p w14:paraId="49721F63">
                  <w:pPr>
                    <w:widowControl/>
                    <w:jc w:val="center"/>
                    <w:rPr>
                      <w:rFonts w:hint="eastAsia"/>
                      <w:bCs/>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14:textFill>
                        <w14:solidFill>
                          <w14:schemeClr w14:val="tx1"/>
                        </w14:solidFill>
                      </w14:textFill>
                    </w:rPr>
                    <w:t>编制生产安全事故应急预案和突发环境事件应急预案</w:t>
                  </w:r>
                </w:p>
              </w:tc>
              <w:tc>
                <w:tcPr>
                  <w:tcW w:w="1637" w:type="pct"/>
                  <w:tcBorders>
                    <w:tl2br w:val="nil"/>
                    <w:tr2bl w:val="nil"/>
                  </w:tcBorders>
                  <w:vAlign w:val="center"/>
                </w:tcPr>
                <w:p w14:paraId="2C0F284A">
                  <w:pPr>
                    <w:widowControl/>
                    <w:jc w:val="center"/>
                    <w:rPr>
                      <w:b/>
                      <w:bCs/>
                      <w:color w:val="000000" w:themeColor="text1"/>
                      <w:sz w:val="24"/>
                      <w:vertAlign w:val="baseline"/>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按照要求</w:t>
                  </w:r>
                  <w:r>
                    <w:rPr>
                      <w:rFonts w:hint="eastAsia" w:ascii="Times New Roman" w:hAnsi="Times New Roman" w:eastAsia="宋体" w:cs="Times New Roman"/>
                      <w:b w:val="0"/>
                      <w:bCs/>
                      <w:color w:val="000000" w:themeColor="text1"/>
                      <w:sz w:val="21"/>
                      <w:szCs w:val="21"/>
                      <w14:textFill>
                        <w14:solidFill>
                          <w14:schemeClr w14:val="tx1"/>
                        </w14:solidFill>
                      </w14:textFill>
                    </w:rPr>
                    <w:t>编制生产安全事故应急预案和突发环境事件应急预案</w:t>
                  </w:r>
                </w:p>
              </w:tc>
              <w:tc>
                <w:tcPr>
                  <w:tcW w:w="632" w:type="pct"/>
                  <w:tcBorders>
                    <w:tl2br w:val="nil"/>
                    <w:tr2bl w:val="nil"/>
                  </w:tcBorders>
                  <w:vAlign w:val="center"/>
                </w:tcPr>
                <w:p w14:paraId="5E3867DE">
                  <w:pPr>
                    <w:widowControl/>
                    <w:jc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5</w:t>
                  </w:r>
                </w:p>
              </w:tc>
              <w:tc>
                <w:tcPr>
                  <w:tcW w:w="692" w:type="pct"/>
                  <w:vMerge w:val="continue"/>
                  <w:tcBorders>
                    <w:tl2br w:val="nil"/>
                    <w:tr2bl w:val="nil"/>
                  </w:tcBorders>
                </w:tcPr>
                <w:p w14:paraId="27E17EC7">
                  <w:pPr>
                    <w:widowControl/>
                    <w:jc w:val="center"/>
                    <w:rPr>
                      <w:b/>
                      <w:bCs/>
                      <w:color w:val="000000" w:themeColor="text1"/>
                      <w:sz w:val="24"/>
                      <w:vertAlign w:val="baseline"/>
                      <w14:textFill>
                        <w14:solidFill>
                          <w14:schemeClr w14:val="tx1"/>
                        </w14:solidFill>
                      </w14:textFill>
                    </w:rPr>
                  </w:pPr>
                </w:p>
              </w:tc>
            </w:tr>
            <w:tr w14:paraId="3479DE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tcBorders>
                    <w:tl2br w:val="nil"/>
                    <w:tr2bl w:val="nil"/>
                  </w:tcBorders>
                  <w:vAlign w:val="center"/>
                </w:tcPr>
                <w:p w14:paraId="51DEF3B5">
                  <w:pPr>
                    <w:widowControl/>
                    <w:jc w:val="center"/>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6</w:t>
                  </w:r>
                </w:p>
              </w:tc>
              <w:tc>
                <w:tcPr>
                  <w:tcW w:w="1605" w:type="pct"/>
                  <w:tcBorders>
                    <w:tl2br w:val="nil"/>
                    <w:tr2bl w:val="nil"/>
                  </w:tcBorders>
                  <w:vAlign w:val="center"/>
                </w:tcPr>
                <w:p w14:paraId="6457E14F">
                  <w:pPr>
                    <w:widowControl/>
                    <w:jc w:val="cente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eastAsia="宋体"/>
                      <w:b w:val="0"/>
                      <w:bCs/>
                      <w:color w:val="000000" w:themeColor="text1"/>
                      <w:sz w:val="21"/>
                      <w:szCs w:val="21"/>
                      <w14:textFill>
                        <w14:solidFill>
                          <w14:schemeClr w14:val="tx1"/>
                        </w14:solidFill>
                      </w14:textFill>
                    </w:rPr>
                    <w:t>应急池建设</w:t>
                  </w:r>
                  <w:r>
                    <w:rPr>
                      <w:rFonts w:hint="eastAsia"/>
                      <w:b w:val="0"/>
                      <w:bCs/>
                      <w:color w:val="000000" w:themeColor="text1"/>
                      <w:sz w:val="21"/>
                      <w:szCs w:val="21"/>
                      <w:lang w:eastAsia="zh-CN"/>
                      <w14:textFill>
                        <w14:solidFill>
                          <w14:schemeClr w14:val="tx1"/>
                        </w14:solidFill>
                      </w14:textFill>
                    </w:rPr>
                    <w:t>（</w:t>
                  </w:r>
                  <w:r>
                    <w:rPr>
                      <w:rFonts w:hint="eastAsia"/>
                      <w:b w:val="0"/>
                      <w:bCs/>
                      <w:color w:val="000000" w:themeColor="text1"/>
                      <w:sz w:val="21"/>
                      <w:szCs w:val="21"/>
                      <w:lang w:val="en-US" w:eastAsia="zh-CN"/>
                      <w14:textFill>
                        <w14:solidFill>
                          <w14:schemeClr w14:val="tx1"/>
                        </w14:solidFill>
                      </w14:textFill>
                    </w:rPr>
                    <w:t>包含雨水管道截断阀门</w:t>
                  </w:r>
                  <w:r>
                    <w:rPr>
                      <w:rFonts w:hint="eastAsia"/>
                      <w:b w:val="0"/>
                      <w:bCs/>
                      <w:color w:val="000000" w:themeColor="text1"/>
                      <w:sz w:val="21"/>
                      <w:szCs w:val="21"/>
                      <w:lang w:eastAsia="zh-CN"/>
                      <w14:textFill>
                        <w14:solidFill>
                          <w14:schemeClr w14:val="tx1"/>
                        </w14:solidFill>
                      </w14:textFill>
                    </w:rPr>
                    <w:t>）</w:t>
                  </w:r>
                </w:p>
              </w:tc>
              <w:tc>
                <w:tcPr>
                  <w:tcW w:w="1637" w:type="pct"/>
                  <w:tcBorders>
                    <w:tl2br w:val="nil"/>
                    <w:tr2bl w:val="nil"/>
                  </w:tcBorders>
                  <w:vAlign w:val="center"/>
                </w:tcPr>
                <w:p w14:paraId="6B843BA6">
                  <w:pPr>
                    <w:widowControl/>
                    <w:jc w:val="center"/>
                    <w:rPr>
                      <w:rFonts w:hint="default" w:eastAsia="宋体"/>
                      <w:b/>
                      <w:bCs/>
                      <w:color w:val="000000" w:themeColor="text1"/>
                      <w:sz w:val="24"/>
                      <w:vertAlign w:val="baseline"/>
                      <w:lang w:val="en-US" w:eastAsia="zh-CN"/>
                      <w14:textFill>
                        <w14:solidFill>
                          <w14:schemeClr w14:val="tx1"/>
                        </w14:solidFill>
                      </w14:textFill>
                    </w:rPr>
                  </w:pPr>
                  <w:r>
                    <w:rPr>
                      <w:rFonts w:hint="eastAsia"/>
                      <w:b/>
                      <w:bCs/>
                      <w:color w:val="000000" w:themeColor="text1"/>
                      <w:sz w:val="24"/>
                      <w:vertAlign w:val="baseline"/>
                      <w:lang w:val="en-US" w:eastAsia="zh-CN"/>
                      <w14:textFill>
                        <w14:solidFill>
                          <w14:schemeClr w14:val="tx1"/>
                        </w14:solidFill>
                      </w14:textFill>
                    </w:rPr>
                    <w:t>/</w:t>
                  </w:r>
                </w:p>
              </w:tc>
              <w:tc>
                <w:tcPr>
                  <w:tcW w:w="632" w:type="pct"/>
                  <w:tcBorders>
                    <w:tl2br w:val="nil"/>
                    <w:tr2bl w:val="nil"/>
                  </w:tcBorders>
                  <w:vAlign w:val="center"/>
                </w:tcPr>
                <w:p w14:paraId="3D7C44B1">
                  <w:pPr>
                    <w:widowControl/>
                    <w:jc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100</w:t>
                  </w:r>
                </w:p>
              </w:tc>
              <w:tc>
                <w:tcPr>
                  <w:tcW w:w="692" w:type="pct"/>
                  <w:vMerge w:val="continue"/>
                  <w:tcBorders>
                    <w:tl2br w:val="nil"/>
                    <w:tr2bl w:val="nil"/>
                  </w:tcBorders>
                </w:tcPr>
                <w:p w14:paraId="75B393CC">
                  <w:pPr>
                    <w:widowControl/>
                    <w:jc w:val="center"/>
                    <w:rPr>
                      <w:b/>
                      <w:bCs/>
                      <w:color w:val="000000" w:themeColor="text1"/>
                      <w:sz w:val="24"/>
                      <w:vertAlign w:val="baseline"/>
                      <w14:textFill>
                        <w14:solidFill>
                          <w14:schemeClr w14:val="tx1"/>
                        </w14:solidFill>
                      </w14:textFill>
                    </w:rPr>
                  </w:pPr>
                </w:p>
              </w:tc>
            </w:tr>
            <w:tr w14:paraId="305143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tcBorders>
                    <w:tl2br w:val="nil"/>
                    <w:tr2bl w:val="nil"/>
                  </w:tcBorders>
                </w:tcPr>
                <w:p w14:paraId="73104E33">
                  <w:pPr>
                    <w:widowControl/>
                    <w:jc w:val="center"/>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合计</w:t>
                  </w:r>
                </w:p>
              </w:tc>
              <w:tc>
                <w:tcPr>
                  <w:tcW w:w="3243" w:type="pct"/>
                  <w:gridSpan w:val="2"/>
                  <w:tcBorders>
                    <w:tl2br w:val="nil"/>
                    <w:tr2bl w:val="nil"/>
                  </w:tcBorders>
                </w:tcPr>
                <w:p w14:paraId="185E535D">
                  <w:pPr>
                    <w:widowControl/>
                    <w:jc w:val="center"/>
                    <w:rPr>
                      <w:b/>
                      <w:bCs/>
                      <w:color w:val="000000" w:themeColor="text1"/>
                      <w:sz w:val="24"/>
                      <w:vertAlign w:val="baseline"/>
                      <w14:textFill>
                        <w14:solidFill>
                          <w14:schemeClr w14:val="tx1"/>
                        </w14:solidFill>
                      </w14:textFill>
                    </w:rPr>
                  </w:pPr>
                  <w:r>
                    <w:rPr>
                      <w:color w:val="000000" w:themeColor="text1"/>
                      <w:kern w:val="0"/>
                      <w:szCs w:val="21"/>
                      <w14:textFill>
                        <w14:solidFill>
                          <w14:schemeClr w14:val="tx1"/>
                        </w14:solidFill>
                      </w14:textFill>
                    </w:rPr>
                    <w:t>——</w:t>
                  </w:r>
                </w:p>
              </w:tc>
              <w:tc>
                <w:tcPr>
                  <w:tcW w:w="632" w:type="pct"/>
                  <w:tcBorders>
                    <w:tl2br w:val="nil"/>
                    <w:tr2bl w:val="nil"/>
                  </w:tcBorders>
                </w:tcPr>
                <w:p w14:paraId="74E11A4D">
                  <w:pPr>
                    <w:widowControl/>
                    <w:jc w:val="center"/>
                    <w:rPr>
                      <w:rFonts w:hint="default" w:eastAsia="宋体"/>
                      <w:b/>
                      <w:bCs/>
                      <w:color w:val="000000" w:themeColor="text1"/>
                      <w:sz w:val="24"/>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117万</w:t>
                  </w:r>
                </w:p>
              </w:tc>
              <w:tc>
                <w:tcPr>
                  <w:tcW w:w="692" w:type="pct"/>
                  <w:tcBorders>
                    <w:tl2br w:val="nil"/>
                    <w:tr2bl w:val="nil"/>
                  </w:tcBorders>
                </w:tcPr>
                <w:p w14:paraId="6E7AE4C3">
                  <w:pPr>
                    <w:widowControl/>
                    <w:jc w:val="center"/>
                    <w:rPr>
                      <w:b/>
                      <w:bCs/>
                      <w:color w:val="000000" w:themeColor="text1"/>
                      <w:sz w:val="24"/>
                      <w:vertAlign w:val="baseline"/>
                      <w14:textFill>
                        <w14:solidFill>
                          <w14:schemeClr w14:val="tx1"/>
                        </w14:solidFill>
                      </w14:textFill>
                    </w:rPr>
                  </w:pPr>
                  <w:r>
                    <w:rPr>
                      <w:color w:val="000000" w:themeColor="text1"/>
                      <w:kern w:val="0"/>
                      <w:szCs w:val="21"/>
                      <w14:textFill>
                        <w14:solidFill>
                          <w14:schemeClr w14:val="tx1"/>
                        </w14:solidFill>
                      </w14:textFill>
                    </w:rPr>
                    <w:t>——</w:t>
                  </w:r>
                </w:p>
              </w:tc>
            </w:tr>
          </w:tbl>
          <w:p w14:paraId="587CA9F0">
            <w:pPr>
              <w:widowControl/>
              <w:spacing w:line="360" w:lineRule="auto"/>
              <w:ind w:firstLine="422" w:firstLineChars="200"/>
              <w:jc w:val="left"/>
              <w:rPr>
                <w:b/>
                <w:bCs/>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4.8全厂竣工验收内容</w:t>
            </w:r>
          </w:p>
          <w:p w14:paraId="64E65AC8">
            <w:pPr>
              <w:widowControl/>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表4.8</w:t>
            </w:r>
            <w:r>
              <w:rPr>
                <w:rFonts w:hint="eastAsia"/>
                <w:b/>
                <w:bCs/>
                <w:color w:val="000000" w:themeColor="text1"/>
                <w:szCs w:val="21"/>
                <w:lang w:val="en-US" w:eastAsia="zh-CN"/>
                <w14:textFill>
                  <w14:solidFill>
                    <w14:schemeClr w14:val="tx1"/>
                  </w14:solidFill>
                </w14:textFill>
              </w:rPr>
              <w:t>-1</w:t>
            </w:r>
            <w:r>
              <w:rPr>
                <w:rFonts w:hint="eastAsia"/>
                <w:b/>
                <w:bCs/>
                <w:color w:val="000000" w:themeColor="text1"/>
                <w:szCs w:val="21"/>
                <w14:textFill>
                  <w14:solidFill>
                    <w14:schemeClr w14:val="tx1"/>
                  </w14:solidFill>
                </w14:textFill>
              </w:rPr>
              <w:t xml:space="preserve"> 污染治理投资及“三同时”一览表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38"/>
              <w:gridCol w:w="625"/>
              <w:gridCol w:w="444"/>
              <w:gridCol w:w="2468"/>
              <w:gridCol w:w="230"/>
              <w:gridCol w:w="2038"/>
              <w:gridCol w:w="737"/>
              <w:gridCol w:w="835"/>
            </w:tblGrid>
            <w:tr w14:paraId="102CA8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8"/>
                  <w:vAlign w:val="center"/>
                </w:tcPr>
                <w:p w14:paraId="3CD42A9A">
                  <w:pPr>
                    <w:widowControl/>
                    <w:jc w:val="center"/>
                    <w:rPr>
                      <w:b/>
                      <w:bCs/>
                      <w:color w:val="000000" w:themeColor="text1"/>
                      <w:kern w:val="0"/>
                      <w:szCs w:val="21"/>
                      <w14:textFill>
                        <w14:solidFill>
                          <w14:schemeClr w14:val="tx1"/>
                        </w14:solidFill>
                      </w14:textFill>
                    </w:rPr>
                  </w:pPr>
                  <w:r>
                    <w:rPr>
                      <w:rFonts w:hint="eastAsia"/>
                      <w:b/>
                      <w:bCs/>
                      <w:color w:val="000000" w:themeColor="text1"/>
                      <w:szCs w:val="21"/>
                      <w:lang w:eastAsia="zh-CN"/>
                      <w14:textFill>
                        <w14:solidFill>
                          <w14:schemeClr w14:val="tx1"/>
                        </w14:solidFill>
                      </w14:textFill>
                    </w:rPr>
                    <w:t>新建塑料零部件及制品生产项目</w:t>
                  </w:r>
                  <w:r>
                    <w:rPr>
                      <w:rFonts w:hint="eastAsia"/>
                      <w:color w:val="000000" w:themeColor="text1"/>
                      <w:szCs w:val="21"/>
                      <w14:textFill>
                        <w14:solidFill>
                          <w14:schemeClr w14:val="tx1"/>
                        </w14:solidFill>
                      </w14:textFill>
                    </w:rPr>
                    <w:t xml:space="preserve"> </w:t>
                  </w:r>
                </w:p>
              </w:tc>
            </w:tr>
            <w:tr w14:paraId="7DE4CF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8" w:type="pct"/>
                  <w:vAlign w:val="center"/>
                </w:tcPr>
                <w:p w14:paraId="2B0C08C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污染源</w:t>
                  </w:r>
                </w:p>
              </w:tc>
              <w:tc>
                <w:tcPr>
                  <w:tcW w:w="628" w:type="pct"/>
                  <w:gridSpan w:val="2"/>
                  <w:vAlign w:val="center"/>
                </w:tcPr>
                <w:p w14:paraId="4E04CA1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污染物</w:t>
                  </w:r>
                </w:p>
              </w:tc>
              <w:tc>
                <w:tcPr>
                  <w:tcW w:w="1449" w:type="pct"/>
                  <w:vAlign w:val="center"/>
                </w:tcPr>
                <w:p w14:paraId="7931015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治理措施（设施数量、规模、处理能力等）</w:t>
                  </w:r>
                </w:p>
              </w:tc>
              <w:tc>
                <w:tcPr>
                  <w:tcW w:w="1330" w:type="pct"/>
                  <w:gridSpan w:val="2"/>
                  <w:vAlign w:val="center"/>
                </w:tcPr>
                <w:p w14:paraId="59C97CC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处理效果、执行标准或拟达要求</w:t>
                  </w:r>
                </w:p>
              </w:tc>
              <w:tc>
                <w:tcPr>
                  <w:tcW w:w="433" w:type="pct"/>
                  <w:vAlign w:val="center"/>
                </w:tcPr>
                <w:p w14:paraId="5112246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环保</w:t>
                  </w:r>
                </w:p>
                <w:p w14:paraId="79EA0AE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投资</w:t>
                  </w:r>
                </w:p>
              </w:tc>
              <w:tc>
                <w:tcPr>
                  <w:tcW w:w="488" w:type="pct"/>
                  <w:vAlign w:val="center"/>
                </w:tcPr>
                <w:p w14:paraId="2E8CBEF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完成</w:t>
                  </w:r>
                </w:p>
                <w:p w14:paraId="1BF1728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时间</w:t>
                  </w:r>
                </w:p>
              </w:tc>
            </w:tr>
            <w:tr w14:paraId="78F2C4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8" w:type="pct"/>
                  <w:vAlign w:val="center"/>
                </w:tcPr>
                <w:p w14:paraId="3307B935">
                  <w:pPr>
                    <w:widowControl/>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DA00</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排气筒</w:t>
                  </w:r>
                </w:p>
              </w:tc>
              <w:tc>
                <w:tcPr>
                  <w:tcW w:w="628" w:type="pct"/>
                  <w:gridSpan w:val="2"/>
                  <w:vAlign w:val="center"/>
                </w:tcPr>
                <w:p w14:paraId="13C8941E">
                  <w:pPr>
                    <w:widowControl/>
                    <w:jc w:val="center"/>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非甲烷总烃</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TVOC</w:t>
                  </w:r>
                </w:p>
              </w:tc>
              <w:tc>
                <w:tcPr>
                  <w:tcW w:w="1449" w:type="pct"/>
                  <w:vAlign w:val="center"/>
                </w:tcPr>
                <w:p w14:paraId="49B0CC30">
                  <w:pPr>
                    <w:widowControl/>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包围式集气罩收集+</w:t>
                  </w:r>
                  <w:r>
                    <w:rPr>
                      <w:rFonts w:hint="eastAsia"/>
                      <w:color w:val="000000" w:themeColor="text1"/>
                      <w:kern w:val="0"/>
                      <w:szCs w:val="21"/>
                      <w14:textFill>
                        <w14:solidFill>
                          <w14:schemeClr w14:val="tx1"/>
                        </w14:solidFill>
                      </w14:textFill>
                    </w:rPr>
                    <w:t>1套</w:t>
                  </w:r>
                  <w:r>
                    <w:rPr>
                      <w:rFonts w:hint="eastAsia"/>
                      <w:color w:val="000000" w:themeColor="text1"/>
                      <w:kern w:val="0"/>
                      <w:szCs w:val="21"/>
                      <w:lang w:val="en-US" w:eastAsia="zh-CN"/>
                      <w14:textFill>
                        <w14:solidFill>
                          <w14:schemeClr w14:val="tx1"/>
                        </w14:solidFill>
                      </w14:textFill>
                    </w:rPr>
                    <w:t>二级</w:t>
                  </w:r>
                  <w:r>
                    <w:rPr>
                      <w:rFonts w:hint="eastAsia"/>
                      <w:color w:val="000000" w:themeColor="text1"/>
                      <w:kern w:val="0"/>
                      <w:szCs w:val="21"/>
                      <w14:textFill>
                        <w14:solidFill>
                          <w14:schemeClr w14:val="tx1"/>
                        </w14:solidFill>
                      </w14:textFill>
                    </w:rPr>
                    <w:t>活性炭吸附装置</w:t>
                  </w:r>
                  <w:r>
                    <w:rPr>
                      <w:rFonts w:hint="eastAsia"/>
                      <w:color w:val="000000" w:themeColor="text1"/>
                      <w:kern w:val="0"/>
                      <w:szCs w:val="21"/>
                      <w:lang w:val="en-US" w:eastAsia="zh-CN"/>
                      <w14:textFill>
                        <w14:solidFill>
                          <w14:schemeClr w14:val="tx1"/>
                        </w14:solidFill>
                      </w14:textFill>
                    </w:rPr>
                    <w:t>T</w:t>
                  </w:r>
                  <w:r>
                    <w:rPr>
                      <w:rFonts w:hint="eastAsia"/>
                      <w:color w:val="000000" w:themeColor="text1"/>
                      <w:kern w:val="0"/>
                      <w:szCs w:val="21"/>
                      <w14:textFill>
                        <w14:solidFill>
                          <w14:schemeClr w14:val="tx1"/>
                        </w14:solidFill>
                      </w14:textFill>
                    </w:rPr>
                    <w:t>A001，收集率</w:t>
                  </w:r>
                  <w:r>
                    <w:rPr>
                      <w:rFonts w:hint="eastAsia"/>
                      <w:color w:val="000000" w:themeColor="text1"/>
                      <w:kern w:val="0"/>
                      <w:szCs w:val="21"/>
                      <w:lang w:val="en-US" w:eastAsia="zh-CN"/>
                      <w14:textFill>
                        <w14:solidFill>
                          <w14:schemeClr w14:val="tx1"/>
                        </w14:solidFill>
                      </w14:textFill>
                    </w:rPr>
                    <w:t>8</w:t>
                  </w:r>
                  <w:r>
                    <w:rPr>
                      <w:rFonts w:hint="eastAsia"/>
                      <w:color w:val="000000" w:themeColor="text1"/>
                      <w:kern w:val="0"/>
                      <w:szCs w:val="21"/>
                      <w14:textFill>
                        <w14:solidFill>
                          <w14:schemeClr w14:val="tx1"/>
                        </w14:solidFill>
                      </w14:textFill>
                    </w:rPr>
                    <w:t>0%，处理率</w:t>
                  </w:r>
                  <w:r>
                    <w:rPr>
                      <w:rFonts w:hint="eastAsia"/>
                      <w:color w:val="000000" w:themeColor="text1"/>
                      <w:kern w:val="0"/>
                      <w:szCs w:val="21"/>
                      <w:lang w:val="en-US" w:eastAsia="zh-CN"/>
                      <w14:textFill>
                        <w14:solidFill>
                          <w14:schemeClr w14:val="tx1"/>
                        </w14:solidFill>
                      </w14:textFill>
                    </w:rPr>
                    <w:t>9</w:t>
                  </w:r>
                  <w:r>
                    <w:rPr>
                      <w:rFonts w:hint="eastAsia"/>
                      <w:color w:val="000000" w:themeColor="text1"/>
                      <w:kern w:val="0"/>
                      <w:szCs w:val="21"/>
                      <w14:textFill>
                        <w14:solidFill>
                          <w14:schemeClr w14:val="tx1"/>
                        </w14:solidFill>
                      </w14:textFill>
                    </w:rPr>
                    <w:t>0%</w:t>
                  </w:r>
                  <w:r>
                    <w:rPr>
                      <w:rFonts w:hint="eastAsia"/>
                      <w:color w:val="000000" w:themeColor="text1"/>
                      <w:kern w:val="0"/>
                      <w:szCs w:val="21"/>
                      <w:highlight w:val="none"/>
                      <w14:textFill>
                        <w14:solidFill>
                          <w14:schemeClr w14:val="tx1"/>
                        </w14:solidFill>
                      </w14:textFill>
                    </w:rPr>
                    <w:t>，风量1</w:t>
                  </w:r>
                  <w:r>
                    <w:rPr>
                      <w:rFonts w:hint="eastAsia"/>
                      <w:color w:val="000000" w:themeColor="text1"/>
                      <w:kern w:val="0"/>
                      <w:szCs w:val="21"/>
                      <w:highlight w:val="none"/>
                      <w:lang w:val="en-US" w:eastAsia="zh-CN"/>
                      <w14:textFill>
                        <w14:solidFill>
                          <w14:schemeClr w14:val="tx1"/>
                        </w14:solidFill>
                      </w14:textFill>
                    </w:rPr>
                    <w:t>2</w:t>
                  </w:r>
                  <w:r>
                    <w:rPr>
                      <w:rFonts w:hint="eastAsia"/>
                      <w:color w:val="000000" w:themeColor="text1"/>
                      <w:kern w:val="0"/>
                      <w:szCs w:val="21"/>
                      <w:highlight w:val="none"/>
                      <w14:textFill>
                        <w14:solidFill>
                          <w14:schemeClr w14:val="tx1"/>
                        </w14:solidFill>
                      </w14:textFill>
                    </w:rPr>
                    <w:t>000m</w:t>
                  </w:r>
                  <w:r>
                    <w:rPr>
                      <w:rFonts w:hint="eastAsia"/>
                      <w:color w:val="000000" w:themeColor="text1"/>
                      <w:kern w:val="0"/>
                      <w:szCs w:val="21"/>
                      <w:highlight w:val="none"/>
                      <w:vertAlign w:val="superscript"/>
                      <w14:textFill>
                        <w14:solidFill>
                          <w14:schemeClr w14:val="tx1"/>
                        </w14:solidFill>
                      </w14:textFill>
                    </w:rPr>
                    <w:t>3</w:t>
                  </w:r>
                  <w:r>
                    <w:rPr>
                      <w:rFonts w:hint="eastAsia"/>
                      <w:color w:val="000000" w:themeColor="text1"/>
                      <w:kern w:val="0"/>
                      <w:szCs w:val="21"/>
                      <w:highlight w:val="none"/>
                      <w14:textFill>
                        <w14:solidFill>
                          <w14:schemeClr w14:val="tx1"/>
                        </w14:solidFill>
                      </w14:textFill>
                    </w:rPr>
                    <w:t>/h</w:t>
                  </w:r>
                </w:p>
              </w:tc>
              <w:tc>
                <w:tcPr>
                  <w:tcW w:w="1330" w:type="pct"/>
                  <w:gridSpan w:val="2"/>
                  <w:vAlign w:val="center"/>
                </w:tcPr>
                <w:p w14:paraId="7AEF5D86">
                  <w:pPr>
                    <w:widowControl/>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达《印刷工业大气污染物排放标准》（DB32/4438-2022）</w:t>
                  </w:r>
                  <w:r>
                    <w:rPr>
                      <w:color w:val="000000" w:themeColor="text1"/>
                      <w:szCs w:val="21"/>
                      <w14:textFill>
                        <w14:solidFill>
                          <w14:schemeClr w14:val="tx1"/>
                        </w14:solidFill>
                      </w14:textFill>
                    </w:rPr>
                    <w:t>表</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标准</w:t>
                  </w:r>
                </w:p>
              </w:tc>
              <w:tc>
                <w:tcPr>
                  <w:tcW w:w="433" w:type="pct"/>
                  <w:vMerge w:val="restart"/>
                  <w:vAlign w:val="center"/>
                </w:tcPr>
                <w:p w14:paraId="22A3CF99">
                  <w:pPr>
                    <w:widowControl/>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16</w:t>
                  </w:r>
                  <w:r>
                    <w:rPr>
                      <w:color w:val="000000" w:themeColor="text1"/>
                      <w:kern w:val="0"/>
                      <w:szCs w:val="21"/>
                      <w14:textFill>
                        <w14:solidFill>
                          <w14:schemeClr w14:val="tx1"/>
                        </w14:solidFill>
                      </w14:textFill>
                    </w:rPr>
                    <w:t>万</w:t>
                  </w:r>
                </w:p>
              </w:tc>
              <w:tc>
                <w:tcPr>
                  <w:tcW w:w="488" w:type="pct"/>
                  <w:vMerge w:val="restart"/>
                  <w:vAlign w:val="center"/>
                </w:tcPr>
                <w:p w14:paraId="55A11BD7">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与主体项目同时设计、同时施工、同时投入使用</w:t>
                  </w:r>
                </w:p>
              </w:tc>
            </w:tr>
            <w:tr w14:paraId="021CA9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8" w:type="pct"/>
                  <w:vAlign w:val="center"/>
                </w:tcPr>
                <w:p w14:paraId="10591DF7">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厂区内</w:t>
                  </w:r>
                </w:p>
              </w:tc>
              <w:tc>
                <w:tcPr>
                  <w:tcW w:w="628" w:type="pct"/>
                  <w:gridSpan w:val="2"/>
                  <w:vAlign w:val="center"/>
                </w:tcPr>
                <w:p w14:paraId="407FF62D">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1449" w:type="pct"/>
                  <w:vAlign w:val="center"/>
                </w:tcPr>
                <w:p w14:paraId="3F53166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1330" w:type="pct"/>
                  <w:gridSpan w:val="2"/>
                  <w:vAlign w:val="center"/>
                </w:tcPr>
                <w:p w14:paraId="70F0DBB7">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达</w:t>
                  </w:r>
                  <w:r>
                    <w:rPr>
                      <w:rFonts w:hint="eastAsia"/>
                      <w:color w:val="000000" w:themeColor="text1"/>
                      <w:szCs w:val="21"/>
                      <w14:textFill>
                        <w14:solidFill>
                          <w14:schemeClr w14:val="tx1"/>
                        </w14:solidFill>
                      </w14:textFill>
                    </w:rPr>
                    <w:t>《印刷工业大气污染物排放标准》（DB32/4438-2022）</w:t>
                  </w:r>
                </w:p>
                <w:p w14:paraId="3BA30E6A">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表</w:t>
                  </w: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标准</w:t>
                  </w:r>
                </w:p>
              </w:tc>
              <w:tc>
                <w:tcPr>
                  <w:tcW w:w="433" w:type="pct"/>
                  <w:vMerge w:val="continue"/>
                  <w:vAlign w:val="center"/>
                </w:tcPr>
                <w:p w14:paraId="28D5DF2F">
                  <w:pPr>
                    <w:widowControl/>
                    <w:jc w:val="center"/>
                    <w:rPr>
                      <w:color w:val="000000" w:themeColor="text1"/>
                      <w:kern w:val="0"/>
                      <w:szCs w:val="21"/>
                      <w14:textFill>
                        <w14:solidFill>
                          <w14:schemeClr w14:val="tx1"/>
                        </w14:solidFill>
                      </w14:textFill>
                    </w:rPr>
                  </w:pPr>
                </w:p>
              </w:tc>
              <w:tc>
                <w:tcPr>
                  <w:tcW w:w="488" w:type="pct"/>
                  <w:vMerge w:val="continue"/>
                  <w:vAlign w:val="center"/>
                </w:tcPr>
                <w:p w14:paraId="10002F62">
                  <w:pPr>
                    <w:widowControl/>
                    <w:jc w:val="center"/>
                    <w:rPr>
                      <w:color w:val="000000" w:themeColor="text1"/>
                      <w:kern w:val="0"/>
                      <w:szCs w:val="21"/>
                      <w14:textFill>
                        <w14:solidFill>
                          <w14:schemeClr w14:val="tx1"/>
                        </w14:solidFill>
                      </w14:textFill>
                    </w:rPr>
                  </w:pPr>
                </w:p>
              </w:tc>
            </w:tr>
            <w:tr w14:paraId="0E218E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8" w:type="pct"/>
                  <w:vAlign w:val="center"/>
                </w:tcPr>
                <w:p w14:paraId="31B2D3B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w:t>
                  </w:r>
                </w:p>
              </w:tc>
              <w:tc>
                <w:tcPr>
                  <w:tcW w:w="628" w:type="pct"/>
                  <w:gridSpan w:val="2"/>
                  <w:vAlign w:val="center"/>
                </w:tcPr>
                <w:p w14:paraId="303CCCD7">
                  <w:pPr>
                    <w:widowControl/>
                    <w:jc w:val="center"/>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非甲烷总烃</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颗粒物</w:t>
                  </w:r>
                </w:p>
              </w:tc>
              <w:tc>
                <w:tcPr>
                  <w:tcW w:w="1449" w:type="pct"/>
                  <w:vAlign w:val="center"/>
                </w:tcPr>
                <w:p w14:paraId="2CC6B3D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1330" w:type="pct"/>
                  <w:gridSpan w:val="2"/>
                  <w:vAlign w:val="center"/>
                </w:tcPr>
                <w:p w14:paraId="0241FDA6">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达</w:t>
                  </w:r>
                  <w:r>
                    <w:rPr>
                      <w:color w:val="000000" w:themeColor="text1"/>
                      <w:szCs w:val="21"/>
                      <w14:textFill>
                        <w14:solidFill>
                          <w14:schemeClr w14:val="tx1"/>
                        </w14:solidFill>
                      </w14:textFill>
                    </w:rPr>
                    <w:t>《大气污染物综合排放标准》（DB32/4041-2021）</w:t>
                  </w:r>
                </w:p>
                <w:p w14:paraId="37861177">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表</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标准</w:t>
                  </w:r>
                </w:p>
              </w:tc>
              <w:tc>
                <w:tcPr>
                  <w:tcW w:w="433" w:type="pct"/>
                  <w:vMerge w:val="continue"/>
                  <w:vAlign w:val="center"/>
                </w:tcPr>
                <w:p w14:paraId="43B61CFD">
                  <w:pPr>
                    <w:widowControl/>
                    <w:jc w:val="center"/>
                    <w:rPr>
                      <w:color w:val="000000" w:themeColor="text1"/>
                      <w:kern w:val="0"/>
                      <w:szCs w:val="21"/>
                      <w14:textFill>
                        <w14:solidFill>
                          <w14:schemeClr w14:val="tx1"/>
                        </w14:solidFill>
                      </w14:textFill>
                    </w:rPr>
                  </w:pPr>
                </w:p>
              </w:tc>
              <w:tc>
                <w:tcPr>
                  <w:tcW w:w="488" w:type="pct"/>
                  <w:vMerge w:val="continue"/>
                  <w:vAlign w:val="center"/>
                </w:tcPr>
                <w:p w14:paraId="265E3E5A">
                  <w:pPr>
                    <w:widowControl/>
                    <w:jc w:val="center"/>
                    <w:rPr>
                      <w:color w:val="000000" w:themeColor="text1"/>
                      <w:kern w:val="0"/>
                      <w:szCs w:val="21"/>
                      <w14:textFill>
                        <w14:solidFill>
                          <w14:schemeClr w14:val="tx1"/>
                        </w14:solidFill>
                      </w14:textFill>
                    </w:rPr>
                  </w:pPr>
                </w:p>
              </w:tc>
            </w:tr>
            <w:tr w14:paraId="49F422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8" w:type="pct"/>
                  <w:vAlign w:val="center"/>
                </w:tcPr>
                <w:p w14:paraId="0A37288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生活污水</w:t>
                  </w:r>
                </w:p>
              </w:tc>
              <w:tc>
                <w:tcPr>
                  <w:tcW w:w="628" w:type="pct"/>
                  <w:gridSpan w:val="2"/>
                  <w:vAlign w:val="center"/>
                </w:tcPr>
                <w:p w14:paraId="5FBF4880">
                  <w:pPr>
                    <w:widowControl/>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COD、</w:t>
                  </w:r>
                  <w:r>
                    <w:rPr>
                      <w:rFonts w:hint="eastAsia"/>
                      <w:color w:val="000000" w:themeColor="text1"/>
                      <w:szCs w:val="21"/>
                      <w14:textFill>
                        <w14:solidFill>
                          <w14:schemeClr w14:val="tx1"/>
                        </w14:solidFill>
                      </w14:textFill>
                    </w:rPr>
                    <w:t>BOD</w:t>
                  </w:r>
                  <w:r>
                    <w:rPr>
                      <w:rFonts w:hint="eastAsia"/>
                      <w:color w:val="000000" w:themeColor="text1"/>
                      <w:szCs w:val="21"/>
                      <w:vertAlign w:val="subscript"/>
                      <w14:textFill>
                        <w14:solidFill>
                          <w14:schemeClr w14:val="tx1"/>
                        </w14:solidFill>
                      </w14:textFill>
                    </w:rPr>
                    <w:t>5</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SS、氨氮、TP、TN</w:t>
                  </w:r>
                </w:p>
              </w:tc>
              <w:tc>
                <w:tcPr>
                  <w:tcW w:w="1449" w:type="pct"/>
                  <w:vAlign w:val="center"/>
                </w:tcPr>
                <w:p w14:paraId="6A8A1A21">
                  <w:pPr>
                    <w:widowControl/>
                    <w:jc w:val="center"/>
                    <w:rPr>
                      <w:rFonts w:hint="eastAsia" w:eastAsia="宋体"/>
                      <w:color w:val="000000" w:themeColor="text1"/>
                      <w:kern w:val="0"/>
                      <w:szCs w:val="21"/>
                      <w:lang w:eastAsia="zh-CN"/>
                      <w14:textFill>
                        <w14:solidFill>
                          <w14:schemeClr w14:val="tx1"/>
                        </w14:solidFill>
                      </w14:textFill>
                    </w:rPr>
                  </w:pPr>
                  <w:r>
                    <w:rPr>
                      <w:color w:val="000000" w:themeColor="text1"/>
                      <w:szCs w:val="21"/>
                      <w14:textFill>
                        <w14:solidFill>
                          <w14:schemeClr w14:val="tx1"/>
                        </w14:solidFill>
                      </w14:textFill>
                    </w:rPr>
                    <w:t>接管至</w:t>
                  </w:r>
                  <w:r>
                    <w:rPr>
                      <w:rFonts w:hint="eastAsia"/>
                      <w:color w:val="000000" w:themeColor="text1"/>
                      <w:szCs w:val="21"/>
                      <w:lang w:eastAsia="zh-CN"/>
                      <w14:textFill>
                        <w14:solidFill>
                          <w14:schemeClr w14:val="tx1"/>
                        </w14:solidFill>
                      </w14:textFill>
                    </w:rPr>
                    <w:t>江苏中法水务股份有限公司（城东水质净化厂）</w:t>
                  </w:r>
                </w:p>
              </w:tc>
              <w:tc>
                <w:tcPr>
                  <w:tcW w:w="1330" w:type="pct"/>
                  <w:gridSpan w:val="2"/>
                  <w:vAlign w:val="center"/>
                </w:tcPr>
                <w:p w14:paraId="7904B3FB">
                  <w:pPr>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达</w:t>
                  </w:r>
                  <w:r>
                    <w:rPr>
                      <w:rFonts w:hint="eastAsia"/>
                      <w:color w:val="000000" w:themeColor="text1"/>
                      <w:szCs w:val="21"/>
                      <w:lang w:eastAsia="zh-CN"/>
                      <w14:textFill>
                        <w14:solidFill>
                          <w14:schemeClr w14:val="tx1"/>
                        </w14:solidFill>
                      </w14:textFill>
                    </w:rPr>
                    <w:t>江苏中法水务股份有限公司（城东水质净化厂）</w:t>
                  </w:r>
                  <w:r>
                    <w:rPr>
                      <w:bCs/>
                      <w:color w:val="000000" w:themeColor="text1"/>
                      <w:szCs w:val="21"/>
                      <w14:textFill>
                        <w14:solidFill>
                          <w14:schemeClr w14:val="tx1"/>
                        </w14:solidFill>
                      </w14:textFill>
                    </w:rPr>
                    <w:t>接管标准</w:t>
                  </w:r>
                </w:p>
              </w:tc>
              <w:tc>
                <w:tcPr>
                  <w:tcW w:w="433" w:type="pct"/>
                  <w:vAlign w:val="center"/>
                </w:tcPr>
                <w:p w14:paraId="119EEAC4">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color w:val="000000" w:themeColor="text1"/>
                      <w:kern w:val="0"/>
                      <w:szCs w:val="21"/>
                      <w14:textFill>
                        <w14:solidFill>
                          <w14:schemeClr w14:val="tx1"/>
                        </w14:solidFill>
                      </w14:textFill>
                    </w:rPr>
                    <w:t>万</w:t>
                  </w:r>
                </w:p>
              </w:tc>
              <w:tc>
                <w:tcPr>
                  <w:tcW w:w="488" w:type="pct"/>
                  <w:vMerge w:val="continue"/>
                  <w:vAlign w:val="center"/>
                </w:tcPr>
                <w:p w14:paraId="6C2AF915">
                  <w:pPr>
                    <w:widowControl/>
                    <w:jc w:val="center"/>
                    <w:rPr>
                      <w:color w:val="000000" w:themeColor="text1"/>
                      <w:kern w:val="0"/>
                      <w:szCs w:val="21"/>
                      <w14:textFill>
                        <w14:solidFill>
                          <w14:schemeClr w14:val="tx1"/>
                        </w14:solidFill>
                      </w14:textFill>
                    </w:rPr>
                  </w:pPr>
                </w:p>
              </w:tc>
            </w:tr>
            <w:tr w14:paraId="051E83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8" w:type="pct"/>
                  <w:vAlign w:val="center"/>
                </w:tcPr>
                <w:p w14:paraId="767AC48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生产、公辅设备</w:t>
                  </w:r>
                </w:p>
              </w:tc>
              <w:tc>
                <w:tcPr>
                  <w:tcW w:w="628" w:type="pct"/>
                  <w:gridSpan w:val="2"/>
                  <w:vAlign w:val="center"/>
                </w:tcPr>
                <w:p w14:paraId="6AF6C8CF">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噪声</w:t>
                  </w:r>
                </w:p>
              </w:tc>
              <w:tc>
                <w:tcPr>
                  <w:tcW w:w="1449" w:type="pct"/>
                  <w:vAlign w:val="center"/>
                </w:tcPr>
                <w:p w14:paraId="0EB0DEA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隔声、减振，在厂界处设置绿化带</w:t>
                  </w:r>
                </w:p>
              </w:tc>
              <w:tc>
                <w:tcPr>
                  <w:tcW w:w="1330" w:type="pct"/>
                  <w:gridSpan w:val="2"/>
                  <w:vAlign w:val="center"/>
                </w:tcPr>
                <w:p w14:paraId="6643C26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w:t>
                  </w:r>
                  <w:r>
                    <w:rPr>
                      <w:color w:val="000000" w:themeColor="text1"/>
                      <w:szCs w:val="21"/>
                      <w14:textFill>
                        <w14:solidFill>
                          <w14:schemeClr w14:val="tx1"/>
                        </w14:solidFill>
                      </w14:textFill>
                    </w:rPr>
                    <w:t>《工业企业厂界环境噪声排放标准》（GB12348-2008）</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类标准</w:t>
                  </w:r>
                </w:p>
              </w:tc>
              <w:tc>
                <w:tcPr>
                  <w:tcW w:w="433" w:type="pct"/>
                  <w:vAlign w:val="center"/>
                </w:tcPr>
                <w:p w14:paraId="06DC5BF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万</w:t>
                  </w:r>
                </w:p>
              </w:tc>
              <w:tc>
                <w:tcPr>
                  <w:tcW w:w="488" w:type="pct"/>
                  <w:vMerge w:val="continue"/>
                  <w:vAlign w:val="center"/>
                </w:tcPr>
                <w:p w14:paraId="1883F3F5">
                  <w:pPr>
                    <w:widowControl/>
                    <w:jc w:val="center"/>
                    <w:rPr>
                      <w:color w:val="000000" w:themeColor="text1"/>
                      <w:kern w:val="0"/>
                      <w:szCs w:val="21"/>
                      <w14:textFill>
                        <w14:solidFill>
                          <w14:schemeClr w14:val="tx1"/>
                        </w14:solidFill>
                      </w14:textFill>
                    </w:rPr>
                  </w:pPr>
                </w:p>
              </w:tc>
            </w:tr>
            <w:tr w14:paraId="55EE0F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35" w:type="pct"/>
                  <w:gridSpan w:val="2"/>
                  <w:vAlign w:val="center"/>
                </w:tcPr>
                <w:p w14:paraId="2923F9D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一般工业固废</w:t>
                  </w:r>
                </w:p>
              </w:tc>
              <w:tc>
                <w:tcPr>
                  <w:tcW w:w="1845" w:type="pct"/>
                  <w:gridSpan w:val="3"/>
                  <w:vAlign w:val="center"/>
                </w:tcPr>
                <w:p w14:paraId="6F661D07">
                  <w:pPr>
                    <w:widowControl/>
                    <w:jc w:val="center"/>
                    <w:rPr>
                      <w:color w:val="000000" w:themeColor="text1"/>
                      <w:spacing w:val="-10"/>
                      <w:kern w:val="0"/>
                      <w:szCs w:val="21"/>
                      <w14:textFill>
                        <w14:solidFill>
                          <w14:schemeClr w14:val="tx1"/>
                        </w14:solidFill>
                      </w14:textFill>
                    </w:rPr>
                  </w:pPr>
                  <w:r>
                    <w:rPr>
                      <w:color w:val="000000" w:themeColor="text1"/>
                      <w:kern w:val="0"/>
                      <w:szCs w:val="21"/>
                      <w14:textFill>
                        <w14:solidFill>
                          <w14:schemeClr w14:val="tx1"/>
                        </w14:solidFill>
                      </w14:textFill>
                    </w:rPr>
                    <w:t>临时储存场所，满足环保要求</w:t>
                  </w:r>
                </w:p>
              </w:tc>
              <w:tc>
                <w:tcPr>
                  <w:tcW w:w="1196" w:type="pct"/>
                  <w:vAlign w:val="center"/>
                </w:tcPr>
                <w:p w14:paraId="5852606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工业固废“零”排放</w:t>
                  </w:r>
                </w:p>
              </w:tc>
              <w:tc>
                <w:tcPr>
                  <w:tcW w:w="433" w:type="pct"/>
                  <w:vMerge w:val="restart"/>
                  <w:vAlign w:val="center"/>
                </w:tcPr>
                <w:p w14:paraId="6F38BD0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万</w:t>
                  </w:r>
                </w:p>
              </w:tc>
              <w:tc>
                <w:tcPr>
                  <w:tcW w:w="488" w:type="pct"/>
                  <w:vMerge w:val="continue"/>
                  <w:vAlign w:val="center"/>
                </w:tcPr>
                <w:p w14:paraId="0052B2C5">
                  <w:pPr>
                    <w:widowControl/>
                    <w:jc w:val="center"/>
                    <w:rPr>
                      <w:color w:val="000000" w:themeColor="text1"/>
                      <w:kern w:val="0"/>
                      <w:szCs w:val="21"/>
                      <w14:textFill>
                        <w14:solidFill>
                          <w14:schemeClr w14:val="tx1"/>
                        </w14:solidFill>
                      </w14:textFill>
                    </w:rPr>
                  </w:pPr>
                </w:p>
              </w:tc>
            </w:tr>
            <w:tr w14:paraId="43B7C8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35" w:type="pct"/>
                  <w:gridSpan w:val="2"/>
                  <w:vAlign w:val="center"/>
                </w:tcPr>
                <w:p w14:paraId="4A472F8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危险废物</w:t>
                  </w:r>
                </w:p>
              </w:tc>
              <w:tc>
                <w:tcPr>
                  <w:tcW w:w="1845" w:type="pct"/>
                  <w:gridSpan w:val="3"/>
                  <w:vAlign w:val="center"/>
                </w:tcPr>
                <w:p w14:paraId="2B3EC10A">
                  <w:pPr>
                    <w:widowControl/>
                    <w:jc w:val="center"/>
                    <w:rPr>
                      <w:color w:val="000000" w:themeColor="text1"/>
                      <w:spacing w:val="-10"/>
                      <w:kern w:val="0"/>
                      <w:szCs w:val="21"/>
                      <w14:textFill>
                        <w14:solidFill>
                          <w14:schemeClr w14:val="tx1"/>
                        </w14:solidFill>
                      </w14:textFill>
                    </w:rPr>
                  </w:pPr>
                  <w:r>
                    <w:rPr>
                      <w:color w:val="000000" w:themeColor="text1"/>
                      <w:kern w:val="0"/>
                      <w:szCs w:val="21"/>
                      <w14:textFill>
                        <w14:solidFill>
                          <w14:schemeClr w14:val="tx1"/>
                        </w14:solidFill>
                      </w14:textFill>
                    </w:rPr>
                    <w:t>临时储存场所，满足环保要求</w:t>
                  </w:r>
                </w:p>
              </w:tc>
              <w:tc>
                <w:tcPr>
                  <w:tcW w:w="1196" w:type="pct"/>
                  <w:vAlign w:val="center"/>
                </w:tcPr>
                <w:p w14:paraId="589AC98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危险废物“零”排放</w:t>
                  </w:r>
                </w:p>
              </w:tc>
              <w:tc>
                <w:tcPr>
                  <w:tcW w:w="433" w:type="pct"/>
                  <w:vMerge w:val="continue"/>
                  <w:vAlign w:val="center"/>
                </w:tcPr>
                <w:p w14:paraId="166859B1">
                  <w:pPr>
                    <w:widowControl/>
                    <w:jc w:val="center"/>
                    <w:rPr>
                      <w:color w:val="000000" w:themeColor="text1"/>
                      <w:kern w:val="0"/>
                      <w:szCs w:val="21"/>
                      <w14:textFill>
                        <w14:solidFill>
                          <w14:schemeClr w14:val="tx1"/>
                        </w14:solidFill>
                      </w14:textFill>
                    </w:rPr>
                  </w:pPr>
                </w:p>
              </w:tc>
              <w:tc>
                <w:tcPr>
                  <w:tcW w:w="488" w:type="pct"/>
                  <w:vMerge w:val="continue"/>
                  <w:vAlign w:val="center"/>
                </w:tcPr>
                <w:p w14:paraId="5FF21393">
                  <w:pPr>
                    <w:widowControl/>
                    <w:jc w:val="center"/>
                    <w:rPr>
                      <w:color w:val="000000" w:themeColor="text1"/>
                      <w:kern w:val="0"/>
                      <w:szCs w:val="21"/>
                      <w14:textFill>
                        <w14:solidFill>
                          <w14:schemeClr w14:val="tx1"/>
                        </w14:solidFill>
                      </w14:textFill>
                    </w:rPr>
                  </w:pPr>
                </w:p>
              </w:tc>
            </w:tr>
            <w:tr w14:paraId="4FFB2A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80" w:type="pct"/>
                  <w:gridSpan w:val="5"/>
                  <w:vAlign w:val="center"/>
                </w:tcPr>
                <w:p w14:paraId="0758893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1196" w:type="pct"/>
                  <w:vAlign w:val="center"/>
                </w:tcPr>
                <w:p w14:paraId="4A70846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满足相关要求</w:t>
                  </w:r>
                </w:p>
              </w:tc>
              <w:tc>
                <w:tcPr>
                  <w:tcW w:w="433" w:type="pct"/>
                  <w:vAlign w:val="center"/>
                </w:tcPr>
                <w:p w14:paraId="667F2AB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88" w:type="pct"/>
                  <w:vMerge w:val="continue"/>
                  <w:vAlign w:val="center"/>
                </w:tcPr>
                <w:p w14:paraId="574952BF">
                  <w:pPr>
                    <w:widowControl/>
                    <w:jc w:val="center"/>
                    <w:rPr>
                      <w:color w:val="000000" w:themeColor="text1"/>
                      <w:kern w:val="0"/>
                      <w:szCs w:val="21"/>
                      <w14:textFill>
                        <w14:solidFill>
                          <w14:schemeClr w14:val="tx1"/>
                        </w14:solidFill>
                      </w14:textFill>
                    </w:rPr>
                  </w:pPr>
                </w:p>
              </w:tc>
            </w:tr>
            <w:tr w14:paraId="7CE7F7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77" w:type="pct"/>
                  <w:gridSpan w:val="6"/>
                  <w:vAlign w:val="center"/>
                </w:tcPr>
                <w:p w14:paraId="09F7DC1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公司环境管理机构、环境管理体系建立，运营期监测计划和实施</w:t>
                  </w:r>
                </w:p>
              </w:tc>
              <w:tc>
                <w:tcPr>
                  <w:tcW w:w="433" w:type="pct"/>
                  <w:vAlign w:val="center"/>
                </w:tcPr>
                <w:p w14:paraId="07D96F1C">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3万</w:t>
                  </w:r>
                </w:p>
              </w:tc>
              <w:tc>
                <w:tcPr>
                  <w:tcW w:w="488" w:type="pct"/>
                  <w:vMerge w:val="continue"/>
                  <w:vAlign w:val="center"/>
                </w:tcPr>
                <w:p w14:paraId="4FE26478">
                  <w:pPr>
                    <w:widowControl/>
                    <w:jc w:val="center"/>
                    <w:rPr>
                      <w:color w:val="000000" w:themeColor="text1"/>
                      <w:kern w:val="0"/>
                      <w:szCs w:val="21"/>
                      <w14:textFill>
                        <w14:solidFill>
                          <w14:schemeClr w14:val="tx1"/>
                        </w14:solidFill>
                      </w14:textFill>
                    </w:rPr>
                  </w:pPr>
                </w:p>
              </w:tc>
            </w:tr>
            <w:tr w14:paraId="3E7F28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77" w:type="pct"/>
                  <w:gridSpan w:val="6"/>
                  <w:vAlign w:val="center"/>
                </w:tcPr>
                <w:p w14:paraId="18E466E1">
                  <w:pPr>
                    <w:widowControl/>
                    <w:jc w:val="center"/>
                    <w:rPr>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设置事故应急池、雨水阀门，</w:t>
                  </w:r>
                  <w:r>
                    <w:rPr>
                      <w:color w:val="000000" w:themeColor="text1"/>
                      <w:kern w:val="0"/>
                      <w:szCs w:val="21"/>
                      <w14:textFill>
                        <w14:solidFill>
                          <w14:schemeClr w14:val="tx1"/>
                        </w14:solidFill>
                      </w14:textFill>
                    </w:rPr>
                    <w:t>保证安全通道、节能电器、节水设施和消防设施设备完好运行，防范风险应对突发事故，把风险危害降到最小</w:t>
                  </w:r>
                  <w:r>
                    <w:rPr>
                      <w:color w:val="000000" w:themeColor="text1"/>
                      <w:kern w:val="0"/>
                      <w:szCs w:val="21"/>
                      <w14:textFill>
                        <w14:solidFill>
                          <w14:schemeClr w14:val="tx1"/>
                        </w14:solidFill>
                      </w14:textFill>
                    </w:rPr>
                    <w:t>。</w:t>
                  </w:r>
                </w:p>
              </w:tc>
              <w:tc>
                <w:tcPr>
                  <w:tcW w:w="433" w:type="pct"/>
                  <w:vAlign w:val="center"/>
                </w:tcPr>
                <w:p w14:paraId="5E44CFF2">
                  <w:pPr>
                    <w:widowControl/>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117</w:t>
                  </w:r>
                  <w:r>
                    <w:rPr>
                      <w:rFonts w:hint="eastAsia"/>
                      <w:color w:val="000000" w:themeColor="text1"/>
                      <w:kern w:val="0"/>
                      <w:szCs w:val="21"/>
                      <w14:textFill>
                        <w14:solidFill>
                          <w14:schemeClr w14:val="tx1"/>
                        </w14:solidFill>
                      </w14:textFill>
                    </w:rPr>
                    <w:t>万</w:t>
                  </w:r>
                </w:p>
              </w:tc>
              <w:tc>
                <w:tcPr>
                  <w:tcW w:w="488" w:type="pct"/>
                  <w:vMerge w:val="continue"/>
                  <w:vAlign w:val="center"/>
                </w:tcPr>
                <w:p w14:paraId="5BBD42C2">
                  <w:pPr>
                    <w:widowControl/>
                    <w:jc w:val="center"/>
                    <w:rPr>
                      <w:color w:val="000000" w:themeColor="text1"/>
                      <w:kern w:val="0"/>
                      <w:szCs w:val="21"/>
                      <w14:textFill>
                        <w14:solidFill>
                          <w14:schemeClr w14:val="tx1"/>
                        </w14:solidFill>
                      </w14:textFill>
                    </w:rPr>
                  </w:pPr>
                </w:p>
              </w:tc>
            </w:tr>
            <w:tr w14:paraId="0F4EA1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77" w:type="pct"/>
                  <w:gridSpan w:val="6"/>
                  <w:vAlign w:val="center"/>
                </w:tcPr>
                <w:p w14:paraId="23D5A5D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33" w:type="pct"/>
                  <w:vAlign w:val="center"/>
                </w:tcPr>
                <w:p w14:paraId="51425DF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88" w:type="pct"/>
                  <w:vMerge w:val="continue"/>
                  <w:vAlign w:val="center"/>
                </w:tcPr>
                <w:p w14:paraId="602E1355">
                  <w:pPr>
                    <w:widowControl/>
                    <w:jc w:val="center"/>
                    <w:rPr>
                      <w:color w:val="000000" w:themeColor="text1"/>
                      <w:kern w:val="0"/>
                      <w:szCs w:val="21"/>
                      <w14:textFill>
                        <w14:solidFill>
                          <w14:schemeClr w14:val="tx1"/>
                        </w14:solidFill>
                      </w14:textFill>
                    </w:rPr>
                  </w:pPr>
                </w:p>
              </w:tc>
            </w:tr>
            <w:tr w14:paraId="675325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77" w:type="pct"/>
                  <w:gridSpan w:val="6"/>
                  <w:vAlign w:val="center"/>
                </w:tcPr>
                <w:p w14:paraId="110E33D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本项目VOCs（以非甲烷总烃计）</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颗粒物</w:t>
                  </w:r>
                  <w:r>
                    <w:rPr>
                      <w:color w:val="000000" w:themeColor="text1"/>
                      <w:kern w:val="0"/>
                      <w:szCs w:val="21"/>
                      <w14:textFill>
                        <w14:solidFill>
                          <w14:schemeClr w14:val="tx1"/>
                        </w14:solidFill>
                      </w14:textFill>
                    </w:rPr>
                    <w:t>在常熟</w:t>
                  </w:r>
                  <w:r>
                    <w:rPr>
                      <w:rFonts w:hint="eastAsia"/>
                      <w:color w:val="000000" w:themeColor="text1"/>
                      <w:kern w:val="0"/>
                      <w:szCs w:val="21"/>
                      <w14:textFill>
                        <w14:solidFill>
                          <w14:schemeClr w14:val="tx1"/>
                        </w14:solidFill>
                      </w14:textFill>
                    </w:rPr>
                    <w:t>高新技术开发区</w:t>
                  </w:r>
                  <w:r>
                    <w:rPr>
                      <w:color w:val="000000" w:themeColor="text1"/>
                      <w:kern w:val="0"/>
                      <w:szCs w:val="21"/>
                      <w14:textFill>
                        <w14:solidFill>
                          <w14:schemeClr w14:val="tx1"/>
                        </w14:solidFill>
                      </w14:textFill>
                    </w:rPr>
                    <w:t>内平衡</w:t>
                  </w:r>
                  <w:r>
                    <w:rPr>
                      <w:rFonts w:hint="eastAsia"/>
                      <w:color w:val="000000" w:themeColor="text1"/>
                      <w:kern w:val="0"/>
                      <w:szCs w:val="21"/>
                      <w14:textFill>
                        <w14:solidFill>
                          <w14:schemeClr w14:val="tx1"/>
                        </w14:solidFill>
                      </w14:textFill>
                    </w:rPr>
                    <w:t>，废水在</w:t>
                  </w:r>
                  <w:r>
                    <w:rPr>
                      <w:rFonts w:hint="eastAsia"/>
                      <w:color w:val="000000" w:themeColor="text1"/>
                      <w:szCs w:val="21"/>
                      <w:lang w:eastAsia="zh-CN"/>
                      <w14:textFill>
                        <w14:solidFill>
                          <w14:schemeClr w14:val="tx1"/>
                        </w14:solidFill>
                      </w14:textFill>
                    </w:rPr>
                    <w:t>江苏中法水务股份有限公司（城东水质净化厂）</w:t>
                  </w:r>
                  <w:r>
                    <w:rPr>
                      <w:rFonts w:hint="eastAsia"/>
                      <w:color w:val="000000" w:themeColor="text1"/>
                      <w:kern w:val="0"/>
                      <w:szCs w:val="21"/>
                      <w14:textFill>
                        <w14:solidFill>
                          <w14:schemeClr w14:val="tx1"/>
                        </w14:solidFill>
                      </w14:textFill>
                    </w:rPr>
                    <w:t>内平衡</w:t>
                  </w:r>
                </w:p>
              </w:tc>
              <w:tc>
                <w:tcPr>
                  <w:tcW w:w="433" w:type="pct"/>
                  <w:vAlign w:val="center"/>
                </w:tcPr>
                <w:p w14:paraId="6A21479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88" w:type="pct"/>
                  <w:vMerge w:val="continue"/>
                  <w:vAlign w:val="center"/>
                </w:tcPr>
                <w:p w14:paraId="3C0271C6">
                  <w:pPr>
                    <w:widowControl/>
                    <w:jc w:val="center"/>
                    <w:rPr>
                      <w:color w:val="000000" w:themeColor="text1"/>
                      <w:kern w:val="0"/>
                      <w:szCs w:val="21"/>
                      <w14:textFill>
                        <w14:solidFill>
                          <w14:schemeClr w14:val="tx1"/>
                        </w14:solidFill>
                      </w14:textFill>
                    </w:rPr>
                  </w:pPr>
                </w:p>
              </w:tc>
            </w:tr>
            <w:tr w14:paraId="7EEA0D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77" w:type="pct"/>
                  <w:gridSpan w:val="6"/>
                  <w:vAlign w:val="center"/>
                </w:tcPr>
                <w:p w14:paraId="774A2AC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33" w:type="pct"/>
                  <w:vAlign w:val="center"/>
                </w:tcPr>
                <w:p w14:paraId="545808A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88" w:type="pct"/>
                  <w:vMerge w:val="continue"/>
                  <w:vAlign w:val="center"/>
                </w:tcPr>
                <w:p w14:paraId="022ED01A">
                  <w:pPr>
                    <w:widowControl/>
                    <w:jc w:val="center"/>
                    <w:rPr>
                      <w:color w:val="000000" w:themeColor="text1"/>
                      <w:kern w:val="0"/>
                      <w:szCs w:val="21"/>
                      <w14:textFill>
                        <w14:solidFill>
                          <w14:schemeClr w14:val="tx1"/>
                        </w14:solidFill>
                      </w14:textFill>
                    </w:rPr>
                  </w:pPr>
                </w:p>
              </w:tc>
            </w:tr>
            <w:tr w14:paraId="00F8CD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77" w:type="pct"/>
                  <w:gridSpan w:val="6"/>
                  <w:vAlign w:val="center"/>
                </w:tcPr>
                <w:p w14:paraId="44E5D746">
                  <w:pPr>
                    <w:widowControl/>
                    <w:jc w:val="center"/>
                    <w:rPr>
                      <w:color w:val="000000" w:themeColor="text1"/>
                      <w:spacing w:val="-6"/>
                      <w:kern w:val="0"/>
                      <w:szCs w:val="21"/>
                      <w14:textFill>
                        <w14:solidFill>
                          <w14:schemeClr w14:val="tx1"/>
                        </w14:solidFill>
                      </w14:textFill>
                    </w:rPr>
                  </w:pPr>
                  <w:r>
                    <w:rPr>
                      <w:color w:val="000000" w:themeColor="text1"/>
                      <w:spacing w:val="-6"/>
                      <w:kern w:val="0"/>
                      <w:szCs w:val="21"/>
                      <w14:textFill>
                        <w14:solidFill>
                          <w14:schemeClr w14:val="tx1"/>
                        </w14:solidFill>
                      </w14:textFill>
                    </w:rPr>
                    <w:t>以</w:t>
                  </w:r>
                  <w:r>
                    <w:rPr>
                      <w:rFonts w:hint="eastAsia"/>
                      <w:color w:val="000000" w:themeColor="text1"/>
                      <w:spacing w:val="-6"/>
                      <w:kern w:val="0"/>
                      <w:szCs w:val="21"/>
                      <w:lang w:val="en-US" w:eastAsia="zh-CN"/>
                      <w14:textFill>
                        <w14:solidFill>
                          <w14:schemeClr w14:val="tx1"/>
                        </w14:solidFill>
                      </w14:textFill>
                    </w:rPr>
                    <w:t>生产厂房</w:t>
                  </w:r>
                  <w:r>
                    <w:rPr>
                      <w:color w:val="000000" w:themeColor="text1"/>
                      <w:spacing w:val="-6"/>
                      <w:kern w:val="0"/>
                      <w:szCs w:val="21"/>
                      <w14:textFill>
                        <w14:solidFill>
                          <w14:schemeClr w14:val="tx1"/>
                        </w14:solidFill>
                      </w14:textFill>
                    </w:rPr>
                    <w:t>为边界外扩</w:t>
                  </w:r>
                  <w:r>
                    <w:rPr>
                      <w:rFonts w:hint="eastAsia"/>
                      <w:color w:val="000000" w:themeColor="text1"/>
                      <w:spacing w:val="-6"/>
                      <w:kern w:val="0"/>
                      <w:szCs w:val="21"/>
                      <w14:textFill>
                        <w14:solidFill>
                          <w14:schemeClr w14:val="tx1"/>
                        </w14:solidFill>
                      </w14:textFill>
                    </w:rPr>
                    <w:t>10</w:t>
                  </w:r>
                  <w:r>
                    <w:rPr>
                      <w:color w:val="000000" w:themeColor="text1"/>
                      <w:spacing w:val="-6"/>
                      <w:kern w:val="0"/>
                      <w:szCs w:val="21"/>
                      <w14:textFill>
                        <w14:solidFill>
                          <w14:schemeClr w14:val="tx1"/>
                        </w14:solidFill>
                      </w14:textFill>
                    </w:rPr>
                    <w:t>0m设置卫生防护距离</w:t>
                  </w:r>
                  <w:r>
                    <w:rPr>
                      <w:rFonts w:hint="eastAsia"/>
                      <w:color w:val="000000" w:themeColor="text1"/>
                      <w:spacing w:val="-6"/>
                      <w:kern w:val="0"/>
                      <w:szCs w:val="21"/>
                      <w14:textFill>
                        <w14:solidFill>
                          <w14:schemeClr w14:val="tx1"/>
                        </w14:solidFill>
                      </w14:textFill>
                    </w:rPr>
                    <w:t>和噪声防护距离，</w:t>
                  </w:r>
                  <w:r>
                    <w:rPr>
                      <w:color w:val="000000" w:themeColor="text1"/>
                      <w:spacing w:val="-6"/>
                      <w:kern w:val="0"/>
                      <w:szCs w:val="21"/>
                      <w14:textFill>
                        <w14:solidFill>
                          <w14:schemeClr w14:val="tx1"/>
                        </w14:solidFill>
                      </w14:textFill>
                    </w:rPr>
                    <w:t>在该范围内无居民、学校等环境敏感点</w:t>
                  </w:r>
                </w:p>
              </w:tc>
              <w:tc>
                <w:tcPr>
                  <w:tcW w:w="433" w:type="pct"/>
                  <w:vAlign w:val="center"/>
                </w:tcPr>
                <w:p w14:paraId="4161298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88" w:type="pct"/>
                  <w:vMerge w:val="continue"/>
                  <w:vAlign w:val="center"/>
                </w:tcPr>
                <w:p w14:paraId="4B2F925C">
                  <w:pPr>
                    <w:widowControl/>
                    <w:jc w:val="center"/>
                    <w:rPr>
                      <w:color w:val="000000" w:themeColor="text1"/>
                      <w:kern w:val="0"/>
                      <w:szCs w:val="21"/>
                      <w14:textFill>
                        <w14:solidFill>
                          <w14:schemeClr w14:val="tx1"/>
                        </w14:solidFill>
                      </w14:textFill>
                    </w:rPr>
                  </w:pPr>
                </w:p>
              </w:tc>
            </w:tr>
            <w:tr w14:paraId="566052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77" w:type="pct"/>
                  <w:gridSpan w:val="6"/>
                  <w:vAlign w:val="center"/>
                </w:tcPr>
                <w:p w14:paraId="465E5692">
                  <w:pPr>
                    <w:widowControl/>
                    <w:jc w:val="center"/>
                    <w:rPr>
                      <w:color w:val="000000" w:themeColor="text1"/>
                      <w:spacing w:val="-6"/>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33" w:type="pct"/>
                  <w:vAlign w:val="center"/>
                </w:tcPr>
                <w:p w14:paraId="09270980">
                  <w:pPr>
                    <w:widowControl/>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15</w:t>
                  </w: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万</w:t>
                  </w:r>
                </w:p>
              </w:tc>
              <w:tc>
                <w:tcPr>
                  <w:tcW w:w="488" w:type="pct"/>
                  <w:vAlign w:val="center"/>
                </w:tcPr>
                <w:p w14:paraId="7A747E9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r>
          </w:tbl>
          <w:p w14:paraId="1B3171ED">
            <w:pPr>
              <w:pStyle w:val="10"/>
              <w:numPr>
                <w:ilvl w:val="0"/>
                <w:numId w:val="0"/>
              </w:numPr>
              <w:ind w:firstLine="420" w:firstLineChars="200"/>
              <w:rPr>
                <w:bCs/>
                <w:color w:val="000000" w:themeColor="text1"/>
                <w:szCs w:val="21"/>
                <w14:textFill>
                  <w14:solidFill>
                    <w14:schemeClr w14:val="tx1"/>
                  </w14:solidFill>
                </w14:textFill>
              </w:rPr>
            </w:pPr>
          </w:p>
        </w:tc>
      </w:tr>
    </w:tbl>
    <w:p w14:paraId="50544404">
      <w:pPr>
        <w:pStyle w:val="10"/>
        <w:rPr>
          <w:color w:val="000000" w:themeColor="text1"/>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539C0FDD">
      <w:pPr>
        <w:pStyle w:val="18"/>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五、</w:t>
      </w:r>
      <w:bookmarkStart w:id="12" w:name="_Hlk54167917"/>
      <w:r>
        <w:rPr>
          <w:rFonts w:ascii="Times New Roman" w:hAnsi="Times New Roman" w:eastAsia="黑体"/>
          <w:snapToGrid w:val="0"/>
          <w:color w:val="000000" w:themeColor="text1"/>
          <w:sz w:val="30"/>
          <w:szCs w:val="30"/>
          <w14:textFill>
            <w14:solidFill>
              <w14:schemeClr w14:val="tx1"/>
            </w14:solidFill>
          </w14:textFill>
        </w:rPr>
        <w:t>环境保护措施监督检查清单</w:t>
      </w:r>
      <w:bookmarkEnd w:id="12"/>
    </w:p>
    <w:tbl>
      <w:tblPr>
        <w:tblStyle w:val="22"/>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443"/>
        <w:gridCol w:w="1373"/>
        <w:gridCol w:w="2016"/>
        <w:gridCol w:w="2851"/>
      </w:tblGrid>
      <w:tr w14:paraId="0CD03A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tcBorders>
              <w:tl2br w:val="single" w:color="auto" w:sz="4" w:space="0"/>
            </w:tcBorders>
            <w:noWrap/>
          </w:tcPr>
          <w:p w14:paraId="0E09CA56">
            <w:pPr>
              <w:adjustRightInd w:val="0"/>
              <w:snapToGrid w:val="0"/>
              <w:ind w:firstLine="630" w:firstLineChars="300"/>
              <w:rPr>
                <w:color w:val="000000" w:themeColor="text1"/>
                <w:szCs w:val="21"/>
                <w14:textFill>
                  <w14:solidFill>
                    <w14:schemeClr w14:val="tx1"/>
                  </w14:solidFill>
                </w14:textFill>
              </w:rPr>
            </w:pPr>
            <w:r>
              <w:rPr>
                <w:color w:val="000000" w:themeColor="text1"/>
                <w:szCs w:val="21"/>
                <w14:textFill>
                  <w14:solidFill>
                    <w14:schemeClr w14:val="tx1"/>
                  </w14:solidFill>
                </w14:textFill>
              </w:rPr>
              <w:t>内容</w:t>
            </w:r>
          </w:p>
          <w:p w14:paraId="11BF6C36">
            <w:pPr>
              <w:adjustRightInd w:val="0"/>
              <w:snapToGrid w:val="0"/>
              <w:rPr>
                <w:color w:val="000000" w:themeColor="text1"/>
                <w:szCs w:val="21"/>
                <w14:textFill>
                  <w14:solidFill>
                    <w14:schemeClr w14:val="tx1"/>
                  </w14:solidFill>
                </w14:textFill>
              </w:rPr>
            </w:pPr>
          </w:p>
          <w:p w14:paraId="56C03407">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要素</w:t>
            </w:r>
          </w:p>
        </w:tc>
        <w:tc>
          <w:tcPr>
            <w:tcW w:w="796" w:type="pct"/>
            <w:noWrap/>
            <w:vAlign w:val="center"/>
          </w:tcPr>
          <w:p w14:paraId="457A6D8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排放口（编号、名称）/污染源</w:t>
            </w:r>
          </w:p>
        </w:tc>
        <w:tc>
          <w:tcPr>
            <w:tcW w:w="758" w:type="pct"/>
            <w:noWrap/>
            <w:vAlign w:val="center"/>
          </w:tcPr>
          <w:p w14:paraId="2889C08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污染物项目</w:t>
            </w:r>
          </w:p>
        </w:tc>
        <w:tc>
          <w:tcPr>
            <w:tcW w:w="1113" w:type="pct"/>
            <w:noWrap/>
            <w:vAlign w:val="center"/>
          </w:tcPr>
          <w:p w14:paraId="165D266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环境保护措施</w:t>
            </w:r>
          </w:p>
        </w:tc>
        <w:tc>
          <w:tcPr>
            <w:tcW w:w="1574" w:type="pct"/>
            <w:noWrap/>
            <w:vAlign w:val="center"/>
          </w:tcPr>
          <w:p w14:paraId="5C277BA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执行标准</w:t>
            </w:r>
          </w:p>
        </w:tc>
      </w:tr>
      <w:tr w14:paraId="453CE0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restart"/>
            <w:noWrap/>
            <w:vAlign w:val="center"/>
          </w:tcPr>
          <w:p w14:paraId="55180CE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大气环境</w:t>
            </w:r>
          </w:p>
        </w:tc>
        <w:tc>
          <w:tcPr>
            <w:tcW w:w="796" w:type="pct"/>
            <w:noWrap/>
            <w:vAlign w:val="center"/>
          </w:tcPr>
          <w:p w14:paraId="1F295BA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DA0</w:t>
            </w:r>
            <w:r>
              <w:rPr>
                <w:rFonts w:hint="eastAsia"/>
                <w:color w:val="000000" w:themeColor="text1"/>
                <w:szCs w:val="21"/>
                <w14:textFill>
                  <w14:solidFill>
                    <w14:schemeClr w14:val="tx1"/>
                  </w14:solidFill>
                </w14:textFill>
              </w:rPr>
              <w:t>01</w:t>
            </w:r>
          </w:p>
          <w:p w14:paraId="31DFD94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排气筒</w:t>
            </w:r>
          </w:p>
        </w:tc>
        <w:tc>
          <w:tcPr>
            <w:tcW w:w="758" w:type="pct"/>
            <w:noWrap/>
            <w:vAlign w:val="center"/>
          </w:tcPr>
          <w:p w14:paraId="717C1DE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TVOC</w:t>
            </w:r>
          </w:p>
        </w:tc>
        <w:tc>
          <w:tcPr>
            <w:tcW w:w="1113" w:type="pct"/>
            <w:noWrap/>
            <w:vAlign w:val="center"/>
          </w:tcPr>
          <w:p w14:paraId="5A039BB1">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包围式集气罩收集+</w:t>
            </w:r>
            <w:r>
              <w:rPr>
                <w:rFonts w:hint="eastAsia"/>
                <w:color w:val="000000" w:themeColor="text1"/>
                <w:kern w:val="0"/>
                <w:szCs w:val="21"/>
                <w14:textFill>
                  <w14:solidFill>
                    <w14:schemeClr w14:val="tx1"/>
                  </w14:solidFill>
                </w14:textFill>
              </w:rPr>
              <w:t>1套</w:t>
            </w:r>
            <w:r>
              <w:rPr>
                <w:rFonts w:hint="eastAsia"/>
                <w:color w:val="000000" w:themeColor="text1"/>
                <w:kern w:val="0"/>
                <w:szCs w:val="21"/>
                <w:lang w:val="en-US" w:eastAsia="zh-CN"/>
                <w14:textFill>
                  <w14:solidFill>
                    <w14:schemeClr w14:val="tx1"/>
                  </w14:solidFill>
                </w14:textFill>
              </w:rPr>
              <w:t>二级</w:t>
            </w:r>
            <w:r>
              <w:rPr>
                <w:rFonts w:hint="eastAsia"/>
                <w:color w:val="000000" w:themeColor="text1"/>
                <w:kern w:val="0"/>
                <w:szCs w:val="21"/>
                <w14:textFill>
                  <w14:solidFill>
                    <w14:schemeClr w14:val="tx1"/>
                  </w14:solidFill>
                </w14:textFill>
              </w:rPr>
              <w:t>活性炭吸附装置</w:t>
            </w:r>
            <w:r>
              <w:rPr>
                <w:rFonts w:hint="eastAsia"/>
                <w:color w:val="000000" w:themeColor="text1"/>
                <w:kern w:val="0"/>
                <w:szCs w:val="21"/>
                <w:lang w:val="en-US" w:eastAsia="zh-CN"/>
                <w14:textFill>
                  <w14:solidFill>
                    <w14:schemeClr w14:val="tx1"/>
                  </w14:solidFill>
                </w14:textFill>
              </w:rPr>
              <w:t>T</w:t>
            </w:r>
            <w:r>
              <w:rPr>
                <w:rFonts w:hint="eastAsia"/>
                <w:color w:val="000000" w:themeColor="text1"/>
                <w:kern w:val="0"/>
                <w:szCs w:val="21"/>
                <w14:textFill>
                  <w14:solidFill>
                    <w14:schemeClr w14:val="tx1"/>
                  </w14:solidFill>
                </w14:textFill>
              </w:rPr>
              <w:t>A001</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5米高</w:t>
            </w:r>
            <w:r>
              <w:rPr>
                <w:rFonts w:hint="eastAsia"/>
                <w:color w:val="000000" w:themeColor="text1"/>
                <w:szCs w:val="21"/>
                <w:lang w:val="en-US" w:eastAsia="zh-CN"/>
                <w14:textFill>
                  <w14:solidFill>
                    <w14:schemeClr w14:val="tx1"/>
                  </w14:solidFill>
                </w14:textFill>
              </w:rPr>
              <w:t>DA00</w:t>
            </w:r>
            <w:r>
              <w:rPr>
                <w:rFonts w:hint="eastAsia"/>
                <w:color w:val="000000" w:themeColor="text1"/>
                <w:szCs w:val="21"/>
                <w14:textFill>
                  <w14:solidFill>
                    <w14:schemeClr w14:val="tx1"/>
                  </w14:solidFill>
                </w14:textFill>
              </w:rPr>
              <w:t>1排气筒排放，收集率90%，处理率80%，风量1</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000m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/h</w:t>
            </w:r>
          </w:p>
        </w:tc>
        <w:tc>
          <w:tcPr>
            <w:tcW w:w="1574" w:type="pct"/>
            <w:noWrap/>
            <w:vAlign w:val="center"/>
          </w:tcPr>
          <w:p w14:paraId="3757CE8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《印刷工业大气污染物排放标准》（DB32/4438-2022）</w:t>
            </w:r>
            <w:r>
              <w:rPr>
                <w:color w:val="000000" w:themeColor="text1"/>
                <w:szCs w:val="21"/>
                <w14:textFill>
                  <w14:solidFill>
                    <w14:schemeClr w14:val="tx1"/>
                  </w14:solidFill>
                </w14:textFill>
              </w:rPr>
              <w:t>表</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标准</w:t>
            </w:r>
          </w:p>
        </w:tc>
      </w:tr>
      <w:tr w14:paraId="6D47EB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noWrap/>
            <w:vAlign w:val="center"/>
          </w:tcPr>
          <w:p w14:paraId="487B0961">
            <w:pPr>
              <w:adjustRightInd w:val="0"/>
              <w:snapToGrid w:val="0"/>
              <w:jc w:val="center"/>
              <w:rPr>
                <w:color w:val="000000" w:themeColor="text1"/>
                <w:szCs w:val="21"/>
                <w14:textFill>
                  <w14:solidFill>
                    <w14:schemeClr w14:val="tx1"/>
                  </w14:solidFill>
                </w14:textFill>
              </w:rPr>
            </w:pPr>
          </w:p>
        </w:tc>
        <w:tc>
          <w:tcPr>
            <w:tcW w:w="796" w:type="pct"/>
            <w:noWrap/>
            <w:vAlign w:val="center"/>
          </w:tcPr>
          <w:p w14:paraId="061F7AE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厂区内</w:t>
            </w:r>
          </w:p>
        </w:tc>
        <w:tc>
          <w:tcPr>
            <w:tcW w:w="758" w:type="pct"/>
            <w:noWrap/>
            <w:vAlign w:val="center"/>
          </w:tcPr>
          <w:p w14:paraId="6FE08E7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1113" w:type="pct"/>
            <w:noWrap/>
            <w:vAlign w:val="center"/>
          </w:tcPr>
          <w:p w14:paraId="7BAA4116">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无组织排放</w:t>
            </w:r>
          </w:p>
        </w:tc>
        <w:tc>
          <w:tcPr>
            <w:tcW w:w="1574" w:type="pct"/>
            <w:noWrap/>
            <w:vAlign w:val="center"/>
          </w:tcPr>
          <w:p w14:paraId="537C198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《印刷工业大气污染物排放标准》（DB32/4438-2022）</w:t>
            </w:r>
            <w:r>
              <w:rPr>
                <w:color w:val="000000" w:themeColor="text1"/>
                <w:szCs w:val="21"/>
                <w14:textFill>
                  <w14:solidFill>
                    <w14:schemeClr w14:val="tx1"/>
                  </w14:solidFill>
                </w14:textFill>
              </w:rPr>
              <w:t>表</w:t>
            </w: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标准</w:t>
            </w:r>
          </w:p>
        </w:tc>
      </w:tr>
      <w:tr w14:paraId="1830B3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noWrap/>
            <w:vAlign w:val="center"/>
          </w:tcPr>
          <w:p w14:paraId="180ADDB0">
            <w:pPr>
              <w:adjustRightInd w:val="0"/>
              <w:snapToGrid w:val="0"/>
              <w:jc w:val="center"/>
              <w:rPr>
                <w:color w:val="000000" w:themeColor="text1"/>
                <w:szCs w:val="21"/>
                <w14:textFill>
                  <w14:solidFill>
                    <w14:schemeClr w14:val="tx1"/>
                  </w14:solidFill>
                </w14:textFill>
              </w:rPr>
            </w:pPr>
          </w:p>
        </w:tc>
        <w:tc>
          <w:tcPr>
            <w:tcW w:w="796" w:type="pct"/>
            <w:noWrap/>
            <w:vAlign w:val="center"/>
          </w:tcPr>
          <w:p w14:paraId="1FA0840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厂界</w:t>
            </w:r>
          </w:p>
        </w:tc>
        <w:tc>
          <w:tcPr>
            <w:tcW w:w="758" w:type="pct"/>
            <w:noWrap/>
            <w:vAlign w:val="center"/>
          </w:tcPr>
          <w:p w14:paraId="67665EBE">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非甲烷总烃</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颗粒物</w:t>
            </w:r>
          </w:p>
        </w:tc>
        <w:tc>
          <w:tcPr>
            <w:tcW w:w="1113" w:type="pct"/>
            <w:noWrap/>
            <w:vAlign w:val="center"/>
          </w:tcPr>
          <w:p w14:paraId="164FB8D7">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无组织排放</w:t>
            </w:r>
          </w:p>
        </w:tc>
        <w:tc>
          <w:tcPr>
            <w:tcW w:w="1574" w:type="pct"/>
            <w:noWrap/>
            <w:vAlign w:val="center"/>
          </w:tcPr>
          <w:p w14:paraId="34DD60A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《大气污染物综合排放标准》（DB32/4041-2021）表</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标准</w:t>
            </w:r>
          </w:p>
        </w:tc>
      </w:tr>
      <w:tr w14:paraId="21C34C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noWrap/>
            <w:vAlign w:val="center"/>
          </w:tcPr>
          <w:p w14:paraId="5F0EFA9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w:t>
            </w:r>
          </w:p>
        </w:tc>
        <w:tc>
          <w:tcPr>
            <w:tcW w:w="796" w:type="pct"/>
            <w:noWrap/>
            <w:vAlign w:val="center"/>
          </w:tcPr>
          <w:p w14:paraId="242672D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DW001</w:t>
            </w:r>
          </w:p>
          <w:p w14:paraId="2A6F685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污水总排口</w:t>
            </w:r>
          </w:p>
        </w:tc>
        <w:tc>
          <w:tcPr>
            <w:tcW w:w="758" w:type="pct"/>
            <w:noWrap/>
            <w:vAlign w:val="center"/>
          </w:tcPr>
          <w:p w14:paraId="6C7DD1D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pH、COD</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BOD</w:t>
            </w:r>
            <w:r>
              <w:rPr>
                <w:rFonts w:hint="eastAsia"/>
                <w:color w:val="000000" w:themeColor="text1"/>
                <w:szCs w:val="21"/>
                <w:vertAlign w:val="subscript"/>
                <w:lang w:val="en-US" w:eastAsia="zh-CN"/>
                <w14:textFill>
                  <w14:solidFill>
                    <w14:schemeClr w14:val="tx1"/>
                  </w14:solidFill>
                </w14:textFill>
              </w:rPr>
              <w:t>5</w:t>
            </w:r>
            <w:r>
              <w:rPr>
                <w:color w:val="000000" w:themeColor="text1"/>
                <w:szCs w:val="21"/>
                <w14:textFill>
                  <w14:solidFill>
                    <w14:schemeClr w14:val="tx1"/>
                  </w14:solidFill>
                </w14:textFill>
              </w:rPr>
              <w:t>、SS、NH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-N、TP、TN</w:t>
            </w:r>
          </w:p>
        </w:tc>
        <w:tc>
          <w:tcPr>
            <w:tcW w:w="1113" w:type="pct"/>
            <w:noWrap/>
            <w:vAlign w:val="center"/>
          </w:tcPr>
          <w:p w14:paraId="22A17B6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生活污水接管至</w:t>
            </w:r>
            <w:r>
              <w:rPr>
                <w:rFonts w:hint="eastAsia"/>
                <w:color w:val="000000" w:themeColor="text1"/>
                <w:szCs w:val="21"/>
                <w:lang w:eastAsia="zh-CN"/>
                <w14:textFill>
                  <w14:solidFill>
                    <w14:schemeClr w14:val="tx1"/>
                  </w14:solidFill>
                </w14:textFill>
              </w:rPr>
              <w:t>江苏中法水务股份有限公司（城东水质净化厂）</w:t>
            </w:r>
            <w:r>
              <w:rPr>
                <w:rFonts w:hint="eastAsia"/>
                <w:color w:val="000000" w:themeColor="text1"/>
                <w:szCs w:val="21"/>
                <w14:textFill>
                  <w14:solidFill>
                    <w14:schemeClr w14:val="tx1"/>
                  </w14:solidFill>
                </w14:textFill>
              </w:rPr>
              <w:t>集中处理，尾水排入大滃</w:t>
            </w:r>
          </w:p>
        </w:tc>
        <w:tc>
          <w:tcPr>
            <w:tcW w:w="1574" w:type="pct"/>
            <w:noWrap/>
            <w:vAlign w:val="center"/>
          </w:tcPr>
          <w:p w14:paraId="2F620A6E">
            <w:pPr>
              <w:jc w:val="center"/>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江苏中法水务股份有限公司（城东水质净化厂）</w:t>
            </w:r>
            <w:r>
              <w:rPr>
                <w:color w:val="000000" w:themeColor="text1"/>
                <w:szCs w:val="21"/>
                <w14:textFill>
                  <w14:solidFill>
                    <w14:schemeClr w14:val="tx1"/>
                  </w14:solidFill>
                </w14:textFill>
              </w:rPr>
              <w:t>接管</w:t>
            </w:r>
            <w:r>
              <w:rPr>
                <w:rFonts w:hint="eastAsia"/>
                <w:color w:val="000000" w:themeColor="text1"/>
                <w:szCs w:val="21"/>
                <w14:textFill>
                  <w14:solidFill>
                    <w14:schemeClr w14:val="tx1"/>
                  </w14:solidFill>
                </w14:textFill>
              </w:rPr>
              <w:t>限值</w:t>
            </w:r>
          </w:p>
        </w:tc>
      </w:tr>
      <w:tr w14:paraId="37DA2E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757" w:type="pct"/>
            <w:noWrap/>
            <w:vAlign w:val="center"/>
          </w:tcPr>
          <w:p w14:paraId="470C22F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796" w:type="pct"/>
            <w:noWrap/>
            <w:vAlign w:val="center"/>
          </w:tcPr>
          <w:p w14:paraId="5FA4FA3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生产设备</w:t>
            </w:r>
            <w:r>
              <w:rPr>
                <w:rFonts w:hint="eastAsia"/>
                <w:color w:val="000000" w:themeColor="text1"/>
                <w:szCs w:val="21"/>
                <w14:textFill>
                  <w14:solidFill>
                    <w14:schemeClr w14:val="tx1"/>
                  </w14:solidFill>
                </w14:textFill>
              </w:rPr>
              <w:t>、环保设备</w:t>
            </w:r>
            <w:r>
              <w:rPr>
                <w:color w:val="000000" w:themeColor="text1"/>
                <w:szCs w:val="21"/>
                <w14:textFill>
                  <w14:solidFill>
                    <w14:schemeClr w14:val="tx1"/>
                  </w14:solidFill>
                </w14:textFill>
              </w:rPr>
              <w:t>等</w:t>
            </w:r>
          </w:p>
        </w:tc>
        <w:tc>
          <w:tcPr>
            <w:tcW w:w="758" w:type="pct"/>
            <w:noWrap/>
            <w:vAlign w:val="center"/>
          </w:tcPr>
          <w:p w14:paraId="10D7DE9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昼</w:t>
            </w:r>
            <w:r>
              <w:rPr>
                <w:rFonts w:hint="eastAsia"/>
                <w:color w:val="000000" w:themeColor="text1"/>
                <w:szCs w:val="21"/>
                <w:lang w:val="en-US" w:eastAsia="zh-CN"/>
                <w14:textFill>
                  <w14:solidFill>
                    <w14:schemeClr w14:val="tx1"/>
                  </w14:solidFill>
                </w14:textFill>
              </w:rPr>
              <w:t>夜</w:t>
            </w:r>
            <w:r>
              <w:rPr>
                <w:color w:val="000000" w:themeColor="text1"/>
                <w:szCs w:val="21"/>
                <w14:textFill>
                  <w14:solidFill>
                    <w14:schemeClr w14:val="tx1"/>
                  </w14:solidFill>
                </w14:textFill>
              </w:rPr>
              <w:t>噪声</w:t>
            </w:r>
          </w:p>
        </w:tc>
        <w:tc>
          <w:tcPr>
            <w:tcW w:w="1113" w:type="pct"/>
            <w:noWrap/>
            <w:vAlign w:val="center"/>
          </w:tcPr>
          <w:p w14:paraId="5BF4F72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选用低噪声设备，采取置于室内、隔声减振、距离衰减、绿化降噪等</w:t>
            </w:r>
          </w:p>
        </w:tc>
        <w:tc>
          <w:tcPr>
            <w:tcW w:w="1574" w:type="pct"/>
            <w:noWrap/>
            <w:vAlign w:val="center"/>
          </w:tcPr>
          <w:p w14:paraId="4EFD13D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《工业企业厂界环境噪声排放标准》（GB12348-2008）</w:t>
            </w:r>
          </w:p>
          <w:p w14:paraId="5D3736F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类标准</w:t>
            </w:r>
          </w:p>
        </w:tc>
      </w:tr>
      <w:tr w14:paraId="7E6CFF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noWrap/>
            <w:vAlign w:val="center"/>
          </w:tcPr>
          <w:p w14:paraId="2B97DD8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电磁辐射</w:t>
            </w:r>
          </w:p>
        </w:tc>
        <w:tc>
          <w:tcPr>
            <w:tcW w:w="796" w:type="pct"/>
            <w:noWrap/>
            <w:vAlign w:val="center"/>
          </w:tcPr>
          <w:p w14:paraId="0CB6465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58" w:type="pct"/>
            <w:noWrap/>
            <w:vAlign w:val="center"/>
          </w:tcPr>
          <w:p w14:paraId="63A8AC5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13" w:type="pct"/>
            <w:noWrap/>
            <w:vAlign w:val="center"/>
          </w:tcPr>
          <w:p w14:paraId="397BB0D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74" w:type="pct"/>
            <w:noWrap/>
            <w:vAlign w:val="center"/>
          </w:tcPr>
          <w:p w14:paraId="6A342CA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1D8232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noWrap/>
            <w:vAlign w:val="center"/>
          </w:tcPr>
          <w:p w14:paraId="0AF7EAD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4242" w:type="pct"/>
            <w:gridSpan w:val="4"/>
            <w:noWrap/>
            <w:vAlign w:val="center"/>
          </w:tcPr>
          <w:p w14:paraId="67D32A10">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一般工业固废（</w:t>
            </w:r>
            <w:r>
              <w:rPr>
                <w:rFonts w:hint="eastAsia"/>
                <w:color w:val="000000" w:themeColor="text1"/>
                <w:szCs w:val="21"/>
                <w14:textFill>
                  <w14:solidFill>
                    <w14:schemeClr w14:val="tx1"/>
                  </w14:solidFill>
                </w14:textFill>
              </w:rPr>
              <w:t>废模具</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废包装</w:t>
            </w:r>
            <w:r>
              <w:rPr>
                <w:rFonts w:hint="eastAsia"/>
                <w:color w:val="000000" w:themeColor="text1"/>
                <w:szCs w:val="21"/>
                <w:lang w:val="en-US" w:eastAsia="zh-CN"/>
                <w14:textFill>
                  <w14:solidFill>
                    <w14:schemeClr w14:val="tx1"/>
                  </w14:solidFill>
                </w14:textFill>
              </w:rPr>
              <w:t>袋</w:t>
            </w:r>
            <w:r>
              <w:rPr>
                <w:color w:val="000000" w:themeColor="text1"/>
                <w:szCs w:val="21"/>
                <w14:textFill>
                  <w14:solidFill>
                    <w14:schemeClr w14:val="tx1"/>
                  </w14:solidFill>
                </w14:textFill>
              </w:rPr>
              <w:t>）收集后</w:t>
            </w:r>
            <w:r>
              <w:rPr>
                <w:color w:val="000000" w:themeColor="text1"/>
                <w:kern w:val="0"/>
                <w:szCs w:val="21"/>
                <w14:textFill>
                  <w14:solidFill>
                    <w14:schemeClr w14:val="tx1"/>
                  </w14:solidFill>
                </w14:textFill>
              </w:rPr>
              <w:t>贮存于</w:t>
            </w:r>
            <w:r>
              <w:rPr>
                <w:rFonts w:hint="eastAsia" w:cs="Times New Roman"/>
                <w:color w:val="000000" w:themeColor="text1"/>
                <w:szCs w:val="21"/>
                <w:highlight w:val="none"/>
                <w:lang w:val="en-US" w:eastAsia="zh-CN"/>
                <w14:textFill>
                  <w14:solidFill>
                    <w14:schemeClr w14:val="tx1"/>
                  </w14:solidFill>
                </w14:textFill>
              </w:rPr>
              <w:t>15</w:t>
            </w:r>
            <w:r>
              <w:rPr>
                <w:rFonts w:hint="default" w:ascii="Times New Roman" w:hAnsi="Times New Roman" w:cs="Times New Roman"/>
                <w:color w:val="000000" w:themeColor="text1"/>
                <w:szCs w:val="21"/>
                <w:highlight w:val="none"/>
                <w14:textFill>
                  <w14:solidFill>
                    <w14:schemeClr w14:val="tx1"/>
                  </w14:solidFill>
                </w14:textFill>
              </w:rPr>
              <w:t>m</w:t>
            </w:r>
            <w:r>
              <w:rPr>
                <w:rFonts w:hint="default" w:ascii="Times New Roman" w:hAnsi="Times New Roman" w:cs="Times New Roman"/>
                <w:color w:val="000000" w:themeColor="text1"/>
                <w:szCs w:val="21"/>
                <w:highlight w:val="none"/>
                <w:vertAlign w:val="superscript"/>
                <w14:textFill>
                  <w14:solidFill>
                    <w14:schemeClr w14:val="tx1"/>
                  </w14:solidFill>
                </w14:textFill>
              </w:rPr>
              <w:t>2</w:t>
            </w:r>
            <w:r>
              <w:rPr>
                <w:rFonts w:hint="eastAsia"/>
                <w:color w:val="000000" w:themeColor="text1"/>
                <w:kern w:val="0"/>
                <w:szCs w:val="21"/>
                <w:lang w:val="en-US" w:eastAsia="zh-CN"/>
                <w14:textFill>
                  <w14:solidFill>
                    <w14:schemeClr w14:val="tx1"/>
                  </w14:solidFill>
                </w14:textFill>
              </w:rPr>
              <w:t>的</w:t>
            </w:r>
            <w:r>
              <w:rPr>
                <w:color w:val="000000" w:themeColor="text1"/>
                <w:kern w:val="0"/>
                <w:szCs w:val="21"/>
                <w14:textFill>
                  <w14:solidFill>
                    <w14:schemeClr w14:val="tx1"/>
                  </w14:solidFill>
                </w14:textFill>
              </w:rPr>
              <w:t>一般工业固废仓库内，定期交由物资回收单位回收利用</w:t>
            </w:r>
            <w:r>
              <w:rPr>
                <w:rFonts w:hint="eastAsia"/>
                <w:color w:val="000000" w:themeColor="text1"/>
                <w:kern w:val="0"/>
                <w:szCs w:val="21"/>
                <w14:textFill>
                  <w14:solidFill>
                    <w14:schemeClr w14:val="tx1"/>
                  </w14:solidFill>
                </w14:textFill>
              </w:rPr>
              <w:t>；危险废物</w:t>
            </w:r>
            <w:r>
              <w:rPr>
                <w:rFonts w:hint="eastAsia"/>
                <w:color w:val="000000" w:themeColor="text1"/>
                <w:szCs w:val="21"/>
                <w14:textFill>
                  <w14:solidFill>
                    <w14:schemeClr w14:val="tx1"/>
                  </w14:solidFill>
                </w14:textFill>
              </w:rPr>
              <w:t>（废液压油、废抹布、废包装桶、废油桶、废活性炭）</w:t>
            </w:r>
            <w:r>
              <w:rPr>
                <w:color w:val="000000" w:themeColor="text1"/>
                <w:kern w:val="0"/>
                <w:szCs w:val="21"/>
                <w14:textFill>
                  <w14:solidFill>
                    <w14:schemeClr w14:val="tx1"/>
                  </w14:solidFill>
                </w14:textFill>
              </w:rPr>
              <w:t>贮存于</w:t>
            </w:r>
            <w:r>
              <w:rPr>
                <w:rFonts w:hint="eastAsia" w:cs="Times New Roman"/>
                <w:color w:val="000000" w:themeColor="text1"/>
                <w:szCs w:val="21"/>
                <w:highlight w:val="none"/>
                <w:lang w:val="en-US" w:eastAsia="zh-CN"/>
                <w14:textFill>
                  <w14:solidFill>
                    <w14:schemeClr w14:val="tx1"/>
                  </w14:solidFill>
                </w14:textFill>
              </w:rPr>
              <w:t>10</w:t>
            </w:r>
            <w:r>
              <w:rPr>
                <w:rFonts w:hint="default" w:ascii="Times New Roman" w:hAnsi="Times New Roman" w:cs="Times New Roman"/>
                <w:color w:val="000000" w:themeColor="text1"/>
                <w:szCs w:val="21"/>
                <w:highlight w:val="none"/>
                <w14:textFill>
                  <w14:solidFill>
                    <w14:schemeClr w14:val="tx1"/>
                  </w14:solidFill>
                </w14:textFill>
              </w:rPr>
              <w:t>m</w:t>
            </w:r>
            <w:r>
              <w:rPr>
                <w:rFonts w:hint="default" w:ascii="Times New Roman" w:hAnsi="Times New Roman" w:cs="Times New Roman"/>
                <w:color w:val="000000" w:themeColor="text1"/>
                <w:szCs w:val="21"/>
                <w:highlight w:val="none"/>
                <w:vertAlign w:val="superscript"/>
                <w14:textFill>
                  <w14:solidFill>
                    <w14:schemeClr w14:val="tx1"/>
                  </w14:solidFill>
                </w14:textFill>
              </w:rPr>
              <w:t>2</w:t>
            </w:r>
            <w:r>
              <w:rPr>
                <w:rFonts w:hint="eastAsia"/>
                <w:color w:val="000000" w:themeColor="text1"/>
                <w:kern w:val="0"/>
                <w:szCs w:val="21"/>
                <w:lang w:val="en-US" w:eastAsia="zh-CN"/>
                <w14:textFill>
                  <w14:solidFill>
                    <w14:schemeClr w14:val="tx1"/>
                  </w14:solidFill>
                </w14:textFill>
              </w:rPr>
              <w:t>的</w:t>
            </w:r>
            <w:r>
              <w:rPr>
                <w:color w:val="000000" w:themeColor="text1"/>
                <w:kern w:val="0"/>
                <w:szCs w:val="21"/>
                <w14:textFill>
                  <w14:solidFill>
                    <w14:schemeClr w14:val="tx1"/>
                  </w14:solidFill>
                </w14:textFill>
              </w:rPr>
              <w:t>危废仓库中，定期委托有资质单位处置</w:t>
            </w:r>
            <w:r>
              <w:rPr>
                <w:rFonts w:hint="eastAsia"/>
                <w:color w:val="000000" w:themeColor="text1"/>
                <w:kern w:val="0"/>
                <w:szCs w:val="21"/>
                <w14:textFill>
                  <w14:solidFill>
                    <w14:schemeClr w14:val="tx1"/>
                  </w14:solidFill>
                </w14:textFill>
              </w:rPr>
              <w:t>；生活垃圾定期委托环卫清运处置</w:t>
            </w:r>
            <w:r>
              <w:rPr>
                <w:color w:val="000000" w:themeColor="text1"/>
                <w:szCs w:val="21"/>
                <w14:textFill>
                  <w14:solidFill>
                    <w14:schemeClr w14:val="tx1"/>
                  </w14:solidFill>
                </w14:textFill>
              </w:rPr>
              <w:t>。固废“零”排放。</w:t>
            </w:r>
          </w:p>
        </w:tc>
      </w:tr>
      <w:tr w14:paraId="635065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757" w:type="pct"/>
            <w:noWrap/>
            <w:vAlign w:val="center"/>
          </w:tcPr>
          <w:p w14:paraId="5FE55A2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土壤及地下水污染防治措施</w:t>
            </w:r>
          </w:p>
        </w:tc>
        <w:tc>
          <w:tcPr>
            <w:tcW w:w="4242" w:type="pct"/>
            <w:gridSpan w:val="4"/>
            <w:noWrap/>
            <w:vAlign w:val="center"/>
          </w:tcPr>
          <w:p w14:paraId="1B526804">
            <w:pPr>
              <w:pStyle w:val="2"/>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①建设单位</w:t>
            </w:r>
            <w:r>
              <w:rPr>
                <w:rFonts w:hint="eastAsia"/>
                <w:color w:val="000000" w:themeColor="text1"/>
                <w:sz w:val="21"/>
                <w:szCs w:val="21"/>
                <w14:textFill>
                  <w14:solidFill>
                    <w14:schemeClr w14:val="tx1"/>
                  </w14:solidFill>
                </w14:textFill>
              </w:rPr>
              <w:t>应采取有效的分区防渗措施。</w:t>
            </w:r>
          </w:p>
          <w:p w14:paraId="02B23FDA">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②生产过程严格控制，定期对设备等进行检修，防止跑、冒、滴、漏现象发生</w:t>
            </w:r>
            <w:r>
              <w:rPr>
                <w:rFonts w:hint="eastAsia"/>
                <w:color w:val="000000" w:themeColor="text1"/>
                <w:szCs w:val="21"/>
                <w14:textFill>
                  <w14:solidFill>
                    <w14:schemeClr w14:val="tx1"/>
                  </w14:solidFill>
                </w14:textFill>
              </w:rPr>
              <w:t>。</w:t>
            </w:r>
          </w:p>
          <w:p w14:paraId="7C152125">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③定期对污水管网进行检查维护</w:t>
            </w:r>
            <w:r>
              <w:rPr>
                <w:rFonts w:hint="eastAsia"/>
                <w:color w:val="000000" w:themeColor="text1"/>
                <w:szCs w:val="21"/>
                <w14:textFill>
                  <w14:solidFill>
                    <w14:schemeClr w14:val="tx1"/>
                  </w14:solidFill>
                </w14:textFill>
              </w:rPr>
              <w:t>。</w:t>
            </w:r>
          </w:p>
          <w:p w14:paraId="382A076A">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④</w:t>
            </w:r>
            <w:r>
              <w:rPr>
                <w:color w:val="000000" w:themeColor="text1"/>
                <w:szCs w:val="21"/>
                <w14:textFill>
                  <w14:solidFill>
                    <w14:schemeClr w14:val="tx1"/>
                  </w14:solidFill>
                </w14:textFill>
              </w:rPr>
              <w:t>必要时，开展地下水和土壤跟踪监测。</w:t>
            </w:r>
          </w:p>
        </w:tc>
      </w:tr>
      <w:tr w14:paraId="4ED315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757" w:type="pct"/>
            <w:noWrap/>
            <w:vAlign w:val="center"/>
          </w:tcPr>
          <w:p w14:paraId="42F4583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生态保护</w:t>
            </w:r>
          </w:p>
          <w:p w14:paraId="5645E54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措施</w:t>
            </w:r>
          </w:p>
        </w:tc>
        <w:tc>
          <w:tcPr>
            <w:tcW w:w="4242" w:type="pct"/>
            <w:gridSpan w:val="4"/>
            <w:noWrap/>
            <w:vAlign w:val="center"/>
          </w:tcPr>
          <w:p w14:paraId="03F3ACA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38723C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57" w:type="pct"/>
            <w:noWrap/>
            <w:vAlign w:val="center"/>
          </w:tcPr>
          <w:p w14:paraId="08FA4F21">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环境风险</w:t>
            </w:r>
          </w:p>
          <w:p w14:paraId="1C821F62">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防范措施</w:t>
            </w:r>
          </w:p>
        </w:tc>
        <w:tc>
          <w:tcPr>
            <w:tcW w:w="4242" w:type="pct"/>
            <w:gridSpan w:val="4"/>
            <w:noWrap/>
            <w:vAlign w:val="center"/>
          </w:tcPr>
          <w:p w14:paraId="61437FDB">
            <w:pPr>
              <w:adjustRightInd w:val="0"/>
              <w:snapToGrid w:val="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自行建设事故应急池并配备雨水管道截断阀门，配备应急物资，</w:t>
            </w:r>
            <w:r>
              <w:rPr>
                <w:rFonts w:hint="eastAsia"/>
                <w:color w:val="000000" w:themeColor="text1"/>
                <w:szCs w:val="21"/>
                <w14:textFill>
                  <w14:solidFill>
                    <w14:schemeClr w14:val="tx1"/>
                  </w14:solidFill>
                </w14:textFill>
              </w:rPr>
              <w:t>建立环境管理体系，加强生产管理，落实风险防范措施，并定期进行演练和检查应急设施器具。</w:t>
            </w:r>
          </w:p>
        </w:tc>
      </w:tr>
      <w:tr w14:paraId="488F82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noWrap/>
            <w:vAlign w:val="center"/>
          </w:tcPr>
          <w:p w14:paraId="749BE533">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其他环境</w:t>
            </w:r>
          </w:p>
          <w:p w14:paraId="79EC5E8E">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管理要求</w:t>
            </w:r>
          </w:p>
        </w:tc>
        <w:tc>
          <w:tcPr>
            <w:tcW w:w="4242" w:type="pct"/>
            <w:gridSpan w:val="4"/>
            <w:noWrap/>
            <w:vAlign w:val="center"/>
          </w:tcPr>
          <w:p w14:paraId="798A81D1">
            <w:pPr>
              <w:adjustRightInd w:val="0"/>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本项目</w:t>
            </w:r>
            <w:r>
              <w:rPr>
                <w:b w:val="0"/>
                <w:bCs w:val="0"/>
                <w:color w:val="000000" w:themeColor="text1"/>
                <w:szCs w:val="21"/>
                <w14:textFill>
                  <w14:solidFill>
                    <w14:schemeClr w14:val="tx1"/>
                  </w14:solidFill>
                </w14:textFill>
              </w:rPr>
              <w:t>以</w:t>
            </w:r>
            <w:r>
              <w:rPr>
                <w:rFonts w:hint="eastAsia"/>
                <w:b w:val="0"/>
                <w:bCs w:val="0"/>
                <w:color w:val="000000" w:themeColor="text1"/>
                <w:szCs w:val="21"/>
                <w:lang w:val="en-US" w:eastAsia="zh-CN"/>
                <w14:textFill>
                  <w14:solidFill>
                    <w14:schemeClr w14:val="tx1"/>
                  </w14:solidFill>
                </w14:textFill>
              </w:rPr>
              <w:t>生产厂房</w:t>
            </w:r>
            <w:r>
              <w:rPr>
                <w:b w:val="0"/>
                <w:bCs w:val="0"/>
                <w:color w:val="000000" w:themeColor="text1"/>
                <w:szCs w:val="21"/>
                <w14:textFill>
                  <w14:solidFill>
                    <w14:schemeClr w14:val="tx1"/>
                  </w14:solidFill>
                </w14:textFill>
              </w:rPr>
              <w:t>为起点设置</w:t>
            </w:r>
            <w:r>
              <w:rPr>
                <w:rFonts w:hint="eastAsia"/>
                <w:b w:val="0"/>
                <w:bCs w:val="0"/>
                <w:color w:val="000000" w:themeColor="text1"/>
                <w:szCs w:val="21"/>
                <w14:textFill>
                  <w14:solidFill>
                    <w14:schemeClr w14:val="tx1"/>
                  </w14:solidFill>
                </w14:textFill>
              </w:rPr>
              <w:t>10</w:t>
            </w:r>
            <w:r>
              <w:rPr>
                <w:b w:val="0"/>
                <w:bCs w:val="0"/>
                <w:color w:val="000000" w:themeColor="text1"/>
                <w:szCs w:val="21"/>
                <w14:textFill>
                  <w14:solidFill>
                    <w14:schemeClr w14:val="tx1"/>
                  </w14:solidFill>
                </w14:textFill>
              </w:rPr>
              <w:t>0m卫生防护距离</w:t>
            </w:r>
            <w:r>
              <w:rPr>
                <w:rFonts w:hint="eastAsia"/>
                <w:b w:val="0"/>
                <w:bCs w:val="0"/>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本项目卫生防护距离</w:t>
            </w:r>
            <w:r>
              <w:rPr>
                <w:color w:val="000000" w:themeColor="text1"/>
                <w14:textFill>
                  <w14:solidFill>
                    <w14:schemeClr w14:val="tx1"/>
                  </w14:solidFill>
                </w14:textFill>
              </w:rPr>
              <w:t>范围内无居民点以及其他环境空气敏感目标，今后在此范围内也不得建设居民点、学校、医院等环境敏感项目</w:t>
            </w:r>
            <w:r>
              <w:rPr>
                <w:rFonts w:hint="eastAsia"/>
                <w:color w:val="000000" w:themeColor="text1"/>
                <w14:textFill>
                  <w14:solidFill>
                    <w14:schemeClr w14:val="tx1"/>
                  </w14:solidFill>
                </w14:textFill>
              </w:rPr>
              <w:t>。</w:t>
            </w:r>
          </w:p>
          <w:p w14:paraId="47CD07EF">
            <w:pPr>
              <w:adjustRightInd w:val="0"/>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建设单位应对环境治理设施开展安全风险辨识管控，要健全内部污染防治设施稳定运行和管理责任制度，严格依据标准规范建设环境治理设施，确保环境治理设施安全、稳定、有效运行</w:t>
            </w:r>
            <w:r>
              <w:rPr>
                <w:rFonts w:hint="eastAsia"/>
                <w:color w:val="000000" w:themeColor="text1"/>
                <w:szCs w:val="21"/>
                <w14:textFill>
                  <w14:solidFill>
                    <w14:schemeClr w14:val="tx1"/>
                  </w14:solidFill>
                </w14:textFill>
              </w:rPr>
              <w:t>。</w:t>
            </w:r>
          </w:p>
          <w:p w14:paraId="54BDC26B">
            <w:pPr>
              <w:adjustRightInd w:val="0"/>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、排污口</w:t>
            </w:r>
            <w:r>
              <w:rPr>
                <w:rFonts w:hint="eastAsia"/>
                <w:color w:val="000000" w:themeColor="text1"/>
                <w:szCs w:val="21"/>
                <w14:textFill>
                  <w14:solidFill>
                    <w14:schemeClr w14:val="tx1"/>
                  </w14:solidFill>
                </w14:textFill>
              </w:rPr>
              <w:t>规范</w:t>
            </w:r>
            <w:r>
              <w:rPr>
                <w:color w:val="000000" w:themeColor="text1"/>
                <w:szCs w:val="21"/>
                <w14:textFill>
                  <w14:solidFill>
                    <w14:schemeClr w14:val="tx1"/>
                  </w14:solidFill>
                </w14:textFill>
              </w:rPr>
              <w:t>化设置，按照《江苏省排污口设置及规范化整治管理办法》（苏环控[97]122号文）要求设立标识牌；</w:t>
            </w:r>
            <w:r>
              <w:rPr>
                <w:rFonts w:hint="eastAsia"/>
                <w:color w:val="000000" w:themeColor="text1"/>
                <w14:textFill>
                  <w14:solidFill>
                    <w14:schemeClr w14:val="tx1"/>
                  </w14:solidFill>
                </w14:textFill>
              </w:rPr>
              <w:t>按照《危险废物识别标志设置技术规范》（HJ1276-2022）</w:t>
            </w:r>
            <w:r>
              <w:rPr>
                <w:color w:val="000000" w:themeColor="text1"/>
                <w:szCs w:val="21"/>
                <w14:textFill>
                  <w14:solidFill>
                    <w14:schemeClr w14:val="tx1"/>
                  </w14:solidFill>
                </w14:textFill>
              </w:rPr>
              <w:t>、《危险废物收集、贮存、运输技术规范》（HJ2025-2012）</w:t>
            </w:r>
            <w:r>
              <w:rPr>
                <w:rFonts w:hint="eastAsia"/>
                <w:color w:val="000000" w:themeColor="text1"/>
                <w14:textFill>
                  <w14:solidFill>
                    <w14:schemeClr w14:val="tx1"/>
                  </w14:solidFill>
                </w14:textFill>
              </w:rPr>
              <w:t>设置危废标识牌</w:t>
            </w:r>
            <w:r>
              <w:rPr>
                <w:rFonts w:hint="eastAsia"/>
                <w:color w:val="000000" w:themeColor="text1"/>
                <w:szCs w:val="21"/>
                <w14:textFill>
                  <w14:solidFill>
                    <w14:schemeClr w14:val="tx1"/>
                  </w14:solidFill>
                </w14:textFill>
              </w:rPr>
              <w:t>。</w:t>
            </w:r>
          </w:p>
          <w:p w14:paraId="11393B60">
            <w:pPr>
              <w:adjustRightInd w:val="0"/>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、加强环境管理体系建设，建立环境管理机构，制定环境管理制度和操作要求</w:t>
            </w:r>
            <w:r>
              <w:rPr>
                <w:rFonts w:hint="eastAsia"/>
                <w:color w:val="000000" w:themeColor="text1"/>
                <w:szCs w:val="21"/>
                <w14:textFill>
                  <w14:solidFill>
                    <w14:schemeClr w14:val="tx1"/>
                  </w14:solidFill>
                </w14:textFill>
              </w:rPr>
              <w:t>。</w:t>
            </w:r>
          </w:p>
          <w:p w14:paraId="3F878836">
            <w:pPr>
              <w:adjustRightInd w:val="0"/>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、落实建设项目环境保护“三同时”和排污许可管理要求</w:t>
            </w:r>
            <w:r>
              <w:rPr>
                <w:rFonts w:hint="eastAsia"/>
                <w:color w:val="000000" w:themeColor="text1"/>
                <w:szCs w:val="21"/>
                <w14:textFill>
                  <w14:solidFill>
                    <w14:schemeClr w14:val="tx1"/>
                  </w14:solidFill>
                </w14:textFill>
              </w:rPr>
              <w:t>。</w:t>
            </w:r>
          </w:p>
          <w:p w14:paraId="6257EBC2">
            <w:pPr>
              <w:adjustRightInd w:val="0"/>
              <w:snapToGrid w:val="0"/>
              <w:jc w:val="left"/>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、按自行监测要求规范开展自行监测</w:t>
            </w:r>
            <w:r>
              <w:rPr>
                <w:rFonts w:hint="eastAsia"/>
                <w:color w:val="000000" w:themeColor="text1"/>
                <w14:textFill>
                  <w14:solidFill>
                    <w14:schemeClr w14:val="tx1"/>
                  </w14:solidFill>
                </w14:textFill>
              </w:rPr>
              <w:t>。</w:t>
            </w:r>
          </w:p>
          <w:p w14:paraId="14143A51">
            <w:pPr>
              <w:adjustRightInd w:val="0"/>
              <w:snapToGrid w:val="0"/>
              <w:jc w:val="left"/>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根据《固定污染源排污许可分类管理名录（2019年版）》，本项目</w:t>
            </w:r>
            <w:r>
              <w:rPr>
                <w:rFonts w:hint="eastAsia" w:ascii="Times New Roman" w:hAnsi="Times New Roman" w:eastAsia="宋体" w:cs="Times New Roman"/>
                <w:color w:val="000000" w:themeColor="text1"/>
                <w:lang w:val="en-US" w:eastAsia="zh-CN"/>
                <w14:textFill>
                  <w14:solidFill>
                    <w14:schemeClr w14:val="tx1"/>
                  </w14:solidFill>
                </w14:textFill>
              </w:rPr>
              <w:t>排污许可管理情况见下表。</w:t>
            </w:r>
          </w:p>
          <w:p w14:paraId="71F310BB">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 xml:space="preserve"> </w:t>
            </w:r>
            <w:r>
              <w:rPr>
                <w:rFonts w:hint="eastAsia"/>
                <w:b/>
                <w:bCs/>
                <w:color w:val="000000" w:themeColor="text1"/>
                <w14:textFill>
                  <w14:solidFill>
                    <w14:schemeClr w14:val="tx1"/>
                  </w14:solidFill>
                </w14:textFill>
              </w:rPr>
              <w:t>本项目</w:t>
            </w:r>
            <w:r>
              <w:rPr>
                <w:rFonts w:hint="eastAsia"/>
                <w:b/>
                <w:bCs/>
                <w:color w:val="000000" w:themeColor="text1"/>
                <w:lang w:val="en-US" w:eastAsia="zh-CN"/>
                <w14:textFill>
                  <w14:solidFill>
                    <w14:schemeClr w14:val="tx1"/>
                  </w14:solidFill>
                </w14:textFill>
              </w:rPr>
              <w:t>排污许可管理类别分析</w:t>
            </w:r>
            <w:r>
              <w:rPr>
                <w:b/>
                <w:bCs/>
                <w:color w:val="000000" w:themeColor="text1"/>
                <w:szCs w:val="21"/>
                <w14:textFill>
                  <w14:solidFill>
                    <w14:schemeClr w14:val="tx1"/>
                  </w14:solidFill>
                </w14:textFill>
              </w:rPr>
              <w:t>表</w:t>
            </w:r>
          </w:p>
          <w:tbl>
            <w:tblPr>
              <w:tblStyle w:val="22"/>
              <w:tblW w:w="4987"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711"/>
              <w:gridCol w:w="1021"/>
              <w:gridCol w:w="2172"/>
              <w:gridCol w:w="1500"/>
              <w:gridCol w:w="2045"/>
            </w:tblGrid>
            <w:tr w14:paraId="0BA6BC2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77" w:type="pct"/>
                  <w:tcBorders>
                    <w:tl2br w:val="nil"/>
                    <w:tr2bl w:val="nil"/>
                  </w:tcBorders>
                  <w:noWrap w:val="0"/>
                  <w:vAlign w:val="center"/>
                </w:tcPr>
                <w:p w14:paraId="70E716C2">
                  <w:pPr>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主要行业</w:t>
                  </w:r>
                </w:p>
              </w:tc>
              <w:tc>
                <w:tcPr>
                  <w:tcW w:w="685" w:type="pct"/>
                  <w:tcBorders>
                    <w:tl2br w:val="nil"/>
                    <w:tr2bl w:val="nil"/>
                  </w:tcBorders>
                  <w:noWrap w:val="0"/>
                  <w:vAlign w:val="center"/>
                </w:tcPr>
                <w:p w14:paraId="082A2E96">
                  <w:pPr>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主要产品</w:t>
                  </w:r>
                </w:p>
              </w:tc>
              <w:tc>
                <w:tcPr>
                  <w:tcW w:w="1457" w:type="pct"/>
                  <w:tcBorders>
                    <w:tl2br w:val="nil"/>
                    <w:tr2bl w:val="nil"/>
                  </w:tcBorders>
                  <w:noWrap w:val="0"/>
                  <w:vAlign w:val="center"/>
                </w:tcPr>
                <w:p w14:paraId="684FE175">
                  <w:pPr>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主要工艺</w:t>
                  </w:r>
                </w:p>
              </w:tc>
              <w:tc>
                <w:tcPr>
                  <w:tcW w:w="1006" w:type="pct"/>
                  <w:tcBorders>
                    <w:tl2br w:val="nil"/>
                    <w:tr2bl w:val="nil"/>
                  </w:tcBorders>
                  <w:noWrap w:val="0"/>
                  <w:vAlign w:val="center"/>
                </w:tcPr>
                <w:p w14:paraId="5B6FD641">
                  <w:pPr>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挥发性有机原辅料使用情况</w:t>
                  </w:r>
                </w:p>
              </w:tc>
              <w:tc>
                <w:tcPr>
                  <w:tcW w:w="1372" w:type="pct"/>
                  <w:tcBorders>
                    <w:tl2br w:val="nil"/>
                    <w:tr2bl w:val="nil"/>
                  </w:tcBorders>
                  <w:noWrap w:val="0"/>
                  <w:vAlign w:val="center"/>
                </w:tcPr>
                <w:p w14:paraId="01C4E45C">
                  <w:pPr>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排污许可管理类别</w:t>
                  </w:r>
                </w:p>
              </w:tc>
            </w:tr>
            <w:tr w14:paraId="03910E6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77" w:type="pct"/>
                  <w:tcBorders>
                    <w:bottom w:val="single" w:color="000000" w:sz="12" w:space="0"/>
                  </w:tcBorders>
                  <w:noWrap w:val="0"/>
                  <w:vAlign w:val="center"/>
                </w:tcPr>
                <w:p w14:paraId="47E04FD2">
                  <w:pPr>
                    <w:snapToGrid w:val="0"/>
                    <w:jc w:val="center"/>
                    <w:rPr>
                      <w:color w:val="000000" w:themeColor="text1"/>
                      <w:szCs w:val="21"/>
                      <w:highlight w:val="none"/>
                      <w14:textFill>
                        <w14:solidFill>
                          <w14:schemeClr w14:val="tx1"/>
                        </w14:solidFill>
                      </w14:textFill>
                    </w:rPr>
                  </w:pPr>
                  <w:r>
                    <w:rPr>
                      <w:rFonts w:hint="eastAsia"/>
                      <w:color w:val="000000" w:themeColor="text1"/>
                      <w:szCs w:val="21"/>
                      <w14:textFill>
                        <w14:solidFill>
                          <w14:schemeClr w14:val="tx1"/>
                        </w14:solidFill>
                      </w14:textFill>
                    </w:rPr>
                    <w:t>C</w:t>
                  </w:r>
                  <w:r>
                    <w:rPr>
                      <w:rFonts w:hint="eastAsia"/>
                      <w:color w:val="000000" w:themeColor="text1"/>
                      <w:szCs w:val="21"/>
                      <w:lang w:val="en-US" w:eastAsia="zh-CN"/>
                      <w14:textFill>
                        <w14:solidFill>
                          <w14:schemeClr w14:val="tx1"/>
                        </w14:solidFill>
                      </w14:textFill>
                    </w:rPr>
                    <w:t>2929塑料零件及塑料制品制造</w:t>
                  </w:r>
                </w:p>
              </w:tc>
              <w:tc>
                <w:tcPr>
                  <w:tcW w:w="685" w:type="pct"/>
                  <w:tcBorders>
                    <w:bottom w:val="single" w:color="000000" w:sz="12" w:space="0"/>
                  </w:tcBorders>
                  <w:noWrap w:val="0"/>
                  <w:vAlign w:val="center"/>
                </w:tcPr>
                <w:p w14:paraId="420F7533">
                  <w:pPr>
                    <w:jc w:val="center"/>
                    <w:rPr>
                      <w:rFonts w:hint="default"/>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年产医药冷链盒50万个、医用水箱20万个、工具箱30万个</w:t>
                  </w:r>
                </w:p>
              </w:tc>
              <w:tc>
                <w:tcPr>
                  <w:tcW w:w="1457" w:type="pct"/>
                  <w:tcBorders>
                    <w:bottom w:val="single" w:color="000000" w:sz="12" w:space="0"/>
                  </w:tcBorders>
                  <w:noWrap w:val="0"/>
                  <w:vAlign w:val="center"/>
                </w:tcPr>
                <w:p w14:paraId="04F24119">
                  <w:pPr>
                    <w:snapToGrid w:val="0"/>
                    <w:jc w:val="center"/>
                    <w:rPr>
                      <w:rFonts w:hint="eastAsia"/>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搅拌-吹塑-修边检验-印刷-烘干-机加工-检验-组装-包装</w:t>
                  </w:r>
                </w:p>
              </w:tc>
              <w:tc>
                <w:tcPr>
                  <w:tcW w:w="1006" w:type="pct"/>
                  <w:tcBorders>
                    <w:bottom w:val="single" w:color="000000" w:sz="12" w:space="0"/>
                  </w:tcBorders>
                  <w:noWrap w:val="0"/>
                  <w:vAlign w:val="center"/>
                </w:tcPr>
                <w:p w14:paraId="5E60352C">
                  <w:pPr>
                    <w:snapToGrid w:val="0"/>
                    <w:jc w:val="center"/>
                    <w:rPr>
                      <w:rFonts w:hint="default"/>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HDPE</w:t>
                  </w:r>
                  <w:r>
                    <w:rPr>
                      <w:rFonts w:hint="eastAsia" w:ascii="Times New Roman" w:hAnsi="Times New Roman" w:cs="Times New Roman"/>
                      <w:color w:val="000000" w:themeColor="text1"/>
                      <w:sz w:val="21"/>
                      <w:szCs w:val="21"/>
                      <w:lang w:val="en-US" w:eastAsia="zh-CN"/>
                      <w14:textFill>
                        <w14:solidFill>
                          <w14:schemeClr w14:val="tx1"/>
                        </w14:solidFill>
                      </w14:textFill>
                    </w:rPr>
                    <w:t>粒子400吨；</w:t>
                  </w:r>
                  <w:r>
                    <w:rPr>
                      <w:rFonts w:hint="eastAsia"/>
                      <w:color w:val="000000" w:themeColor="text1"/>
                      <w:szCs w:val="21"/>
                      <w:lang w:val="en-US" w:eastAsia="zh-CN"/>
                      <w14:textFill>
                        <w14:solidFill>
                          <w14:schemeClr w14:val="tx1"/>
                        </w14:solidFill>
                      </w14:textFill>
                    </w:rPr>
                    <w:t>油墨0.2t/a；清洗剂0.03t/a</w:t>
                  </w:r>
                </w:p>
              </w:tc>
              <w:tc>
                <w:tcPr>
                  <w:tcW w:w="1372" w:type="pct"/>
                  <w:tcBorders>
                    <w:bottom w:val="single" w:color="000000" w:sz="12" w:space="0"/>
                  </w:tcBorders>
                  <w:noWrap w:val="0"/>
                  <w:vAlign w:val="center"/>
                </w:tcPr>
                <w:p w14:paraId="1DD7B4B8">
                  <w:pPr>
                    <w:widowControl/>
                    <w:jc w:val="center"/>
                    <w:textAlignment w:val="center"/>
                    <w:rPr>
                      <w:rFonts w:hint="default"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w:t>
                  </w:r>
                  <w:r>
                    <w:rPr>
                      <w:rFonts w:hint="eastAsia"/>
                      <w:color w:val="000000" w:themeColor="text1"/>
                      <w:kern w:val="0"/>
                      <w:szCs w:val="21"/>
                      <w:lang w:bidi="ar"/>
                      <w14:textFill>
                        <w14:solidFill>
                          <w14:schemeClr w14:val="tx1"/>
                        </w14:solidFill>
                      </w14:textFill>
                    </w:rPr>
                    <w:t>二十四、橡胶和塑料制品业29</w:t>
                  </w:r>
                  <w:r>
                    <w:rPr>
                      <w:rFonts w:hint="eastAsia"/>
                      <w:color w:val="000000" w:themeColor="text1"/>
                      <w:kern w:val="0"/>
                      <w:szCs w:val="21"/>
                      <w:lang w:eastAsia="zh-CN" w:bidi="ar"/>
                      <w14:textFill>
                        <w14:solidFill>
                          <w14:schemeClr w14:val="tx1"/>
                        </w14:solidFill>
                      </w14:textFill>
                    </w:rPr>
                    <w:t>（</w:t>
                  </w:r>
                  <w:r>
                    <w:rPr>
                      <w:rFonts w:hint="eastAsia"/>
                      <w:color w:val="000000" w:themeColor="text1"/>
                      <w:kern w:val="0"/>
                      <w:szCs w:val="21"/>
                      <w:lang w:val="en-US" w:eastAsia="zh-CN" w:bidi="ar"/>
                      <w14:textFill>
                        <w14:solidFill>
                          <w14:schemeClr w14:val="tx1"/>
                        </w14:solidFill>
                      </w14:textFill>
                    </w:rPr>
                    <w:t>62塑料制品业292</w:t>
                  </w:r>
                  <w:r>
                    <w:rPr>
                      <w:rFonts w:hint="eastAsia"/>
                      <w:color w:val="000000" w:themeColor="text1"/>
                      <w:kern w:val="0"/>
                      <w:szCs w:val="21"/>
                      <w:lang w:eastAsia="zh-CN" w:bidi="ar"/>
                      <w14:textFill>
                        <w14:solidFill>
                          <w14:schemeClr w14:val="tx1"/>
                        </w14:solidFill>
                      </w14:textFill>
                    </w:rPr>
                    <w:t>）</w:t>
                  </w:r>
                  <w:r>
                    <w:rPr>
                      <w:rFonts w:hint="eastAsia"/>
                      <w:color w:val="000000" w:themeColor="text1"/>
                      <w:kern w:val="0"/>
                      <w:szCs w:val="21"/>
                      <w:lang w:val="en-US" w:eastAsia="zh-CN" w:bidi="ar"/>
                      <w14:textFill>
                        <w14:solidFill>
                          <w14:schemeClr w14:val="tx1"/>
                        </w14:solidFill>
                      </w14:textFill>
                    </w:rPr>
                    <w:t>其他”</w:t>
                  </w:r>
                  <w:r>
                    <w:rPr>
                      <w:rFonts w:hint="eastAsia"/>
                      <w:color w:val="000000" w:themeColor="text1"/>
                      <w:kern w:val="0"/>
                      <w:szCs w:val="21"/>
                      <w:lang w:bidi="ar"/>
                      <w14:textFill>
                        <w14:solidFill>
                          <w14:schemeClr w14:val="tx1"/>
                        </w14:solidFill>
                      </w14:textFill>
                    </w:rPr>
                    <w:t>实行排污登记管理</w:t>
                  </w:r>
                </w:p>
              </w:tc>
            </w:tr>
          </w:tbl>
          <w:p w14:paraId="46880BF0">
            <w:pPr>
              <w:ind w:firstLine="420" w:firstLineChars="200"/>
              <w:jc w:val="left"/>
              <w:rPr>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综上，本项目实行排污登记管理。排污单位应当在启动生产设施或者发生实际排污之前进行排污登记</w:t>
            </w:r>
            <w:r>
              <w:rPr>
                <w:rFonts w:hint="eastAsia"/>
                <w:color w:val="000000" w:themeColor="text1"/>
                <w14:textFill>
                  <w14:solidFill>
                    <w14:schemeClr w14:val="tx1"/>
                  </w14:solidFill>
                </w14:textFill>
              </w:rPr>
              <w:t>。</w:t>
            </w:r>
          </w:p>
          <w:p w14:paraId="289A7C0F">
            <w:pPr>
              <w:adjustRightInd w:val="0"/>
              <w:snapToGrid w:val="0"/>
              <w:jc w:val="left"/>
              <w:rPr>
                <w:color w:val="000000" w:themeColor="text1"/>
                <w14:textFill>
                  <w14:solidFill>
                    <w14:schemeClr w14:val="tx1"/>
                  </w14:solidFill>
                </w14:textFill>
              </w:rPr>
            </w:pPr>
          </w:p>
          <w:p w14:paraId="3755B8AF">
            <w:pPr>
              <w:adjustRightInd w:val="0"/>
              <w:snapToGrid w:val="0"/>
              <w:jc w:val="left"/>
              <w:rPr>
                <w:color w:val="000000" w:themeColor="text1"/>
                <w14:textFill>
                  <w14:solidFill>
                    <w14:schemeClr w14:val="tx1"/>
                  </w14:solidFill>
                </w14:textFill>
              </w:rPr>
            </w:pPr>
          </w:p>
          <w:p w14:paraId="3AB65848">
            <w:pPr>
              <w:adjustRightInd w:val="0"/>
              <w:snapToGrid w:val="0"/>
              <w:jc w:val="left"/>
              <w:rPr>
                <w:color w:val="000000" w:themeColor="text1"/>
                <w14:textFill>
                  <w14:solidFill>
                    <w14:schemeClr w14:val="tx1"/>
                  </w14:solidFill>
                </w14:textFill>
              </w:rPr>
            </w:pPr>
          </w:p>
          <w:p w14:paraId="2A511CC0">
            <w:pPr>
              <w:adjustRightInd w:val="0"/>
              <w:snapToGrid w:val="0"/>
              <w:jc w:val="left"/>
              <w:rPr>
                <w:color w:val="000000" w:themeColor="text1"/>
                <w14:textFill>
                  <w14:solidFill>
                    <w14:schemeClr w14:val="tx1"/>
                  </w14:solidFill>
                </w14:textFill>
              </w:rPr>
            </w:pPr>
          </w:p>
          <w:p w14:paraId="0F0610D9">
            <w:pPr>
              <w:adjustRightInd w:val="0"/>
              <w:snapToGrid w:val="0"/>
              <w:jc w:val="left"/>
              <w:rPr>
                <w:color w:val="000000" w:themeColor="text1"/>
                <w14:textFill>
                  <w14:solidFill>
                    <w14:schemeClr w14:val="tx1"/>
                  </w14:solidFill>
                </w14:textFill>
              </w:rPr>
            </w:pPr>
          </w:p>
          <w:p w14:paraId="279075DD">
            <w:pPr>
              <w:adjustRightInd w:val="0"/>
              <w:snapToGrid w:val="0"/>
              <w:jc w:val="left"/>
              <w:rPr>
                <w:color w:val="000000" w:themeColor="text1"/>
                <w14:textFill>
                  <w14:solidFill>
                    <w14:schemeClr w14:val="tx1"/>
                  </w14:solidFill>
                </w14:textFill>
              </w:rPr>
            </w:pPr>
          </w:p>
          <w:p w14:paraId="25CF0C24">
            <w:pPr>
              <w:adjustRightInd w:val="0"/>
              <w:snapToGrid w:val="0"/>
              <w:jc w:val="left"/>
              <w:rPr>
                <w:color w:val="000000" w:themeColor="text1"/>
                <w14:textFill>
                  <w14:solidFill>
                    <w14:schemeClr w14:val="tx1"/>
                  </w14:solidFill>
                </w14:textFill>
              </w:rPr>
            </w:pPr>
          </w:p>
          <w:p w14:paraId="75B5791A">
            <w:pPr>
              <w:adjustRightInd w:val="0"/>
              <w:snapToGrid w:val="0"/>
              <w:jc w:val="left"/>
              <w:rPr>
                <w:color w:val="000000" w:themeColor="text1"/>
                <w14:textFill>
                  <w14:solidFill>
                    <w14:schemeClr w14:val="tx1"/>
                  </w14:solidFill>
                </w14:textFill>
              </w:rPr>
            </w:pPr>
          </w:p>
          <w:p w14:paraId="0F4D54EF">
            <w:pPr>
              <w:adjustRightInd w:val="0"/>
              <w:snapToGrid w:val="0"/>
              <w:jc w:val="left"/>
              <w:rPr>
                <w:color w:val="000000" w:themeColor="text1"/>
                <w14:textFill>
                  <w14:solidFill>
                    <w14:schemeClr w14:val="tx1"/>
                  </w14:solidFill>
                </w14:textFill>
              </w:rPr>
            </w:pPr>
          </w:p>
          <w:p w14:paraId="1E9A2015">
            <w:pPr>
              <w:adjustRightInd w:val="0"/>
              <w:snapToGrid w:val="0"/>
              <w:jc w:val="left"/>
              <w:rPr>
                <w:color w:val="000000" w:themeColor="text1"/>
                <w:szCs w:val="21"/>
                <w14:textFill>
                  <w14:solidFill>
                    <w14:schemeClr w14:val="tx1"/>
                  </w14:solidFill>
                </w14:textFill>
              </w:rPr>
            </w:pPr>
          </w:p>
          <w:p w14:paraId="09AEA8E9">
            <w:pPr>
              <w:adjustRightInd w:val="0"/>
              <w:snapToGrid w:val="0"/>
              <w:jc w:val="left"/>
              <w:rPr>
                <w:color w:val="000000" w:themeColor="text1"/>
                <w:szCs w:val="21"/>
                <w14:textFill>
                  <w14:solidFill>
                    <w14:schemeClr w14:val="tx1"/>
                  </w14:solidFill>
                </w14:textFill>
              </w:rPr>
            </w:pPr>
          </w:p>
          <w:p w14:paraId="49F32EE5">
            <w:pPr>
              <w:adjustRightInd w:val="0"/>
              <w:snapToGrid w:val="0"/>
              <w:jc w:val="left"/>
              <w:rPr>
                <w:color w:val="000000" w:themeColor="text1"/>
                <w:szCs w:val="21"/>
                <w14:textFill>
                  <w14:solidFill>
                    <w14:schemeClr w14:val="tx1"/>
                  </w14:solidFill>
                </w14:textFill>
              </w:rPr>
            </w:pPr>
          </w:p>
          <w:p w14:paraId="55B879DF">
            <w:pPr>
              <w:adjustRightInd w:val="0"/>
              <w:snapToGrid w:val="0"/>
              <w:jc w:val="left"/>
              <w:rPr>
                <w:color w:val="000000" w:themeColor="text1"/>
                <w:szCs w:val="21"/>
                <w14:textFill>
                  <w14:solidFill>
                    <w14:schemeClr w14:val="tx1"/>
                  </w14:solidFill>
                </w14:textFill>
              </w:rPr>
            </w:pPr>
          </w:p>
          <w:p w14:paraId="6CC9CB4D">
            <w:pPr>
              <w:adjustRightInd w:val="0"/>
              <w:snapToGrid w:val="0"/>
              <w:jc w:val="left"/>
              <w:rPr>
                <w:color w:val="000000" w:themeColor="text1"/>
                <w:szCs w:val="21"/>
                <w14:textFill>
                  <w14:solidFill>
                    <w14:schemeClr w14:val="tx1"/>
                  </w14:solidFill>
                </w14:textFill>
              </w:rPr>
            </w:pPr>
          </w:p>
          <w:p w14:paraId="6D265CFB">
            <w:pPr>
              <w:adjustRightInd w:val="0"/>
              <w:snapToGrid w:val="0"/>
              <w:jc w:val="left"/>
              <w:rPr>
                <w:color w:val="000000" w:themeColor="text1"/>
                <w:szCs w:val="21"/>
                <w14:textFill>
                  <w14:solidFill>
                    <w14:schemeClr w14:val="tx1"/>
                  </w14:solidFill>
                </w14:textFill>
              </w:rPr>
            </w:pPr>
          </w:p>
          <w:p w14:paraId="78762641">
            <w:pPr>
              <w:adjustRightInd w:val="0"/>
              <w:snapToGrid w:val="0"/>
              <w:jc w:val="left"/>
              <w:rPr>
                <w:color w:val="000000" w:themeColor="text1"/>
                <w:szCs w:val="21"/>
                <w14:textFill>
                  <w14:solidFill>
                    <w14:schemeClr w14:val="tx1"/>
                  </w14:solidFill>
                </w14:textFill>
              </w:rPr>
            </w:pPr>
          </w:p>
          <w:p w14:paraId="73AD1E1E">
            <w:pPr>
              <w:adjustRightInd w:val="0"/>
              <w:snapToGrid w:val="0"/>
              <w:jc w:val="left"/>
              <w:rPr>
                <w:color w:val="000000" w:themeColor="text1"/>
                <w:szCs w:val="21"/>
                <w14:textFill>
                  <w14:solidFill>
                    <w14:schemeClr w14:val="tx1"/>
                  </w14:solidFill>
                </w14:textFill>
              </w:rPr>
            </w:pPr>
          </w:p>
          <w:p w14:paraId="28D06063">
            <w:pPr>
              <w:adjustRightInd w:val="0"/>
              <w:snapToGrid w:val="0"/>
              <w:jc w:val="left"/>
              <w:rPr>
                <w:color w:val="000000" w:themeColor="text1"/>
                <w:szCs w:val="21"/>
                <w14:textFill>
                  <w14:solidFill>
                    <w14:schemeClr w14:val="tx1"/>
                  </w14:solidFill>
                </w14:textFill>
              </w:rPr>
            </w:pPr>
          </w:p>
          <w:p w14:paraId="385AC3C7">
            <w:pPr>
              <w:adjustRightInd w:val="0"/>
              <w:snapToGrid w:val="0"/>
              <w:jc w:val="left"/>
              <w:rPr>
                <w:color w:val="000000" w:themeColor="text1"/>
                <w:szCs w:val="21"/>
                <w14:textFill>
                  <w14:solidFill>
                    <w14:schemeClr w14:val="tx1"/>
                  </w14:solidFill>
                </w14:textFill>
              </w:rPr>
            </w:pPr>
          </w:p>
          <w:p w14:paraId="13424E9D">
            <w:pPr>
              <w:adjustRightInd w:val="0"/>
              <w:snapToGrid w:val="0"/>
              <w:jc w:val="left"/>
              <w:rPr>
                <w:color w:val="000000" w:themeColor="text1"/>
                <w:szCs w:val="21"/>
                <w14:textFill>
                  <w14:solidFill>
                    <w14:schemeClr w14:val="tx1"/>
                  </w14:solidFill>
                </w14:textFill>
              </w:rPr>
            </w:pPr>
          </w:p>
          <w:p w14:paraId="35C3727B">
            <w:pPr>
              <w:adjustRightInd w:val="0"/>
              <w:snapToGrid w:val="0"/>
              <w:jc w:val="left"/>
              <w:rPr>
                <w:color w:val="000000" w:themeColor="text1"/>
                <w:szCs w:val="21"/>
                <w14:textFill>
                  <w14:solidFill>
                    <w14:schemeClr w14:val="tx1"/>
                  </w14:solidFill>
                </w14:textFill>
              </w:rPr>
            </w:pPr>
          </w:p>
          <w:p w14:paraId="38842A71">
            <w:pPr>
              <w:adjustRightInd w:val="0"/>
              <w:snapToGrid w:val="0"/>
              <w:jc w:val="left"/>
              <w:rPr>
                <w:color w:val="000000" w:themeColor="text1"/>
                <w:szCs w:val="21"/>
                <w14:textFill>
                  <w14:solidFill>
                    <w14:schemeClr w14:val="tx1"/>
                  </w14:solidFill>
                </w14:textFill>
              </w:rPr>
            </w:pPr>
          </w:p>
          <w:p w14:paraId="3652F789">
            <w:pPr>
              <w:adjustRightInd w:val="0"/>
              <w:snapToGrid w:val="0"/>
              <w:jc w:val="left"/>
              <w:rPr>
                <w:color w:val="000000" w:themeColor="text1"/>
                <w:szCs w:val="21"/>
                <w14:textFill>
                  <w14:solidFill>
                    <w14:schemeClr w14:val="tx1"/>
                  </w14:solidFill>
                </w14:textFill>
              </w:rPr>
            </w:pPr>
          </w:p>
          <w:p w14:paraId="01E31D42">
            <w:pPr>
              <w:adjustRightInd w:val="0"/>
              <w:snapToGrid w:val="0"/>
              <w:jc w:val="left"/>
              <w:rPr>
                <w:color w:val="000000" w:themeColor="text1"/>
                <w:szCs w:val="21"/>
                <w14:textFill>
                  <w14:solidFill>
                    <w14:schemeClr w14:val="tx1"/>
                  </w14:solidFill>
                </w14:textFill>
              </w:rPr>
            </w:pPr>
          </w:p>
          <w:p w14:paraId="5C273406">
            <w:pPr>
              <w:adjustRightInd w:val="0"/>
              <w:snapToGrid w:val="0"/>
              <w:jc w:val="left"/>
              <w:rPr>
                <w:color w:val="000000" w:themeColor="text1"/>
                <w:szCs w:val="21"/>
                <w14:textFill>
                  <w14:solidFill>
                    <w14:schemeClr w14:val="tx1"/>
                  </w14:solidFill>
                </w14:textFill>
              </w:rPr>
            </w:pPr>
          </w:p>
          <w:p w14:paraId="3B413D16">
            <w:pPr>
              <w:adjustRightInd w:val="0"/>
              <w:snapToGrid w:val="0"/>
              <w:jc w:val="left"/>
              <w:rPr>
                <w:color w:val="000000" w:themeColor="text1"/>
                <w:szCs w:val="21"/>
                <w14:textFill>
                  <w14:solidFill>
                    <w14:schemeClr w14:val="tx1"/>
                  </w14:solidFill>
                </w14:textFill>
              </w:rPr>
            </w:pPr>
          </w:p>
          <w:p w14:paraId="223EA51B">
            <w:pPr>
              <w:adjustRightInd w:val="0"/>
              <w:snapToGrid w:val="0"/>
              <w:jc w:val="left"/>
              <w:rPr>
                <w:color w:val="000000" w:themeColor="text1"/>
                <w:szCs w:val="21"/>
                <w14:textFill>
                  <w14:solidFill>
                    <w14:schemeClr w14:val="tx1"/>
                  </w14:solidFill>
                </w14:textFill>
              </w:rPr>
            </w:pPr>
          </w:p>
          <w:p w14:paraId="71AAF8C8">
            <w:pPr>
              <w:adjustRightInd w:val="0"/>
              <w:snapToGrid w:val="0"/>
              <w:jc w:val="left"/>
              <w:rPr>
                <w:color w:val="000000" w:themeColor="text1"/>
                <w:szCs w:val="21"/>
                <w14:textFill>
                  <w14:solidFill>
                    <w14:schemeClr w14:val="tx1"/>
                  </w14:solidFill>
                </w14:textFill>
              </w:rPr>
            </w:pPr>
          </w:p>
          <w:p w14:paraId="5559F8A0">
            <w:pPr>
              <w:adjustRightInd w:val="0"/>
              <w:snapToGrid w:val="0"/>
              <w:jc w:val="left"/>
              <w:rPr>
                <w:color w:val="000000" w:themeColor="text1"/>
                <w:szCs w:val="21"/>
                <w14:textFill>
                  <w14:solidFill>
                    <w14:schemeClr w14:val="tx1"/>
                  </w14:solidFill>
                </w14:textFill>
              </w:rPr>
            </w:pPr>
          </w:p>
        </w:tc>
      </w:tr>
    </w:tbl>
    <w:p w14:paraId="6E7AFE19">
      <w:pPr>
        <w:pStyle w:val="18"/>
        <w:jc w:val="center"/>
        <w:outlineLvl w:val="0"/>
        <w:rPr>
          <w:rFonts w:ascii="Times New Roman" w:hAnsi="Times New Roman" w:eastAsia="黑体"/>
          <w:snapToGrid w:val="0"/>
          <w:color w:val="000000" w:themeColor="text1"/>
          <w:sz w:val="30"/>
          <w:szCs w:val="30"/>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7112F4F">
      <w:pPr>
        <w:pStyle w:val="18"/>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六、结论</w:t>
      </w: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1577E1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noWrap/>
          </w:tcPr>
          <w:p w14:paraId="49A90DB9">
            <w:pPr>
              <w:widowControl/>
              <w:spacing w:line="420" w:lineRule="exact"/>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通过对建设项目的环境影响评价认为，本项目符合国家的产业政策；项目选址</w:t>
            </w:r>
            <w:r>
              <w:rPr>
                <w:rFonts w:hint="eastAsia"/>
                <w:color w:val="000000" w:themeColor="text1"/>
                <w:szCs w:val="21"/>
                <w14:textFill>
                  <w14:solidFill>
                    <w14:schemeClr w14:val="tx1"/>
                  </w14:solidFill>
                </w14:textFill>
              </w:rPr>
              <w:t>常熟市</w:t>
            </w:r>
            <w:r>
              <w:rPr>
                <w:rFonts w:hint="eastAsia"/>
                <w:color w:val="000000" w:themeColor="text1"/>
                <w:szCs w:val="21"/>
                <w:lang w:eastAsia="zh-CN"/>
                <w14:textFill>
                  <w14:solidFill>
                    <w14:schemeClr w14:val="tx1"/>
                  </w14:solidFill>
                </w14:textFill>
              </w:rPr>
              <w:t>东南街道银环路28-1号10幢102</w:t>
            </w:r>
            <w:r>
              <w:rPr>
                <w:color w:val="000000" w:themeColor="text1"/>
                <w:kern w:val="0"/>
                <w:szCs w:val="21"/>
                <w14:textFill>
                  <w14:solidFill>
                    <w14:schemeClr w14:val="tx1"/>
                  </w14:solidFill>
                </w14:textFill>
              </w:rPr>
              <w:t>，符合区域总体规划要求；建设单位严格落实本报告提出的各项环保对策建议和措施，能够实现达标排放，对项目所在地区环境质量和生态的影响不显著。从环境保护角度分析，本项目具有环境可行性。</w:t>
            </w:r>
          </w:p>
          <w:p w14:paraId="293E8D33">
            <w:pPr>
              <w:widowControl/>
              <w:spacing w:line="420" w:lineRule="exact"/>
              <w:ind w:firstLine="420" w:firstLineChars="200"/>
              <w:rPr>
                <w:color w:val="000000" w:themeColor="text1"/>
                <w:kern w:val="0"/>
                <w:szCs w:val="21"/>
                <w14:textFill>
                  <w14:solidFill>
                    <w14:schemeClr w14:val="tx1"/>
                  </w14:solidFill>
                </w14:textFill>
              </w:rPr>
            </w:pPr>
          </w:p>
          <w:p w14:paraId="25DEC59C">
            <w:pPr>
              <w:widowControl/>
              <w:spacing w:line="468" w:lineRule="exact"/>
              <w:ind w:firstLine="420" w:firstLineChars="200"/>
              <w:rPr>
                <w:color w:val="000000" w:themeColor="text1"/>
                <w:kern w:val="0"/>
                <w:szCs w:val="21"/>
                <w14:textFill>
                  <w14:solidFill>
                    <w14:schemeClr w14:val="tx1"/>
                  </w14:solidFill>
                </w14:textFill>
              </w:rPr>
            </w:pPr>
          </w:p>
          <w:p w14:paraId="52A38CF9">
            <w:pPr>
              <w:widowControl/>
              <w:spacing w:line="468" w:lineRule="exact"/>
              <w:ind w:firstLine="420" w:firstLineChars="200"/>
              <w:rPr>
                <w:color w:val="000000" w:themeColor="text1"/>
                <w:kern w:val="0"/>
                <w:szCs w:val="21"/>
                <w14:textFill>
                  <w14:solidFill>
                    <w14:schemeClr w14:val="tx1"/>
                  </w14:solidFill>
                </w14:textFill>
              </w:rPr>
            </w:pPr>
          </w:p>
          <w:p w14:paraId="1A30BE9B">
            <w:pPr>
              <w:widowControl/>
              <w:spacing w:line="468" w:lineRule="exact"/>
              <w:ind w:firstLine="420" w:firstLineChars="200"/>
              <w:rPr>
                <w:color w:val="000000" w:themeColor="text1"/>
                <w:kern w:val="0"/>
                <w:szCs w:val="21"/>
                <w14:textFill>
                  <w14:solidFill>
                    <w14:schemeClr w14:val="tx1"/>
                  </w14:solidFill>
                </w14:textFill>
              </w:rPr>
            </w:pPr>
          </w:p>
          <w:p w14:paraId="3E51BC7C">
            <w:pPr>
              <w:widowControl/>
              <w:spacing w:line="468" w:lineRule="exact"/>
              <w:ind w:firstLine="420" w:firstLineChars="200"/>
              <w:rPr>
                <w:color w:val="000000" w:themeColor="text1"/>
                <w:kern w:val="0"/>
                <w:szCs w:val="21"/>
                <w14:textFill>
                  <w14:solidFill>
                    <w14:schemeClr w14:val="tx1"/>
                  </w14:solidFill>
                </w14:textFill>
              </w:rPr>
            </w:pPr>
          </w:p>
          <w:p w14:paraId="403E8516">
            <w:pPr>
              <w:widowControl/>
              <w:spacing w:line="468" w:lineRule="exact"/>
              <w:ind w:firstLine="420" w:firstLineChars="200"/>
              <w:rPr>
                <w:color w:val="000000" w:themeColor="text1"/>
                <w:kern w:val="0"/>
                <w:szCs w:val="21"/>
                <w14:textFill>
                  <w14:solidFill>
                    <w14:schemeClr w14:val="tx1"/>
                  </w14:solidFill>
                </w14:textFill>
              </w:rPr>
            </w:pPr>
          </w:p>
          <w:p w14:paraId="7CB64A31">
            <w:pPr>
              <w:widowControl/>
              <w:spacing w:line="468" w:lineRule="exact"/>
              <w:ind w:firstLine="420" w:firstLineChars="200"/>
              <w:rPr>
                <w:color w:val="000000" w:themeColor="text1"/>
                <w:kern w:val="0"/>
                <w:szCs w:val="21"/>
                <w14:textFill>
                  <w14:solidFill>
                    <w14:schemeClr w14:val="tx1"/>
                  </w14:solidFill>
                </w14:textFill>
              </w:rPr>
            </w:pPr>
          </w:p>
          <w:p w14:paraId="0338B13C">
            <w:pPr>
              <w:widowControl/>
              <w:spacing w:line="468" w:lineRule="exact"/>
              <w:ind w:firstLine="420" w:firstLineChars="200"/>
              <w:rPr>
                <w:color w:val="000000" w:themeColor="text1"/>
                <w:kern w:val="0"/>
                <w:szCs w:val="21"/>
                <w14:textFill>
                  <w14:solidFill>
                    <w14:schemeClr w14:val="tx1"/>
                  </w14:solidFill>
                </w14:textFill>
              </w:rPr>
            </w:pPr>
          </w:p>
          <w:p w14:paraId="47DDAEA4">
            <w:pPr>
              <w:widowControl/>
              <w:spacing w:line="468" w:lineRule="exact"/>
              <w:ind w:firstLine="420" w:firstLineChars="200"/>
              <w:rPr>
                <w:color w:val="000000" w:themeColor="text1"/>
                <w:kern w:val="0"/>
                <w:szCs w:val="21"/>
                <w14:textFill>
                  <w14:solidFill>
                    <w14:schemeClr w14:val="tx1"/>
                  </w14:solidFill>
                </w14:textFill>
              </w:rPr>
            </w:pPr>
          </w:p>
          <w:p w14:paraId="44F27E01">
            <w:pPr>
              <w:widowControl/>
              <w:spacing w:line="468" w:lineRule="exact"/>
              <w:ind w:firstLine="420" w:firstLineChars="200"/>
              <w:rPr>
                <w:color w:val="000000" w:themeColor="text1"/>
                <w:kern w:val="0"/>
                <w:szCs w:val="21"/>
                <w14:textFill>
                  <w14:solidFill>
                    <w14:schemeClr w14:val="tx1"/>
                  </w14:solidFill>
                </w14:textFill>
              </w:rPr>
            </w:pPr>
          </w:p>
          <w:p w14:paraId="4A262918">
            <w:pPr>
              <w:widowControl/>
              <w:spacing w:line="468" w:lineRule="exact"/>
              <w:ind w:firstLine="420" w:firstLineChars="200"/>
              <w:rPr>
                <w:color w:val="000000" w:themeColor="text1"/>
                <w:kern w:val="0"/>
                <w:szCs w:val="21"/>
                <w14:textFill>
                  <w14:solidFill>
                    <w14:schemeClr w14:val="tx1"/>
                  </w14:solidFill>
                </w14:textFill>
              </w:rPr>
            </w:pPr>
          </w:p>
          <w:p w14:paraId="1D186DFF">
            <w:pPr>
              <w:widowControl/>
              <w:spacing w:line="468" w:lineRule="exact"/>
              <w:ind w:firstLine="420" w:firstLineChars="200"/>
              <w:rPr>
                <w:color w:val="000000" w:themeColor="text1"/>
                <w:kern w:val="0"/>
                <w:szCs w:val="21"/>
                <w14:textFill>
                  <w14:solidFill>
                    <w14:schemeClr w14:val="tx1"/>
                  </w14:solidFill>
                </w14:textFill>
              </w:rPr>
            </w:pPr>
          </w:p>
          <w:p w14:paraId="14D3550E">
            <w:pPr>
              <w:widowControl/>
              <w:spacing w:line="468" w:lineRule="exact"/>
              <w:ind w:firstLine="420" w:firstLineChars="200"/>
              <w:rPr>
                <w:color w:val="000000" w:themeColor="text1"/>
                <w:kern w:val="0"/>
                <w:szCs w:val="21"/>
                <w14:textFill>
                  <w14:solidFill>
                    <w14:schemeClr w14:val="tx1"/>
                  </w14:solidFill>
                </w14:textFill>
              </w:rPr>
            </w:pPr>
          </w:p>
          <w:p w14:paraId="00BBABBF">
            <w:pPr>
              <w:widowControl/>
              <w:spacing w:line="468" w:lineRule="exact"/>
              <w:ind w:firstLine="420" w:firstLineChars="200"/>
              <w:rPr>
                <w:color w:val="000000" w:themeColor="text1"/>
                <w:kern w:val="0"/>
                <w:szCs w:val="21"/>
                <w14:textFill>
                  <w14:solidFill>
                    <w14:schemeClr w14:val="tx1"/>
                  </w14:solidFill>
                </w14:textFill>
              </w:rPr>
            </w:pPr>
          </w:p>
          <w:p w14:paraId="20401385">
            <w:pPr>
              <w:widowControl/>
              <w:spacing w:line="468" w:lineRule="exact"/>
              <w:ind w:firstLine="420" w:firstLineChars="200"/>
              <w:rPr>
                <w:color w:val="000000" w:themeColor="text1"/>
                <w:kern w:val="0"/>
                <w:szCs w:val="21"/>
                <w14:textFill>
                  <w14:solidFill>
                    <w14:schemeClr w14:val="tx1"/>
                  </w14:solidFill>
                </w14:textFill>
              </w:rPr>
            </w:pPr>
          </w:p>
          <w:p w14:paraId="5F7B080D">
            <w:pPr>
              <w:widowControl/>
              <w:spacing w:line="468" w:lineRule="exact"/>
              <w:ind w:firstLine="420" w:firstLineChars="200"/>
              <w:rPr>
                <w:color w:val="000000" w:themeColor="text1"/>
                <w:kern w:val="0"/>
                <w:szCs w:val="21"/>
                <w14:textFill>
                  <w14:solidFill>
                    <w14:schemeClr w14:val="tx1"/>
                  </w14:solidFill>
                </w14:textFill>
              </w:rPr>
            </w:pPr>
          </w:p>
          <w:p w14:paraId="47044A53">
            <w:pPr>
              <w:widowControl/>
              <w:spacing w:line="468" w:lineRule="exact"/>
              <w:ind w:firstLine="420" w:firstLineChars="200"/>
              <w:rPr>
                <w:color w:val="000000" w:themeColor="text1"/>
                <w:kern w:val="0"/>
                <w:szCs w:val="21"/>
                <w14:textFill>
                  <w14:solidFill>
                    <w14:schemeClr w14:val="tx1"/>
                  </w14:solidFill>
                </w14:textFill>
              </w:rPr>
            </w:pPr>
          </w:p>
          <w:p w14:paraId="27141AE2">
            <w:pPr>
              <w:widowControl/>
              <w:spacing w:line="468" w:lineRule="exact"/>
              <w:ind w:firstLine="420" w:firstLineChars="200"/>
              <w:rPr>
                <w:color w:val="000000" w:themeColor="text1"/>
                <w:kern w:val="0"/>
                <w:szCs w:val="21"/>
                <w14:textFill>
                  <w14:solidFill>
                    <w14:schemeClr w14:val="tx1"/>
                  </w14:solidFill>
                </w14:textFill>
              </w:rPr>
            </w:pPr>
          </w:p>
          <w:p w14:paraId="100FCD9E">
            <w:pPr>
              <w:widowControl/>
              <w:spacing w:line="468" w:lineRule="exact"/>
              <w:ind w:firstLine="420" w:firstLineChars="200"/>
              <w:rPr>
                <w:color w:val="000000" w:themeColor="text1"/>
                <w:kern w:val="0"/>
                <w:szCs w:val="21"/>
                <w14:textFill>
                  <w14:solidFill>
                    <w14:schemeClr w14:val="tx1"/>
                  </w14:solidFill>
                </w14:textFill>
              </w:rPr>
            </w:pPr>
          </w:p>
          <w:p w14:paraId="691655AE">
            <w:pPr>
              <w:widowControl/>
              <w:spacing w:line="468" w:lineRule="exact"/>
              <w:ind w:firstLine="420" w:firstLineChars="200"/>
              <w:rPr>
                <w:color w:val="000000" w:themeColor="text1"/>
                <w:kern w:val="0"/>
                <w:szCs w:val="21"/>
                <w14:textFill>
                  <w14:solidFill>
                    <w14:schemeClr w14:val="tx1"/>
                  </w14:solidFill>
                </w14:textFill>
              </w:rPr>
            </w:pPr>
          </w:p>
          <w:p w14:paraId="0C9B7DE3">
            <w:pPr>
              <w:widowControl/>
              <w:spacing w:line="468" w:lineRule="exact"/>
              <w:ind w:firstLine="420" w:firstLineChars="200"/>
              <w:rPr>
                <w:color w:val="000000" w:themeColor="text1"/>
                <w:kern w:val="0"/>
                <w:szCs w:val="21"/>
                <w14:textFill>
                  <w14:solidFill>
                    <w14:schemeClr w14:val="tx1"/>
                  </w14:solidFill>
                </w14:textFill>
              </w:rPr>
            </w:pPr>
          </w:p>
          <w:p w14:paraId="6F98B545">
            <w:pPr>
              <w:widowControl/>
              <w:spacing w:line="468" w:lineRule="exact"/>
              <w:ind w:firstLine="420" w:firstLineChars="200"/>
              <w:rPr>
                <w:color w:val="000000" w:themeColor="text1"/>
                <w:kern w:val="0"/>
                <w:szCs w:val="21"/>
                <w14:textFill>
                  <w14:solidFill>
                    <w14:schemeClr w14:val="tx1"/>
                  </w14:solidFill>
                </w14:textFill>
              </w:rPr>
            </w:pPr>
          </w:p>
          <w:p w14:paraId="3A28BFEB">
            <w:pPr>
              <w:widowControl/>
              <w:spacing w:line="468" w:lineRule="exact"/>
              <w:ind w:firstLine="480" w:firstLineChars="200"/>
              <w:rPr>
                <w:color w:val="000000" w:themeColor="text1"/>
                <w:sz w:val="24"/>
                <w14:textFill>
                  <w14:solidFill>
                    <w14:schemeClr w14:val="tx1"/>
                  </w14:solidFill>
                </w14:textFill>
              </w:rPr>
            </w:pPr>
          </w:p>
        </w:tc>
      </w:tr>
      <w:tr w14:paraId="44612A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8" w:hRule="atLeast"/>
          <w:jc w:val="center"/>
        </w:trPr>
        <w:tc>
          <w:tcPr>
            <w:tcW w:w="5000" w:type="pct"/>
            <w:noWrap/>
          </w:tcPr>
          <w:p w14:paraId="25C14658">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预审意见：</w:t>
            </w:r>
          </w:p>
          <w:p w14:paraId="64760EB4">
            <w:pPr>
              <w:rPr>
                <w:color w:val="000000" w:themeColor="text1"/>
                <w:szCs w:val="21"/>
                <w14:textFill>
                  <w14:solidFill>
                    <w14:schemeClr w14:val="tx1"/>
                  </w14:solidFill>
                </w14:textFill>
              </w:rPr>
            </w:pPr>
          </w:p>
          <w:p w14:paraId="098E4E4F">
            <w:pPr>
              <w:rPr>
                <w:color w:val="000000" w:themeColor="text1"/>
                <w:szCs w:val="21"/>
                <w14:textFill>
                  <w14:solidFill>
                    <w14:schemeClr w14:val="tx1"/>
                  </w14:solidFill>
                </w14:textFill>
              </w:rPr>
            </w:pPr>
          </w:p>
          <w:p w14:paraId="530DF6D3">
            <w:pPr>
              <w:rPr>
                <w:color w:val="000000" w:themeColor="text1"/>
                <w:szCs w:val="21"/>
                <w14:textFill>
                  <w14:solidFill>
                    <w14:schemeClr w14:val="tx1"/>
                  </w14:solidFill>
                </w14:textFill>
              </w:rPr>
            </w:pPr>
          </w:p>
          <w:p w14:paraId="75726BDC">
            <w:pPr>
              <w:rPr>
                <w:color w:val="000000" w:themeColor="text1"/>
                <w:szCs w:val="21"/>
                <w14:textFill>
                  <w14:solidFill>
                    <w14:schemeClr w14:val="tx1"/>
                  </w14:solidFill>
                </w14:textFill>
              </w:rPr>
            </w:pPr>
          </w:p>
          <w:p w14:paraId="0EAD761E">
            <w:pPr>
              <w:rPr>
                <w:color w:val="000000" w:themeColor="text1"/>
                <w:szCs w:val="21"/>
                <w14:textFill>
                  <w14:solidFill>
                    <w14:schemeClr w14:val="tx1"/>
                  </w14:solidFill>
                </w14:textFill>
              </w:rPr>
            </w:pPr>
          </w:p>
          <w:p w14:paraId="47C471A1">
            <w:pPr>
              <w:rPr>
                <w:color w:val="000000" w:themeColor="text1"/>
                <w:szCs w:val="21"/>
                <w14:textFill>
                  <w14:solidFill>
                    <w14:schemeClr w14:val="tx1"/>
                  </w14:solidFill>
                </w14:textFill>
              </w:rPr>
            </w:pPr>
          </w:p>
          <w:p w14:paraId="658CAA51">
            <w:pPr>
              <w:rPr>
                <w:color w:val="000000" w:themeColor="text1"/>
                <w:szCs w:val="21"/>
                <w14:textFill>
                  <w14:solidFill>
                    <w14:schemeClr w14:val="tx1"/>
                  </w14:solidFill>
                </w14:textFill>
              </w:rPr>
            </w:pPr>
          </w:p>
          <w:p w14:paraId="0315A1F1">
            <w:pPr>
              <w:rPr>
                <w:color w:val="000000" w:themeColor="text1"/>
                <w:szCs w:val="21"/>
                <w14:textFill>
                  <w14:solidFill>
                    <w14:schemeClr w14:val="tx1"/>
                  </w14:solidFill>
                </w14:textFill>
              </w:rPr>
            </w:pPr>
          </w:p>
          <w:p w14:paraId="6530DCD5">
            <w:pPr>
              <w:rPr>
                <w:color w:val="000000" w:themeColor="text1"/>
                <w:szCs w:val="21"/>
                <w14:textFill>
                  <w14:solidFill>
                    <w14:schemeClr w14:val="tx1"/>
                  </w14:solidFill>
                </w14:textFill>
              </w:rPr>
            </w:pPr>
          </w:p>
          <w:p w14:paraId="45D6EAAF">
            <w:pPr>
              <w:rPr>
                <w:color w:val="000000" w:themeColor="text1"/>
                <w:szCs w:val="21"/>
                <w14:textFill>
                  <w14:solidFill>
                    <w14:schemeClr w14:val="tx1"/>
                  </w14:solidFill>
                </w14:textFill>
              </w:rPr>
            </w:pPr>
          </w:p>
          <w:p w14:paraId="3126876B">
            <w:pPr>
              <w:rPr>
                <w:color w:val="000000" w:themeColor="text1"/>
                <w:szCs w:val="21"/>
                <w14:textFill>
                  <w14:solidFill>
                    <w14:schemeClr w14:val="tx1"/>
                  </w14:solidFill>
                </w14:textFill>
              </w:rPr>
            </w:pPr>
          </w:p>
          <w:p w14:paraId="17B2499B">
            <w:pPr>
              <w:rPr>
                <w:color w:val="000000" w:themeColor="text1"/>
                <w:szCs w:val="21"/>
                <w14:textFill>
                  <w14:solidFill>
                    <w14:schemeClr w14:val="tx1"/>
                  </w14:solidFill>
                </w14:textFill>
              </w:rPr>
            </w:pPr>
          </w:p>
          <w:p w14:paraId="39987D96">
            <w:pPr>
              <w:rPr>
                <w:color w:val="000000" w:themeColor="text1"/>
                <w:szCs w:val="21"/>
                <w14:textFill>
                  <w14:solidFill>
                    <w14:schemeClr w14:val="tx1"/>
                  </w14:solidFill>
                </w14:textFill>
              </w:rPr>
            </w:pPr>
          </w:p>
          <w:p w14:paraId="53258DB9">
            <w:pPr>
              <w:rPr>
                <w:color w:val="000000" w:themeColor="text1"/>
                <w:szCs w:val="21"/>
                <w14:textFill>
                  <w14:solidFill>
                    <w14:schemeClr w14:val="tx1"/>
                  </w14:solidFill>
                </w14:textFill>
              </w:rPr>
            </w:pPr>
          </w:p>
          <w:p w14:paraId="17EB9F96">
            <w:pPr>
              <w:rPr>
                <w:color w:val="000000" w:themeColor="text1"/>
                <w:szCs w:val="21"/>
                <w14:textFill>
                  <w14:solidFill>
                    <w14:schemeClr w14:val="tx1"/>
                  </w14:solidFill>
                </w14:textFill>
              </w:rPr>
            </w:pPr>
          </w:p>
          <w:p w14:paraId="58A86F7A">
            <w:pPr>
              <w:rPr>
                <w:color w:val="000000" w:themeColor="text1"/>
                <w:szCs w:val="21"/>
                <w14:textFill>
                  <w14:solidFill>
                    <w14:schemeClr w14:val="tx1"/>
                  </w14:solidFill>
                </w14:textFill>
              </w:rPr>
            </w:pPr>
          </w:p>
          <w:p w14:paraId="224DDE15">
            <w:pPr>
              <w:pStyle w:val="2"/>
              <w:rPr>
                <w:color w:val="000000" w:themeColor="text1"/>
                <w:sz w:val="21"/>
                <w:szCs w:val="21"/>
                <w14:textFill>
                  <w14:solidFill>
                    <w14:schemeClr w14:val="tx1"/>
                  </w14:solidFill>
                </w14:textFill>
              </w:rPr>
            </w:pPr>
          </w:p>
          <w:p w14:paraId="51F03F63">
            <w:pPr>
              <w:pStyle w:val="2"/>
              <w:rPr>
                <w:color w:val="000000" w:themeColor="text1"/>
                <w:sz w:val="21"/>
                <w:szCs w:val="21"/>
                <w14:textFill>
                  <w14:solidFill>
                    <w14:schemeClr w14:val="tx1"/>
                  </w14:solidFill>
                </w14:textFill>
              </w:rPr>
            </w:pPr>
          </w:p>
          <w:p w14:paraId="0A854F30">
            <w:pPr>
              <w:rPr>
                <w:color w:val="000000" w:themeColor="text1"/>
                <w:szCs w:val="21"/>
                <w14:textFill>
                  <w14:solidFill>
                    <w14:schemeClr w14:val="tx1"/>
                  </w14:solidFill>
                </w14:textFill>
              </w:rPr>
            </w:pPr>
          </w:p>
          <w:p w14:paraId="1A1C719B">
            <w:pPr>
              <w:rPr>
                <w:color w:val="000000" w:themeColor="text1"/>
                <w:szCs w:val="21"/>
                <w14:textFill>
                  <w14:solidFill>
                    <w14:schemeClr w14:val="tx1"/>
                  </w14:solidFill>
                </w14:textFill>
              </w:rPr>
            </w:pPr>
          </w:p>
          <w:p w14:paraId="496E16FE">
            <w:pPr>
              <w:ind w:firstLine="6720" w:firstLineChars="3200"/>
              <w:rPr>
                <w:color w:val="000000" w:themeColor="text1"/>
                <w:szCs w:val="21"/>
                <w14:textFill>
                  <w14:solidFill>
                    <w14:schemeClr w14:val="tx1"/>
                  </w14:solidFill>
                </w14:textFill>
              </w:rPr>
            </w:pPr>
            <w:r>
              <w:rPr>
                <w:color w:val="000000" w:themeColor="text1"/>
                <w:szCs w:val="21"/>
                <w14:textFill>
                  <w14:solidFill>
                    <w14:schemeClr w14:val="tx1"/>
                  </w14:solidFill>
                </w14:textFill>
              </w:rPr>
              <w:t>公   章</w:t>
            </w:r>
          </w:p>
          <w:p w14:paraId="5CE06153">
            <w:pPr>
              <w:rPr>
                <w:color w:val="000000" w:themeColor="text1"/>
                <w:szCs w:val="21"/>
                <w14:textFill>
                  <w14:solidFill>
                    <w14:schemeClr w14:val="tx1"/>
                  </w14:solidFill>
                </w14:textFill>
              </w:rPr>
            </w:pPr>
          </w:p>
          <w:p w14:paraId="0E230E0C">
            <w:pP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经办人：                                                    年   月   日</w:t>
            </w:r>
          </w:p>
          <w:p w14:paraId="34EE0BEE">
            <w:pPr>
              <w:widowControl/>
              <w:spacing w:line="468" w:lineRule="exact"/>
              <w:ind w:firstLine="480" w:firstLineChars="200"/>
              <w:rPr>
                <w:color w:val="000000" w:themeColor="text1"/>
                <w:sz w:val="24"/>
                <w14:textFill>
                  <w14:solidFill>
                    <w14:schemeClr w14:val="tx1"/>
                  </w14:solidFill>
                </w14:textFill>
              </w:rPr>
            </w:pPr>
          </w:p>
        </w:tc>
      </w:tr>
      <w:tr w14:paraId="643BA3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8" w:hRule="atLeast"/>
          <w:jc w:val="center"/>
        </w:trPr>
        <w:tc>
          <w:tcPr>
            <w:tcW w:w="5000" w:type="pct"/>
            <w:noWrap/>
          </w:tcPr>
          <w:p w14:paraId="533AA342">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下一级环境保护行政主管部门审查意见：</w:t>
            </w:r>
          </w:p>
          <w:p w14:paraId="1247F1E1">
            <w:pPr>
              <w:spacing w:line="360" w:lineRule="exact"/>
              <w:rPr>
                <w:color w:val="000000" w:themeColor="text1"/>
                <w:szCs w:val="21"/>
                <w14:textFill>
                  <w14:solidFill>
                    <w14:schemeClr w14:val="tx1"/>
                  </w14:solidFill>
                </w14:textFill>
              </w:rPr>
            </w:pPr>
          </w:p>
          <w:p w14:paraId="27D5F39C">
            <w:pPr>
              <w:rPr>
                <w:color w:val="000000" w:themeColor="text1"/>
                <w:szCs w:val="21"/>
                <w14:textFill>
                  <w14:solidFill>
                    <w14:schemeClr w14:val="tx1"/>
                  </w14:solidFill>
                </w14:textFill>
              </w:rPr>
            </w:pPr>
          </w:p>
          <w:p w14:paraId="66D5E8F6">
            <w:pPr>
              <w:rPr>
                <w:color w:val="000000" w:themeColor="text1"/>
                <w:szCs w:val="21"/>
                <w14:textFill>
                  <w14:solidFill>
                    <w14:schemeClr w14:val="tx1"/>
                  </w14:solidFill>
                </w14:textFill>
              </w:rPr>
            </w:pPr>
          </w:p>
          <w:p w14:paraId="2F306F6E">
            <w:pPr>
              <w:rPr>
                <w:color w:val="000000" w:themeColor="text1"/>
                <w:szCs w:val="21"/>
                <w14:textFill>
                  <w14:solidFill>
                    <w14:schemeClr w14:val="tx1"/>
                  </w14:solidFill>
                </w14:textFill>
              </w:rPr>
            </w:pPr>
          </w:p>
          <w:p w14:paraId="3E37954E">
            <w:pPr>
              <w:rPr>
                <w:color w:val="000000" w:themeColor="text1"/>
                <w:szCs w:val="21"/>
                <w14:textFill>
                  <w14:solidFill>
                    <w14:schemeClr w14:val="tx1"/>
                  </w14:solidFill>
                </w14:textFill>
              </w:rPr>
            </w:pPr>
          </w:p>
          <w:p w14:paraId="2FF65059">
            <w:pPr>
              <w:rPr>
                <w:color w:val="000000" w:themeColor="text1"/>
                <w:szCs w:val="21"/>
                <w14:textFill>
                  <w14:solidFill>
                    <w14:schemeClr w14:val="tx1"/>
                  </w14:solidFill>
                </w14:textFill>
              </w:rPr>
            </w:pPr>
          </w:p>
          <w:p w14:paraId="15C1B8F2">
            <w:pPr>
              <w:rPr>
                <w:color w:val="000000" w:themeColor="text1"/>
                <w:szCs w:val="21"/>
                <w14:textFill>
                  <w14:solidFill>
                    <w14:schemeClr w14:val="tx1"/>
                  </w14:solidFill>
                </w14:textFill>
              </w:rPr>
            </w:pPr>
          </w:p>
          <w:p w14:paraId="5636F7F9">
            <w:pPr>
              <w:rPr>
                <w:color w:val="000000" w:themeColor="text1"/>
                <w:szCs w:val="21"/>
                <w14:textFill>
                  <w14:solidFill>
                    <w14:schemeClr w14:val="tx1"/>
                  </w14:solidFill>
                </w14:textFill>
              </w:rPr>
            </w:pPr>
          </w:p>
          <w:p w14:paraId="66E5AE49">
            <w:pPr>
              <w:rPr>
                <w:color w:val="000000" w:themeColor="text1"/>
                <w:szCs w:val="21"/>
                <w14:textFill>
                  <w14:solidFill>
                    <w14:schemeClr w14:val="tx1"/>
                  </w14:solidFill>
                </w14:textFill>
              </w:rPr>
            </w:pPr>
          </w:p>
          <w:p w14:paraId="0A805498">
            <w:pPr>
              <w:rPr>
                <w:color w:val="000000" w:themeColor="text1"/>
                <w:szCs w:val="21"/>
                <w14:textFill>
                  <w14:solidFill>
                    <w14:schemeClr w14:val="tx1"/>
                  </w14:solidFill>
                </w14:textFill>
              </w:rPr>
            </w:pPr>
          </w:p>
          <w:p w14:paraId="4069A0F2">
            <w:pPr>
              <w:rPr>
                <w:color w:val="000000" w:themeColor="text1"/>
                <w:szCs w:val="21"/>
                <w14:textFill>
                  <w14:solidFill>
                    <w14:schemeClr w14:val="tx1"/>
                  </w14:solidFill>
                </w14:textFill>
              </w:rPr>
            </w:pPr>
          </w:p>
          <w:p w14:paraId="14750A92">
            <w:pPr>
              <w:rPr>
                <w:color w:val="000000" w:themeColor="text1"/>
                <w:szCs w:val="21"/>
                <w14:textFill>
                  <w14:solidFill>
                    <w14:schemeClr w14:val="tx1"/>
                  </w14:solidFill>
                </w14:textFill>
              </w:rPr>
            </w:pPr>
          </w:p>
          <w:p w14:paraId="233DFF51">
            <w:pPr>
              <w:rPr>
                <w:color w:val="000000" w:themeColor="text1"/>
                <w:szCs w:val="21"/>
                <w14:textFill>
                  <w14:solidFill>
                    <w14:schemeClr w14:val="tx1"/>
                  </w14:solidFill>
                </w14:textFill>
              </w:rPr>
            </w:pPr>
          </w:p>
          <w:p w14:paraId="754EBEEB">
            <w:pPr>
              <w:rPr>
                <w:color w:val="000000" w:themeColor="text1"/>
                <w:szCs w:val="21"/>
                <w14:textFill>
                  <w14:solidFill>
                    <w14:schemeClr w14:val="tx1"/>
                  </w14:solidFill>
                </w14:textFill>
              </w:rPr>
            </w:pPr>
          </w:p>
          <w:p w14:paraId="24C32B69">
            <w:pPr>
              <w:rPr>
                <w:color w:val="000000" w:themeColor="text1"/>
                <w:szCs w:val="21"/>
                <w14:textFill>
                  <w14:solidFill>
                    <w14:schemeClr w14:val="tx1"/>
                  </w14:solidFill>
                </w14:textFill>
              </w:rPr>
            </w:pPr>
          </w:p>
          <w:p w14:paraId="1748D241">
            <w:pPr>
              <w:pStyle w:val="2"/>
              <w:rPr>
                <w:color w:val="000000" w:themeColor="text1"/>
                <w14:textFill>
                  <w14:solidFill>
                    <w14:schemeClr w14:val="tx1"/>
                  </w14:solidFill>
                </w14:textFill>
              </w:rPr>
            </w:pPr>
          </w:p>
          <w:p w14:paraId="43356E5B">
            <w:pPr>
              <w:rPr>
                <w:color w:val="000000" w:themeColor="text1"/>
                <w:szCs w:val="21"/>
                <w14:textFill>
                  <w14:solidFill>
                    <w14:schemeClr w14:val="tx1"/>
                  </w14:solidFill>
                </w14:textFill>
              </w:rPr>
            </w:pPr>
          </w:p>
          <w:p w14:paraId="288F7CE6">
            <w:pPr>
              <w:rPr>
                <w:color w:val="000000" w:themeColor="text1"/>
                <w:szCs w:val="21"/>
                <w14:textFill>
                  <w14:solidFill>
                    <w14:schemeClr w14:val="tx1"/>
                  </w14:solidFill>
                </w14:textFill>
              </w:rPr>
            </w:pPr>
          </w:p>
          <w:p w14:paraId="1C850840">
            <w:pPr>
              <w:rPr>
                <w:color w:val="000000" w:themeColor="text1"/>
                <w:szCs w:val="21"/>
                <w14:textFill>
                  <w14:solidFill>
                    <w14:schemeClr w14:val="tx1"/>
                  </w14:solidFill>
                </w14:textFill>
              </w:rPr>
            </w:pPr>
          </w:p>
          <w:p w14:paraId="00914F20">
            <w:pPr>
              <w:ind w:firstLine="6720" w:firstLineChars="3200"/>
              <w:rPr>
                <w:color w:val="000000" w:themeColor="text1"/>
                <w:szCs w:val="21"/>
                <w14:textFill>
                  <w14:solidFill>
                    <w14:schemeClr w14:val="tx1"/>
                  </w14:solidFill>
                </w14:textFill>
              </w:rPr>
            </w:pPr>
            <w:r>
              <w:rPr>
                <w:color w:val="000000" w:themeColor="text1"/>
                <w:szCs w:val="21"/>
                <w14:textFill>
                  <w14:solidFill>
                    <w14:schemeClr w14:val="tx1"/>
                  </w14:solidFill>
                </w14:textFill>
              </w:rPr>
              <w:t>公   章</w:t>
            </w:r>
          </w:p>
          <w:p w14:paraId="63884174">
            <w:pPr>
              <w:rPr>
                <w:color w:val="000000" w:themeColor="text1"/>
                <w:szCs w:val="21"/>
                <w14:textFill>
                  <w14:solidFill>
                    <w14:schemeClr w14:val="tx1"/>
                  </w14:solidFill>
                </w14:textFill>
              </w:rPr>
            </w:pPr>
          </w:p>
          <w:p w14:paraId="41F76382">
            <w:pPr>
              <w:rPr>
                <w:color w:val="000000" w:themeColor="text1"/>
                <w:szCs w:val="21"/>
                <w14:textFill>
                  <w14:solidFill>
                    <w14:schemeClr w14:val="tx1"/>
                  </w14:solidFill>
                </w14:textFill>
              </w:rPr>
            </w:pPr>
            <w:r>
              <w:rPr>
                <w:color w:val="000000" w:themeColor="text1"/>
                <w:szCs w:val="21"/>
                <w14:textFill>
                  <w14:solidFill>
                    <w14:schemeClr w14:val="tx1"/>
                  </w14:solidFill>
                </w14:textFill>
              </w:rPr>
              <w:t>经办人：                                                     年   月   日</w:t>
            </w:r>
          </w:p>
          <w:p w14:paraId="2E75D28C">
            <w:pPr>
              <w:widowControl/>
              <w:spacing w:line="468" w:lineRule="exact"/>
              <w:ind w:firstLine="480" w:firstLineChars="200"/>
              <w:rPr>
                <w:color w:val="000000" w:themeColor="text1"/>
                <w:sz w:val="24"/>
                <w14:textFill>
                  <w14:solidFill>
                    <w14:schemeClr w14:val="tx1"/>
                  </w14:solidFill>
                </w14:textFill>
              </w:rPr>
            </w:pPr>
          </w:p>
        </w:tc>
      </w:tr>
      <w:tr w14:paraId="7B2534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4" w:hRule="atLeast"/>
          <w:jc w:val="center"/>
        </w:trPr>
        <w:tc>
          <w:tcPr>
            <w:tcW w:w="5000" w:type="pct"/>
            <w:noWrap/>
          </w:tcPr>
          <w:p w14:paraId="43DF2D6C">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审批意见：</w:t>
            </w:r>
          </w:p>
          <w:p w14:paraId="15360F74">
            <w:pPr>
              <w:rPr>
                <w:color w:val="000000" w:themeColor="text1"/>
                <w:szCs w:val="21"/>
                <w14:textFill>
                  <w14:solidFill>
                    <w14:schemeClr w14:val="tx1"/>
                  </w14:solidFill>
                </w14:textFill>
              </w:rPr>
            </w:pPr>
          </w:p>
          <w:p w14:paraId="2D926EEF">
            <w:pPr>
              <w:rPr>
                <w:color w:val="000000" w:themeColor="text1"/>
                <w:szCs w:val="21"/>
                <w14:textFill>
                  <w14:solidFill>
                    <w14:schemeClr w14:val="tx1"/>
                  </w14:solidFill>
                </w14:textFill>
              </w:rPr>
            </w:pPr>
          </w:p>
          <w:p w14:paraId="3D4D9954">
            <w:pPr>
              <w:rPr>
                <w:color w:val="000000" w:themeColor="text1"/>
                <w:szCs w:val="21"/>
                <w14:textFill>
                  <w14:solidFill>
                    <w14:schemeClr w14:val="tx1"/>
                  </w14:solidFill>
                </w14:textFill>
              </w:rPr>
            </w:pPr>
          </w:p>
          <w:p w14:paraId="662B7487">
            <w:pPr>
              <w:rPr>
                <w:color w:val="000000" w:themeColor="text1"/>
                <w:szCs w:val="21"/>
                <w14:textFill>
                  <w14:solidFill>
                    <w14:schemeClr w14:val="tx1"/>
                  </w14:solidFill>
                </w14:textFill>
              </w:rPr>
            </w:pPr>
          </w:p>
          <w:p w14:paraId="73FEF3DD">
            <w:pPr>
              <w:rPr>
                <w:color w:val="000000" w:themeColor="text1"/>
                <w:szCs w:val="21"/>
                <w14:textFill>
                  <w14:solidFill>
                    <w14:schemeClr w14:val="tx1"/>
                  </w14:solidFill>
                </w14:textFill>
              </w:rPr>
            </w:pPr>
          </w:p>
          <w:p w14:paraId="76BAC78B">
            <w:pPr>
              <w:rPr>
                <w:color w:val="000000" w:themeColor="text1"/>
                <w:szCs w:val="21"/>
                <w14:textFill>
                  <w14:solidFill>
                    <w14:schemeClr w14:val="tx1"/>
                  </w14:solidFill>
                </w14:textFill>
              </w:rPr>
            </w:pPr>
          </w:p>
          <w:p w14:paraId="04B3275C">
            <w:pPr>
              <w:pStyle w:val="2"/>
              <w:rPr>
                <w:color w:val="000000" w:themeColor="text1"/>
                <w:sz w:val="21"/>
                <w:szCs w:val="21"/>
                <w14:textFill>
                  <w14:solidFill>
                    <w14:schemeClr w14:val="tx1"/>
                  </w14:solidFill>
                </w14:textFill>
              </w:rPr>
            </w:pPr>
          </w:p>
          <w:p w14:paraId="2028CAF4">
            <w:pPr>
              <w:pStyle w:val="2"/>
              <w:rPr>
                <w:color w:val="000000" w:themeColor="text1"/>
                <w:sz w:val="21"/>
                <w:szCs w:val="21"/>
                <w14:textFill>
                  <w14:solidFill>
                    <w14:schemeClr w14:val="tx1"/>
                  </w14:solidFill>
                </w14:textFill>
              </w:rPr>
            </w:pPr>
          </w:p>
          <w:p w14:paraId="33FF7BA3">
            <w:pPr>
              <w:pStyle w:val="2"/>
              <w:rPr>
                <w:color w:val="000000" w:themeColor="text1"/>
                <w:sz w:val="21"/>
                <w:szCs w:val="21"/>
                <w14:textFill>
                  <w14:solidFill>
                    <w14:schemeClr w14:val="tx1"/>
                  </w14:solidFill>
                </w14:textFill>
              </w:rPr>
            </w:pPr>
          </w:p>
          <w:p w14:paraId="78D7FB66">
            <w:pPr>
              <w:rPr>
                <w:color w:val="000000" w:themeColor="text1"/>
                <w:szCs w:val="21"/>
                <w14:textFill>
                  <w14:solidFill>
                    <w14:schemeClr w14:val="tx1"/>
                  </w14:solidFill>
                </w14:textFill>
              </w:rPr>
            </w:pPr>
          </w:p>
          <w:p w14:paraId="77809286">
            <w:pPr>
              <w:rPr>
                <w:color w:val="000000" w:themeColor="text1"/>
                <w:szCs w:val="21"/>
                <w14:textFill>
                  <w14:solidFill>
                    <w14:schemeClr w14:val="tx1"/>
                  </w14:solidFill>
                </w14:textFill>
              </w:rPr>
            </w:pPr>
          </w:p>
          <w:p w14:paraId="07EC61C0">
            <w:pPr>
              <w:ind w:firstLine="6720" w:firstLineChars="3200"/>
              <w:rPr>
                <w:color w:val="000000" w:themeColor="text1"/>
                <w:szCs w:val="21"/>
                <w14:textFill>
                  <w14:solidFill>
                    <w14:schemeClr w14:val="tx1"/>
                  </w14:solidFill>
                </w14:textFill>
              </w:rPr>
            </w:pPr>
            <w:r>
              <w:rPr>
                <w:color w:val="000000" w:themeColor="text1"/>
                <w:szCs w:val="21"/>
                <w14:textFill>
                  <w14:solidFill>
                    <w14:schemeClr w14:val="tx1"/>
                  </w14:solidFill>
                </w14:textFill>
              </w:rPr>
              <w:t>公   章</w:t>
            </w:r>
          </w:p>
          <w:p w14:paraId="6AE24730">
            <w:pPr>
              <w:rPr>
                <w:color w:val="000000" w:themeColor="text1"/>
                <w:szCs w:val="21"/>
                <w14:textFill>
                  <w14:solidFill>
                    <w14:schemeClr w14:val="tx1"/>
                  </w14:solidFill>
                </w14:textFill>
              </w:rPr>
            </w:pPr>
          </w:p>
          <w:p w14:paraId="00A9320F">
            <w:pPr>
              <w:rPr>
                <w:color w:val="000000" w:themeColor="text1"/>
                <w:sz w:val="24"/>
                <w14:textFill>
                  <w14:solidFill>
                    <w14:schemeClr w14:val="tx1"/>
                  </w14:solidFill>
                </w14:textFill>
              </w:rPr>
            </w:pPr>
            <w:r>
              <w:rPr>
                <w:color w:val="000000" w:themeColor="text1"/>
                <w:szCs w:val="21"/>
                <w14:textFill>
                  <w14:solidFill>
                    <w14:schemeClr w14:val="tx1"/>
                  </w14:solidFill>
                </w14:textFill>
              </w:rPr>
              <w:t>经办人：                                                     年   月   日</w:t>
            </w:r>
          </w:p>
        </w:tc>
      </w:tr>
      <w:tr w14:paraId="0D2658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94" w:hRule="atLeast"/>
          <w:jc w:val="center"/>
        </w:trPr>
        <w:tc>
          <w:tcPr>
            <w:tcW w:w="5000" w:type="pct"/>
            <w:noWrap/>
          </w:tcPr>
          <w:p w14:paraId="48BD3722">
            <w:pPr>
              <w:widowControl/>
              <w:spacing w:line="42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注释</w:t>
            </w:r>
          </w:p>
          <w:p w14:paraId="07968811">
            <w:pPr>
              <w:widowControl/>
              <w:spacing w:line="468" w:lineRule="exac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本报告表应附以下的附件、附图：</w:t>
            </w:r>
          </w:p>
          <w:p w14:paraId="20FDC10D">
            <w:pPr>
              <w:widowControl/>
              <w:spacing w:line="468" w:lineRule="exac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附件1  立项批准文件</w:t>
            </w:r>
          </w:p>
          <w:p w14:paraId="41835170">
            <w:pPr>
              <w:widowControl/>
              <w:spacing w:line="468" w:lineRule="exac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附件2  其他环评有关的行政管理文件</w:t>
            </w:r>
          </w:p>
          <w:p w14:paraId="42BF3425">
            <w:pPr>
              <w:widowControl/>
              <w:spacing w:line="468" w:lineRule="exac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附图1  项目位置图</w:t>
            </w:r>
          </w:p>
          <w:p w14:paraId="47B40794">
            <w:pPr>
              <w:widowControl/>
              <w:spacing w:line="468" w:lineRule="exac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附图2</w:t>
            </w:r>
            <w:r>
              <w:rPr>
                <w:rFonts w:hint="eastAsia"/>
                <w:color w:val="000000" w:themeColor="text1"/>
                <w14:textFill>
                  <w14:solidFill>
                    <w14:schemeClr w14:val="tx1"/>
                  </w14:solidFill>
                </w14:textFill>
              </w:rPr>
              <w:t>-1 江苏省生态环境管控单元图（陆域）</w:t>
            </w:r>
          </w:p>
          <w:p w14:paraId="2A8DEF01">
            <w:pPr>
              <w:widowControl/>
              <w:spacing w:line="468" w:lineRule="exac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附图2</w:t>
            </w:r>
            <w:r>
              <w:rPr>
                <w:rFonts w:hint="eastAsia"/>
                <w:color w:val="000000" w:themeColor="text1"/>
                <w14:textFill>
                  <w14:solidFill>
                    <w14:schemeClr w14:val="tx1"/>
                  </w14:solidFill>
                </w14:textFill>
              </w:rPr>
              <w:t>-2 常熟市生态空间管控区域范围图（调整后）</w:t>
            </w:r>
          </w:p>
          <w:p w14:paraId="23A924C1">
            <w:pPr>
              <w:widowControl/>
              <w:spacing w:line="468" w:lineRule="exac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附图</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市水系图</w:t>
            </w:r>
          </w:p>
          <w:p w14:paraId="701A3408">
            <w:pPr>
              <w:widowControl/>
              <w:spacing w:line="468" w:lineRule="exac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附图</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szCs w:val="21"/>
                <w14:textFill>
                  <w14:solidFill>
                    <w14:schemeClr w14:val="tx1"/>
                  </w14:solidFill>
                </w14:textFill>
              </w:rPr>
              <w:t>声环境规划图</w:t>
            </w:r>
          </w:p>
          <w:p w14:paraId="510519EF">
            <w:pPr>
              <w:widowControl/>
              <w:spacing w:line="468" w:lineRule="exact"/>
              <w:ind w:firstLine="420" w:firstLineChars="200"/>
              <w:rPr>
                <w:rFonts w:hint="eastAsia" w:ascii="Times New Roman" w:hAnsi="Times New Roman" w:eastAsia="宋体" w:cs="Times New Roman"/>
                <w:color w:val="000000" w:themeColor="text1"/>
                <w:szCs w:val="21"/>
                <w14:textFill>
                  <w14:solidFill>
                    <w14:schemeClr w14:val="tx1"/>
                  </w14:solidFill>
                </w14:textFill>
              </w:rPr>
            </w:pPr>
            <w:r>
              <w:rPr>
                <w:color w:val="000000" w:themeColor="text1"/>
                <w14:textFill>
                  <w14:solidFill>
                    <w14:schemeClr w14:val="tx1"/>
                  </w14:solidFill>
                </w14:textFill>
              </w:rPr>
              <w:t>附图</w:t>
            </w:r>
            <w:r>
              <w:rPr>
                <w:rFonts w:hint="eastAsia"/>
                <w:color w:val="000000" w:themeColor="text1"/>
                <w14:textFill>
                  <w14:solidFill>
                    <w14:schemeClr w14:val="tx1"/>
                  </w14:solidFill>
                </w14:textFill>
              </w:rPr>
              <w:t>5</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 xml:space="preserve">  </w:t>
            </w:r>
            <w:r>
              <w:rPr>
                <w:rFonts w:hint="eastAsia"/>
                <w:color w:val="000000" w:themeColor="text1"/>
                <w:szCs w:val="21"/>
                <w14:textFill>
                  <w14:solidFill>
                    <w14:schemeClr w14:val="tx1"/>
                  </w14:solidFill>
                </w14:textFill>
              </w:rPr>
              <w:t>常</w:t>
            </w:r>
            <w:r>
              <w:rPr>
                <w:rFonts w:hint="eastAsia" w:ascii="Times New Roman" w:hAnsi="Times New Roman" w:eastAsia="宋体" w:cs="Times New Roman"/>
                <w:color w:val="000000" w:themeColor="text1"/>
                <w:szCs w:val="21"/>
                <w14:textFill>
                  <w14:solidFill>
                    <w14:schemeClr w14:val="tx1"/>
                  </w14:solidFill>
                </w14:textFill>
              </w:rPr>
              <w:t>熟</w:t>
            </w:r>
            <w:r>
              <w:rPr>
                <w:rFonts w:hint="default" w:ascii="Times New Roman" w:hAnsi="Times New Roman" w:eastAsia="宋体" w:cs="Times New Roman"/>
                <w:color w:val="000000" w:themeColor="text1"/>
                <w:szCs w:val="21"/>
                <w14:textFill>
                  <w14:solidFill>
                    <w14:schemeClr w14:val="tx1"/>
                  </w14:solidFill>
                </w14:textFill>
              </w:rPr>
              <w:t>高新区远期（2030年）土地利用规划图</w:t>
            </w:r>
          </w:p>
          <w:p w14:paraId="307B78EA">
            <w:pPr>
              <w:widowControl/>
              <w:spacing w:line="468" w:lineRule="exac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附图</w:t>
            </w:r>
            <w:r>
              <w:rPr>
                <w:rFonts w:hint="eastAsia"/>
                <w:color w:val="000000" w:themeColor="text1"/>
                <w14:textFill>
                  <w14:solidFill>
                    <w14:schemeClr w14:val="tx1"/>
                  </w14:solidFill>
                </w14:textFill>
              </w:rPr>
              <w:t>5</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 xml:space="preserve">  </w:t>
            </w:r>
            <w:r>
              <w:rPr>
                <w:rFonts w:hint="eastAsia"/>
                <w:color w:val="000000" w:themeColor="text1"/>
                <w:szCs w:val="21"/>
                <w14:textFill>
                  <w14:solidFill>
                    <w14:schemeClr w14:val="tx1"/>
                  </w14:solidFill>
                </w14:textFill>
              </w:rPr>
              <w:t>常熟</w:t>
            </w:r>
            <w:r>
              <w:rPr>
                <w:rFonts w:hint="eastAsia"/>
                <w:color w:val="000000" w:themeColor="text1"/>
                <w:szCs w:val="21"/>
                <w:lang w:val="en-US" w:eastAsia="zh-CN"/>
                <w14:textFill>
                  <w14:solidFill>
                    <w14:schemeClr w14:val="tx1"/>
                  </w14:solidFill>
                </w14:textFill>
              </w:rPr>
              <w:t>高新区</w:t>
            </w:r>
            <w:r>
              <w:rPr>
                <w:rFonts w:hint="eastAsia"/>
                <w:color w:val="000000" w:themeColor="text1"/>
                <w:szCs w:val="21"/>
                <w14:textFill>
                  <w14:solidFill>
                    <w14:schemeClr w14:val="tx1"/>
                  </w14:solidFill>
                </w14:textFill>
              </w:rPr>
              <w:t>局部片区控制性详细规划</w:t>
            </w:r>
            <w:r>
              <w:rPr>
                <w:rFonts w:hint="eastAsia"/>
                <w:color w:val="000000" w:themeColor="text1"/>
                <w14:textFill>
                  <w14:solidFill>
                    <w14:schemeClr w14:val="tx1"/>
                  </w14:solidFill>
                </w14:textFill>
              </w:rPr>
              <w:t>图</w:t>
            </w:r>
          </w:p>
          <w:p w14:paraId="60DA852B">
            <w:pPr>
              <w:widowControl/>
              <w:spacing w:line="468" w:lineRule="exact"/>
              <w:ind w:firstLine="420" w:firstLineChars="20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附图6</w:t>
            </w:r>
            <w:r>
              <w:rPr>
                <w:rFonts w:ascii="Times New Roman" w:hAnsi="Times New Roman" w:eastAsia="宋体" w:cs="Times New Roman"/>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厂界周围500m卫星图</w:t>
            </w:r>
          </w:p>
          <w:p w14:paraId="796E03A1">
            <w:pPr>
              <w:widowControl/>
              <w:spacing w:line="468" w:lineRule="exact"/>
              <w:ind w:firstLine="420" w:firstLineChars="200"/>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附图</w:t>
            </w:r>
            <w:r>
              <w:rPr>
                <w:rFonts w:hint="eastAsia" w:ascii="Times New Roman" w:hAnsi="Times New Roman" w:eastAsia="宋体" w:cs="Times New Roman"/>
                <w:color w:val="000000" w:themeColor="text1"/>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highlight w:val="none"/>
                <w14:textFill>
                  <w14:solidFill>
                    <w14:schemeClr w14:val="tx1"/>
                  </w14:solidFill>
                </w14:textFill>
              </w:rPr>
              <w:t xml:space="preserve">  </w:t>
            </w:r>
            <w:r>
              <w:rPr>
                <w:rFonts w:hint="eastAsia" w:cs="Times New Roman"/>
                <w:color w:val="000000" w:themeColor="text1"/>
                <w:highlight w:val="none"/>
                <w:lang w:val="en-US" w:eastAsia="zh-CN"/>
                <w14:textFill>
                  <w14:solidFill>
                    <w14:schemeClr w14:val="tx1"/>
                  </w14:solidFill>
                </w14:textFill>
              </w:rPr>
              <w:t>厂区</w:t>
            </w:r>
            <w:r>
              <w:rPr>
                <w:rFonts w:hint="eastAsia" w:ascii="Times New Roman" w:hAnsi="Times New Roman" w:eastAsia="宋体" w:cs="Times New Roman"/>
                <w:color w:val="000000" w:themeColor="text1"/>
                <w:highlight w:val="none"/>
                <w14:textFill>
                  <w14:solidFill>
                    <w14:schemeClr w14:val="tx1"/>
                  </w14:solidFill>
                </w14:textFill>
              </w:rPr>
              <w:t>平面布置图</w:t>
            </w:r>
          </w:p>
          <w:p w14:paraId="1C95EBAE">
            <w:pPr>
              <w:widowControl/>
              <w:spacing w:line="468" w:lineRule="exact"/>
              <w:ind w:firstLine="420" w:firstLineChars="200"/>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附图</w:t>
            </w:r>
            <w:r>
              <w:rPr>
                <w:rFonts w:hint="eastAsia" w:ascii="Times New Roman" w:hAnsi="Times New Roman" w:eastAsia="宋体" w:cs="Times New Roman"/>
                <w:color w:val="000000" w:themeColor="text1"/>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highlight w:val="none"/>
                <w14:textFill>
                  <w14:solidFill>
                    <w14:schemeClr w14:val="tx1"/>
                  </w14:solidFill>
                </w14:textFill>
              </w:rPr>
              <w:t xml:space="preserve">  项目周边现状照片</w:t>
            </w:r>
          </w:p>
          <w:p w14:paraId="21DB8946">
            <w:pPr>
              <w:widowControl/>
              <w:spacing w:line="468" w:lineRule="exact"/>
              <w:ind w:firstLine="420" w:firstLineChars="200"/>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附图9 产业园平面布局+雨污管网+事故废水收集系统图</w:t>
            </w:r>
          </w:p>
          <w:p w14:paraId="6F44D73B">
            <w:pPr>
              <w:widowControl/>
              <w:spacing w:line="468" w:lineRule="exact"/>
              <w:ind w:firstLine="420" w:firstLineChars="200"/>
              <w:rPr>
                <w:color w:val="000000" w:themeColor="text1"/>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附图10 分区防渗图</w:t>
            </w:r>
          </w:p>
        </w:tc>
      </w:tr>
    </w:tbl>
    <w:p w14:paraId="409D798C">
      <w:pPr>
        <w:rPr>
          <w:color w:val="000000" w:themeColor="text1"/>
          <w14:textFill>
            <w14:solidFill>
              <w14:schemeClr w14:val="tx1"/>
            </w14:solidFill>
          </w14:textFill>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641C0935">
      <w:pPr>
        <w:pStyle w:val="18"/>
        <w:adjustRightInd w:val="0"/>
        <w:snapToGrid w:val="0"/>
        <w:spacing w:before="0" w:beforeAutospacing="0" w:after="0" w:afterAutospacing="0"/>
        <w:outlineLvl w:val="0"/>
        <w:rPr>
          <w:rFonts w:ascii="Times New Roman" w:hAnsi="Times New Roman" w:eastAsia="黑体"/>
          <w:snapToGrid w:val="0"/>
          <w:color w:val="000000"/>
          <w:sz w:val="32"/>
          <w:szCs w:val="32"/>
        </w:rPr>
      </w:pPr>
      <w:r>
        <w:rPr>
          <w:rFonts w:ascii="Times New Roman" w:hAnsi="Times New Roman" w:eastAsia="黑体"/>
          <w:snapToGrid w:val="0"/>
          <w:color w:val="000000" w:themeColor="text1"/>
          <w:sz w:val="32"/>
          <w:szCs w:val="32"/>
          <w14:textFill>
            <w14:solidFill>
              <w14:schemeClr w14:val="tx1"/>
            </w14:solidFill>
          </w14:textFill>
        </w:rPr>
        <w:t>附表</w:t>
      </w:r>
    </w:p>
    <w:p w14:paraId="7D99E042">
      <w:pPr>
        <w:pStyle w:val="18"/>
        <w:adjustRightInd w:val="0"/>
        <w:snapToGrid w:val="0"/>
        <w:spacing w:before="0" w:beforeAutospacing="0" w:after="0" w:afterAutospacing="0" w:line="360" w:lineRule="auto"/>
        <w:jc w:val="center"/>
        <w:outlineLvl w:val="0"/>
        <w:rPr>
          <w:rFonts w:ascii="Times New Roman" w:hAnsi="Times New Roman" w:eastAsia="方正小标宋_GBK"/>
          <w:snapToGrid w:val="0"/>
          <w:color w:val="000000"/>
          <w:sz w:val="38"/>
          <w:szCs w:val="38"/>
        </w:rPr>
      </w:pPr>
      <w:r>
        <w:rPr>
          <w:rFonts w:ascii="Times New Roman" w:hAnsi="Times New Roman" w:eastAsia="方正小标宋_GBK"/>
          <w:snapToGrid w:val="0"/>
          <w:color w:val="000000"/>
          <w:sz w:val="38"/>
          <w:szCs w:val="38"/>
        </w:rPr>
        <w:t>建设项目污染物排放量汇总表（t/a）</w:t>
      </w:r>
    </w:p>
    <w:tbl>
      <w:tblPr>
        <w:tblStyle w:val="22"/>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4"/>
        <w:gridCol w:w="794"/>
        <w:gridCol w:w="1536"/>
        <w:gridCol w:w="1582"/>
        <w:gridCol w:w="1276"/>
        <w:gridCol w:w="1701"/>
        <w:gridCol w:w="1559"/>
        <w:gridCol w:w="1450"/>
        <w:gridCol w:w="1545"/>
        <w:gridCol w:w="1551"/>
      </w:tblGrid>
      <w:tr w14:paraId="4D57D5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gridSpan w:val="2"/>
            <w:tcBorders>
              <w:tl2br w:val="single" w:color="auto" w:sz="4" w:space="0"/>
            </w:tcBorders>
            <w:noWrap/>
            <w:tcMar>
              <w:left w:w="28" w:type="dxa"/>
              <w:right w:w="28" w:type="dxa"/>
            </w:tcMar>
            <w:vAlign w:val="center"/>
          </w:tcPr>
          <w:p w14:paraId="3909FA37">
            <w:pPr>
              <w:pStyle w:val="37"/>
              <w:spacing w:beforeLines="0" w:afterLines="0" w:line="240" w:lineRule="auto"/>
              <w:rPr>
                <w:rFonts w:ascii="Times New Roman" w:eastAsia="黑体"/>
                <w:snapToGrid w:val="0"/>
                <w:color w:val="000000"/>
                <w:spacing w:val="-6"/>
                <w:kern w:val="21"/>
                <w:sz w:val="24"/>
                <w:szCs w:val="21"/>
              </w:rPr>
            </w:pPr>
            <w:r>
              <w:rPr>
                <w:rFonts w:ascii="Times New Roman" w:eastAsia="黑体"/>
                <w:snapToGrid w:val="0"/>
                <w:color w:val="000000"/>
                <w:spacing w:val="-6"/>
                <w:kern w:val="21"/>
                <w:sz w:val="24"/>
                <w:szCs w:val="21"/>
              </w:rPr>
              <w:t>项目</w:t>
            </w:r>
          </w:p>
          <w:p w14:paraId="118642C1">
            <w:pPr>
              <w:pStyle w:val="37"/>
              <w:spacing w:beforeLines="0" w:afterLines="0" w:line="240" w:lineRule="auto"/>
              <w:jc w:val="both"/>
              <w:rPr>
                <w:rFonts w:ascii="Times New Roman" w:eastAsia="黑体"/>
                <w:snapToGrid w:val="0"/>
                <w:color w:val="000000"/>
                <w:spacing w:val="-6"/>
                <w:kern w:val="21"/>
                <w:sz w:val="24"/>
                <w:szCs w:val="21"/>
              </w:rPr>
            </w:pPr>
            <w:r>
              <w:rPr>
                <w:rFonts w:ascii="Times New Roman" w:eastAsia="黑体"/>
                <w:snapToGrid w:val="0"/>
                <w:color w:val="000000"/>
                <w:spacing w:val="-6"/>
                <w:kern w:val="21"/>
                <w:sz w:val="24"/>
                <w:szCs w:val="21"/>
              </w:rPr>
              <w:t>分类</w:t>
            </w:r>
          </w:p>
        </w:tc>
        <w:tc>
          <w:tcPr>
            <w:tcW w:w="1536" w:type="dxa"/>
            <w:noWrap/>
            <w:tcMar>
              <w:left w:w="28" w:type="dxa"/>
              <w:right w:w="28" w:type="dxa"/>
            </w:tcMar>
            <w:vAlign w:val="center"/>
          </w:tcPr>
          <w:p w14:paraId="2440DFAE">
            <w:pPr>
              <w:pStyle w:val="37"/>
              <w:spacing w:beforeLines="0" w:afterLines="0" w:line="240" w:lineRule="auto"/>
              <w:rPr>
                <w:rFonts w:ascii="Times New Roman" w:eastAsia="黑体"/>
                <w:snapToGrid w:val="0"/>
                <w:color w:val="000000"/>
                <w:spacing w:val="-6"/>
                <w:kern w:val="21"/>
                <w:sz w:val="24"/>
                <w:szCs w:val="21"/>
              </w:rPr>
            </w:pPr>
            <w:r>
              <w:rPr>
                <w:rFonts w:ascii="Times New Roman" w:eastAsia="黑体"/>
                <w:snapToGrid w:val="0"/>
                <w:color w:val="000000"/>
                <w:spacing w:val="-6"/>
                <w:kern w:val="21"/>
                <w:sz w:val="24"/>
                <w:szCs w:val="21"/>
              </w:rPr>
              <w:t>污染物名称</w:t>
            </w:r>
          </w:p>
        </w:tc>
        <w:tc>
          <w:tcPr>
            <w:tcW w:w="1582" w:type="dxa"/>
            <w:noWrap/>
            <w:tcMar>
              <w:left w:w="28" w:type="dxa"/>
              <w:right w:w="28" w:type="dxa"/>
            </w:tcMar>
            <w:vAlign w:val="center"/>
          </w:tcPr>
          <w:p w14:paraId="57FB754A">
            <w:pPr>
              <w:pStyle w:val="37"/>
              <w:spacing w:beforeLines="0" w:afterLines="0" w:line="240" w:lineRule="auto"/>
              <w:rPr>
                <w:rFonts w:ascii="Times New Roman" w:eastAsia="黑体"/>
                <w:snapToGrid w:val="0"/>
                <w:color w:val="000000"/>
                <w:spacing w:val="-6"/>
                <w:kern w:val="21"/>
                <w:sz w:val="24"/>
                <w:szCs w:val="21"/>
              </w:rPr>
            </w:pPr>
            <w:r>
              <w:rPr>
                <w:rFonts w:ascii="Times New Roman" w:eastAsia="黑体"/>
                <w:snapToGrid w:val="0"/>
                <w:color w:val="000000"/>
                <w:spacing w:val="-6"/>
                <w:kern w:val="21"/>
                <w:sz w:val="24"/>
                <w:szCs w:val="21"/>
              </w:rPr>
              <w:t>现有工程</w:t>
            </w:r>
          </w:p>
          <w:p w14:paraId="7DC1D3E3">
            <w:pPr>
              <w:pStyle w:val="37"/>
              <w:spacing w:beforeLines="0" w:afterLines="0" w:line="240" w:lineRule="auto"/>
              <w:rPr>
                <w:rFonts w:ascii="Times New Roman" w:eastAsia="黑体"/>
                <w:snapToGrid w:val="0"/>
                <w:color w:val="000000"/>
                <w:spacing w:val="-6"/>
                <w:kern w:val="21"/>
                <w:sz w:val="24"/>
                <w:szCs w:val="21"/>
              </w:rPr>
            </w:pPr>
            <w:r>
              <w:rPr>
                <w:rFonts w:ascii="Times New Roman" w:eastAsia="黑体"/>
                <w:snapToGrid w:val="0"/>
                <w:color w:val="000000"/>
                <w:spacing w:val="-6"/>
                <w:kern w:val="21"/>
                <w:sz w:val="24"/>
                <w:szCs w:val="21"/>
              </w:rPr>
              <w:t>排放量（固体废物产生量）</w:t>
            </w:r>
            <w:r>
              <w:rPr>
                <w:rFonts w:ascii="Times New Roman" w:eastAsia="黑体"/>
                <w:snapToGrid w:val="0"/>
                <w:color w:val="000000"/>
                <w:spacing w:val="-6"/>
                <w:kern w:val="21"/>
                <w:sz w:val="24"/>
                <w:szCs w:val="21"/>
              </w:rPr>
              <w:fldChar w:fldCharType="begin"/>
            </w:r>
            <w:r>
              <w:rPr>
                <w:rFonts w:ascii="Times New Roman" w:eastAsia="黑体"/>
                <w:snapToGrid w:val="0"/>
                <w:color w:val="000000"/>
                <w:spacing w:val="-6"/>
                <w:kern w:val="21"/>
                <w:sz w:val="24"/>
                <w:szCs w:val="21"/>
              </w:rPr>
              <w:instrText xml:space="preserve"> = 1 \* GB3 \* MERGEFORMAT </w:instrText>
            </w:r>
            <w:r>
              <w:rPr>
                <w:rFonts w:ascii="Times New Roman" w:eastAsia="黑体"/>
                <w:snapToGrid w:val="0"/>
                <w:color w:val="000000"/>
                <w:spacing w:val="-6"/>
                <w:kern w:val="21"/>
                <w:sz w:val="24"/>
                <w:szCs w:val="21"/>
              </w:rPr>
              <w:fldChar w:fldCharType="separate"/>
            </w:r>
            <w:r>
              <w:rPr>
                <w:rFonts w:ascii="Times New Roman" w:eastAsia="黑体"/>
                <w:color w:val="000000"/>
                <w:kern w:val="2"/>
                <w:sz w:val="24"/>
                <w:szCs w:val="21"/>
              </w:rPr>
              <w:t>①</w:t>
            </w:r>
            <w:r>
              <w:rPr>
                <w:rFonts w:ascii="Times New Roman" w:eastAsia="黑体"/>
                <w:snapToGrid w:val="0"/>
                <w:color w:val="000000"/>
                <w:spacing w:val="-6"/>
                <w:kern w:val="21"/>
                <w:sz w:val="24"/>
                <w:szCs w:val="21"/>
              </w:rPr>
              <w:fldChar w:fldCharType="end"/>
            </w:r>
          </w:p>
        </w:tc>
        <w:tc>
          <w:tcPr>
            <w:tcW w:w="1276" w:type="dxa"/>
            <w:noWrap/>
            <w:tcMar>
              <w:left w:w="28" w:type="dxa"/>
              <w:right w:w="28" w:type="dxa"/>
            </w:tcMar>
            <w:vAlign w:val="center"/>
          </w:tcPr>
          <w:p w14:paraId="2F64FB26">
            <w:pPr>
              <w:pStyle w:val="37"/>
              <w:spacing w:beforeLines="0" w:afterLines="0" w:line="240" w:lineRule="auto"/>
              <w:rPr>
                <w:rFonts w:ascii="Times New Roman" w:eastAsia="黑体"/>
                <w:snapToGrid w:val="0"/>
                <w:color w:val="000000"/>
                <w:spacing w:val="-6"/>
                <w:kern w:val="21"/>
                <w:sz w:val="24"/>
                <w:szCs w:val="21"/>
              </w:rPr>
            </w:pPr>
            <w:r>
              <w:rPr>
                <w:rFonts w:ascii="Times New Roman" w:eastAsia="黑体"/>
                <w:snapToGrid w:val="0"/>
                <w:color w:val="000000"/>
                <w:spacing w:val="-6"/>
                <w:kern w:val="21"/>
                <w:sz w:val="24"/>
                <w:szCs w:val="21"/>
              </w:rPr>
              <w:t>现有工程</w:t>
            </w:r>
          </w:p>
          <w:p w14:paraId="0E557601">
            <w:pPr>
              <w:pStyle w:val="37"/>
              <w:spacing w:beforeLines="0" w:afterLines="0" w:line="240" w:lineRule="auto"/>
              <w:rPr>
                <w:rFonts w:ascii="Times New Roman" w:eastAsia="黑体"/>
                <w:snapToGrid w:val="0"/>
                <w:color w:val="000000"/>
                <w:spacing w:val="-6"/>
                <w:kern w:val="21"/>
                <w:sz w:val="24"/>
                <w:szCs w:val="21"/>
              </w:rPr>
            </w:pPr>
            <w:r>
              <w:rPr>
                <w:rFonts w:ascii="Times New Roman" w:eastAsia="黑体"/>
                <w:snapToGrid w:val="0"/>
                <w:color w:val="000000"/>
                <w:spacing w:val="-6"/>
                <w:kern w:val="21"/>
                <w:sz w:val="24"/>
                <w:szCs w:val="21"/>
              </w:rPr>
              <w:t>许可排放量</w:t>
            </w:r>
          </w:p>
          <w:p w14:paraId="5AEC06B3">
            <w:pPr>
              <w:pStyle w:val="37"/>
              <w:spacing w:beforeLines="0" w:afterLines="0" w:line="240" w:lineRule="auto"/>
              <w:rPr>
                <w:rFonts w:ascii="Times New Roman" w:eastAsia="黑体"/>
                <w:snapToGrid w:val="0"/>
                <w:color w:val="000000"/>
                <w:spacing w:val="-6"/>
                <w:kern w:val="21"/>
                <w:sz w:val="24"/>
                <w:szCs w:val="21"/>
              </w:rPr>
            </w:pPr>
            <w:r>
              <w:rPr>
                <w:rFonts w:ascii="Times New Roman" w:eastAsia="黑体"/>
                <w:snapToGrid w:val="0"/>
                <w:color w:val="000000"/>
                <w:spacing w:val="-6"/>
                <w:kern w:val="21"/>
                <w:sz w:val="24"/>
                <w:szCs w:val="21"/>
              </w:rPr>
              <w:fldChar w:fldCharType="begin"/>
            </w:r>
            <w:r>
              <w:rPr>
                <w:rFonts w:ascii="Times New Roman" w:eastAsia="黑体"/>
                <w:snapToGrid w:val="0"/>
                <w:color w:val="000000"/>
                <w:spacing w:val="-6"/>
                <w:kern w:val="21"/>
                <w:sz w:val="24"/>
                <w:szCs w:val="21"/>
              </w:rPr>
              <w:instrText xml:space="preserve"> = 2 \* GB3 \* MERGEFORMAT </w:instrText>
            </w:r>
            <w:r>
              <w:rPr>
                <w:rFonts w:ascii="Times New Roman" w:eastAsia="黑体"/>
                <w:snapToGrid w:val="0"/>
                <w:color w:val="000000"/>
                <w:spacing w:val="-6"/>
                <w:kern w:val="21"/>
                <w:sz w:val="24"/>
                <w:szCs w:val="21"/>
              </w:rPr>
              <w:fldChar w:fldCharType="separate"/>
            </w:r>
            <w:r>
              <w:rPr>
                <w:rFonts w:ascii="Times New Roman" w:eastAsia="黑体"/>
                <w:snapToGrid w:val="0"/>
                <w:color w:val="000000"/>
                <w:spacing w:val="-6"/>
                <w:kern w:val="21"/>
                <w:sz w:val="24"/>
                <w:szCs w:val="21"/>
              </w:rPr>
              <w:t>②</w:t>
            </w:r>
            <w:r>
              <w:rPr>
                <w:rFonts w:ascii="Times New Roman" w:eastAsia="黑体"/>
                <w:snapToGrid w:val="0"/>
                <w:color w:val="000000"/>
                <w:spacing w:val="-6"/>
                <w:kern w:val="21"/>
                <w:sz w:val="24"/>
                <w:szCs w:val="21"/>
              </w:rPr>
              <w:fldChar w:fldCharType="end"/>
            </w:r>
          </w:p>
        </w:tc>
        <w:tc>
          <w:tcPr>
            <w:tcW w:w="1701" w:type="dxa"/>
            <w:noWrap/>
            <w:tcMar>
              <w:left w:w="28" w:type="dxa"/>
              <w:right w:w="28" w:type="dxa"/>
            </w:tcMar>
            <w:vAlign w:val="center"/>
          </w:tcPr>
          <w:p w14:paraId="76F2BF76">
            <w:pPr>
              <w:pStyle w:val="37"/>
              <w:spacing w:beforeLines="0" w:afterLines="0" w:line="240" w:lineRule="auto"/>
              <w:rPr>
                <w:rFonts w:ascii="Times New Roman" w:eastAsia="黑体"/>
                <w:snapToGrid w:val="0"/>
                <w:color w:val="000000"/>
                <w:spacing w:val="-6"/>
                <w:kern w:val="21"/>
                <w:sz w:val="24"/>
                <w:szCs w:val="21"/>
              </w:rPr>
            </w:pPr>
            <w:r>
              <w:rPr>
                <w:rFonts w:ascii="Times New Roman" w:eastAsia="黑体"/>
                <w:snapToGrid w:val="0"/>
                <w:color w:val="000000"/>
                <w:spacing w:val="-6"/>
                <w:kern w:val="21"/>
                <w:sz w:val="24"/>
                <w:szCs w:val="21"/>
              </w:rPr>
              <w:t>在建工程</w:t>
            </w:r>
          </w:p>
          <w:p w14:paraId="0DD7DF0B">
            <w:pPr>
              <w:pStyle w:val="37"/>
              <w:spacing w:beforeLines="0" w:afterLines="0" w:line="240" w:lineRule="auto"/>
              <w:rPr>
                <w:rFonts w:ascii="Times New Roman" w:eastAsia="黑体"/>
                <w:snapToGrid w:val="0"/>
                <w:color w:val="000000"/>
                <w:spacing w:val="-6"/>
                <w:kern w:val="21"/>
                <w:sz w:val="24"/>
                <w:szCs w:val="21"/>
              </w:rPr>
            </w:pPr>
            <w:r>
              <w:rPr>
                <w:rFonts w:ascii="Times New Roman" w:eastAsia="黑体"/>
                <w:snapToGrid w:val="0"/>
                <w:color w:val="000000"/>
                <w:spacing w:val="-6"/>
                <w:kern w:val="21"/>
                <w:sz w:val="24"/>
                <w:szCs w:val="21"/>
              </w:rPr>
              <w:t>排放量（固体废物产生量）</w:t>
            </w:r>
            <w:r>
              <w:rPr>
                <w:rFonts w:ascii="Times New Roman" w:eastAsia="黑体"/>
                <w:snapToGrid w:val="0"/>
                <w:color w:val="000000"/>
                <w:spacing w:val="-6"/>
                <w:kern w:val="21"/>
                <w:sz w:val="24"/>
                <w:szCs w:val="21"/>
              </w:rPr>
              <w:fldChar w:fldCharType="begin"/>
            </w:r>
            <w:r>
              <w:rPr>
                <w:rFonts w:ascii="Times New Roman" w:eastAsia="黑体"/>
                <w:snapToGrid w:val="0"/>
                <w:color w:val="000000"/>
                <w:spacing w:val="-6"/>
                <w:kern w:val="21"/>
                <w:sz w:val="24"/>
                <w:szCs w:val="21"/>
              </w:rPr>
              <w:instrText xml:space="preserve"> = 3 \* GB3 \* MERGEFORMAT </w:instrText>
            </w:r>
            <w:r>
              <w:rPr>
                <w:rFonts w:ascii="Times New Roman" w:eastAsia="黑体"/>
                <w:snapToGrid w:val="0"/>
                <w:color w:val="000000"/>
                <w:spacing w:val="-6"/>
                <w:kern w:val="21"/>
                <w:sz w:val="24"/>
                <w:szCs w:val="21"/>
              </w:rPr>
              <w:fldChar w:fldCharType="separate"/>
            </w:r>
            <w:r>
              <w:rPr>
                <w:rFonts w:ascii="Times New Roman" w:eastAsia="黑体"/>
                <w:color w:val="000000"/>
                <w:kern w:val="2"/>
                <w:sz w:val="24"/>
                <w:szCs w:val="21"/>
              </w:rPr>
              <w:t>③</w:t>
            </w:r>
            <w:r>
              <w:rPr>
                <w:rFonts w:ascii="Times New Roman" w:eastAsia="黑体"/>
                <w:snapToGrid w:val="0"/>
                <w:color w:val="000000"/>
                <w:spacing w:val="-6"/>
                <w:kern w:val="21"/>
                <w:sz w:val="24"/>
                <w:szCs w:val="21"/>
              </w:rPr>
              <w:fldChar w:fldCharType="end"/>
            </w:r>
          </w:p>
        </w:tc>
        <w:tc>
          <w:tcPr>
            <w:tcW w:w="1559" w:type="dxa"/>
            <w:noWrap/>
            <w:tcMar>
              <w:left w:w="28" w:type="dxa"/>
              <w:right w:w="28" w:type="dxa"/>
            </w:tcMar>
            <w:vAlign w:val="center"/>
          </w:tcPr>
          <w:p w14:paraId="5BAFA940">
            <w:pPr>
              <w:pStyle w:val="37"/>
              <w:spacing w:beforeLines="0" w:afterLines="0" w:line="240" w:lineRule="auto"/>
              <w:rPr>
                <w:rFonts w:ascii="Times New Roman" w:eastAsia="黑体"/>
                <w:snapToGrid w:val="0"/>
                <w:color w:val="000000"/>
                <w:spacing w:val="-6"/>
                <w:kern w:val="21"/>
                <w:sz w:val="24"/>
                <w:szCs w:val="21"/>
              </w:rPr>
            </w:pPr>
            <w:r>
              <w:rPr>
                <w:rFonts w:ascii="Times New Roman" w:eastAsia="黑体"/>
                <w:snapToGrid w:val="0"/>
                <w:color w:val="000000"/>
                <w:spacing w:val="-6"/>
                <w:kern w:val="21"/>
                <w:sz w:val="24"/>
                <w:szCs w:val="21"/>
              </w:rPr>
              <w:t>本项目</w:t>
            </w:r>
          </w:p>
          <w:p w14:paraId="6F02CA16">
            <w:pPr>
              <w:pStyle w:val="37"/>
              <w:spacing w:beforeLines="0" w:afterLines="0" w:line="240" w:lineRule="auto"/>
              <w:rPr>
                <w:rFonts w:ascii="Times New Roman" w:eastAsia="黑体"/>
                <w:snapToGrid w:val="0"/>
                <w:color w:val="000000"/>
                <w:spacing w:val="-6"/>
                <w:kern w:val="21"/>
                <w:sz w:val="24"/>
                <w:szCs w:val="21"/>
              </w:rPr>
            </w:pPr>
            <w:r>
              <w:rPr>
                <w:rFonts w:ascii="Times New Roman" w:eastAsia="黑体"/>
                <w:snapToGrid w:val="0"/>
                <w:color w:val="000000"/>
                <w:spacing w:val="-6"/>
                <w:kern w:val="21"/>
                <w:sz w:val="24"/>
                <w:szCs w:val="21"/>
              </w:rPr>
              <w:t>排放量（固体废物产生量）</w:t>
            </w:r>
            <w:r>
              <w:rPr>
                <w:rFonts w:ascii="Times New Roman" w:eastAsia="黑体"/>
                <w:snapToGrid w:val="0"/>
                <w:color w:val="000000"/>
                <w:spacing w:val="-6"/>
                <w:kern w:val="21"/>
                <w:sz w:val="24"/>
                <w:szCs w:val="21"/>
              </w:rPr>
              <w:fldChar w:fldCharType="begin"/>
            </w:r>
            <w:r>
              <w:rPr>
                <w:rFonts w:ascii="Times New Roman" w:eastAsia="黑体"/>
                <w:snapToGrid w:val="0"/>
                <w:color w:val="000000"/>
                <w:spacing w:val="-6"/>
                <w:kern w:val="21"/>
                <w:sz w:val="24"/>
                <w:szCs w:val="21"/>
              </w:rPr>
              <w:instrText xml:space="preserve"> = 4 \* GB3 \* MERGEFORMAT </w:instrText>
            </w:r>
            <w:r>
              <w:rPr>
                <w:rFonts w:ascii="Times New Roman" w:eastAsia="黑体"/>
                <w:snapToGrid w:val="0"/>
                <w:color w:val="000000"/>
                <w:spacing w:val="-6"/>
                <w:kern w:val="21"/>
                <w:sz w:val="24"/>
                <w:szCs w:val="21"/>
              </w:rPr>
              <w:fldChar w:fldCharType="separate"/>
            </w:r>
            <w:r>
              <w:rPr>
                <w:rFonts w:ascii="Times New Roman" w:eastAsia="黑体"/>
                <w:color w:val="000000"/>
                <w:kern w:val="2"/>
                <w:sz w:val="24"/>
                <w:szCs w:val="21"/>
              </w:rPr>
              <w:t>④</w:t>
            </w:r>
            <w:r>
              <w:rPr>
                <w:rFonts w:ascii="Times New Roman" w:eastAsia="黑体"/>
                <w:snapToGrid w:val="0"/>
                <w:color w:val="000000"/>
                <w:spacing w:val="-6"/>
                <w:kern w:val="21"/>
                <w:sz w:val="24"/>
                <w:szCs w:val="21"/>
              </w:rPr>
              <w:fldChar w:fldCharType="end"/>
            </w:r>
          </w:p>
        </w:tc>
        <w:tc>
          <w:tcPr>
            <w:tcW w:w="1450" w:type="dxa"/>
            <w:noWrap/>
            <w:tcMar>
              <w:left w:w="28" w:type="dxa"/>
              <w:right w:w="28" w:type="dxa"/>
            </w:tcMar>
            <w:vAlign w:val="center"/>
          </w:tcPr>
          <w:p w14:paraId="12D8D41D">
            <w:pPr>
              <w:pStyle w:val="37"/>
              <w:spacing w:beforeLines="0" w:afterLines="0" w:line="240" w:lineRule="auto"/>
              <w:rPr>
                <w:rFonts w:ascii="Times New Roman" w:eastAsia="黑体"/>
                <w:snapToGrid w:val="0"/>
                <w:color w:val="000000"/>
                <w:spacing w:val="-16"/>
                <w:kern w:val="21"/>
                <w:sz w:val="24"/>
                <w:szCs w:val="21"/>
              </w:rPr>
            </w:pPr>
            <w:r>
              <w:rPr>
                <w:rFonts w:ascii="Times New Roman" w:eastAsia="黑体"/>
                <w:snapToGrid w:val="0"/>
                <w:color w:val="000000"/>
                <w:spacing w:val="-16"/>
                <w:kern w:val="21"/>
                <w:sz w:val="24"/>
                <w:szCs w:val="21"/>
              </w:rPr>
              <w:t>以新带老削减量（新建项目不填）</w:t>
            </w:r>
            <w:r>
              <w:rPr>
                <w:rFonts w:ascii="Times New Roman" w:eastAsia="黑体"/>
                <w:snapToGrid w:val="0"/>
                <w:color w:val="000000"/>
                <w:spacing w:val="-16"/>
                <w:kern w:val="21"/>
                <w:sz w:val="24"/>
                <w:szCs w:val="21"/>
              </w:rPr>
              <w:fldChar w:fldCharType="begin"/>
            </w:r>
            <w:r>
              <w:rPr>
                <w:rFonts w:ascii="Times New Roman" w:eastAsia="黑体"/>
                <w:snapToGrid w:val="0"/>
                <w:color w:val="000000"/>
                <w:spacing w:val="-16"/>
                <w:kern w:val="21"/>
                <w:sz w:val="24"/>
                <w:szCs w:val="21"/>
              </w:rPr>
              <w:instrText xml:space="preserve"> = 5 \* GB3 \* MERGEFORMAT </w:instrText>
            </w:r>
            <w:r>
              <w:rPr>
                <w:rFonts w:ascii="Times New Roman" w:eastAsia="黑体"/>
                <w:snapToGrid w:val="0"/>
                <w:color w:val="000000"/>
                <w:spacing w:val="-16"/>
                <w:kern w:val="21"/>
                <w:sz w:val="24"/>
                <w:szCs w:val="21"/>
              </w:rPr>
              <w:fldChar w:fldCharType="separate"/>
            </w:r>
            <w:r>
              <w:rPr>
                <w:rFonts w:ascii="Times New Roman" w:eastAsia="黑体"/>
                <w:color w:val="000000"/>
                <w:kern w:val="2"/>
                <w:sz w:val="24"/>
                <w:szCs w:val="21"/>
              </w:rPr>
              <w:t>⑤</w:t>
            </w:r>
            <w:r>
              <w:rPr>
                <w:rFonts w:ascii="Times New Roman" w:eastAsia="黑体"/>
                <w:snapToGrid w:val="0"/>
                <w:color w:val="000000"/>
                <w:spacing w:val="-16"/>
                <w:kern w:val="21"/>
                <w:sz w:val="24"/>
                <w:szCs w:val="21"/>
              </w:rPr>
              <w:fldChar w:fldCharType="end"/>
            </w:r>
          </w:p>
        </w:tc>
        <w:tc>
          <w:tcPr>
            <w:tcW w:w="1545" w:type="dxa"/>
            <w:noWrap/>
            <w:tcMar>
              <w:left w:w="28" w:type="dxa"/>
              <w:right w:w="28" w:type="dxa"/>
            </w:tcMar>
            <w:vAlign w:val="center"/>
          </w:tcPr>
          <w:p w14:paraId="750A4093">
            <w:pPr>
              <w:pStyle w:val="37"/>
              <w:spacing w:beforeLines="0" w:afterLines="0" w:line="240" w:lineRule="auto"/>
              <w:rPr>
                <w:rFonts w:ascii="Times New Roman" w:eastAsia="黑体"/>
                <w:snapToGrid w:val="0"/>
                <w:color w:val="000000"/>
                <w:spacing w:val="-16"/>
                <w:kern w:val="21"/>
                <w:sz w:val="24"/>
                <w:szCs w:val="21"/>
              </w:rPr>
            </w:pPr>
            <w:r>
              <w:rPr>
                <w:rFonts w:ascii="Times New Roman" w:eastAsia="黑体"/>
                <w:snapToGrid w:val="0"/>
                <w:color w:val="000000"/>
                <w:spacing w:val="-16"/>
                <w:kern w:val="21"/>
                <w:sz w:val="24"/>
                <w:szCs w:val="21"/>
              </w:rPr>
              <w:t>本项目建成后</w:t>
            </w:r>
          </w:p>
          <w:p w14:paraId="6FD7B541">
            <w:pPr>
              <w:pStyle w:val="37"/>
              <w:spacing w:beforeLines="0" w:afterLines="0" w:line="240" w:lineRule="auto"/>
              <w:rPr>
                <w:rFonts w:ascii="Times New Roman" w:eastAsia="黑体"/>
                <w:snapToGrid w:val="0"/>
                <w:color w:val="000000"/>
                <w:spacing w:val="-16"/>
                <w:kern w:val="21"/>
                <w:sz w:val="24"/>
                <w:szCs w:val="21"/>
              </w:rPr>
            </w:pPr>
            <w:r>
              <w:rPr>
                <w:rFonts w:ascii="Times New Roman" w:eastAsia="黑体"/>
                <w:snapToGrid w:val="0"/>
                <w:color w:val="000000"/>
                <w:spacing w:val="-16"/>
                <w:kern w:val="21"/>
                <w:sz w:val="24"/>
                <w:szCs w:val="21"/>
              </w:rPr>
              <w:t>全厂排放量（固体废物产生量）</w:t>
            </w:r>
            <w:r>
              <w:rPr>
                <w:rFonts w:ascii="Times New Roman" w:eastAsia="黑体"/>
                <w:snapToGrid w:val="0"/>
                <w:color w:val="000000"/>
                <w:spacing w:val="-16"/>
                <w:kern w:val="21"/>
                <w:sz w:val="24"/>
                <w:szCs w:val="21"/>
              </w:rPr>
              <w:fldChar w:fldCharType="begin"/>
            </w:r>
            <w:r>
              <w:rPr>
                <w:rFonts w:ascii="Times New Roman" w:eastAsia="黑体"/>
                <w:snapToGrid w:val="0"/>
                <w:color w:val="000000"/>
                <w:spacing w:val="-16"/>
                <w:kern w:val="21"/>
                <w:sz w:val="24"/>
                <w:szCs w:val="21"/>
              </w:rPr>
              <w:instrText xml:space="preserve"> = 6 \* GB3 \* MERGEFORMAT </w:instrText>
            </w:r>
            <w:r>
              <w:rPr>
                <w:rFonts w:ascii="Times New Roman" w:eastAsia="黑体"/>
                <w:snapToGrid w:val="0"/>
                <w:color w:val="000000"/>
                <w:spacing w:val="-16"/>
                <w:kern w:val="21"/>
                <w:sz w:val="24"/>
                <w:szCs w:val="21"/>
              </w:rPr>
              <w:fldChar w:fldCharType="separate"/>
            </w:r>
            <w:r>
              <w:rPr>
                <w:rFonts w:ascii="Times New Roman" w:eastAsia="黑体"/>
                <w:color w:val="000000"/>
                <w:kern w:val="2"/>
                <w:sz w:val="24"/>
                <w:szCs w:val="21"/>
              </w:rPr>
              <w:t>⑥</w:t>
            </w:r>
            <w:r>
              <w:rPr>
                <w:rFonts w:ascii="Times New Roman" w:eastAsia="黑体"/>
                <w:snapToGrid w:val="0"/>
                <w:color w:val="000000"/>
                <w:spacing w:val="-16"/>
                <w:kern w:val="21"/>
                <w:sz w:val="24"/>
                <w:szCs w:val="21"/>
              </w:rPr>
              <w:fldChar w:fldCharType="end"/>
            </w:r>
          </w:p>
        </w:tc>
        <w:tc>
          <w:tcPr>
            <w:tcW w:w="1551" w:type="dxa"/>
            <w:noWrap/>
            <w:tcMar>
              <w:left w:w="28" w:type="dxa"/>
              <w:right w:w="28" w:type="dxa"/>
            </w:tcMar>
            <w:vAlign w:val="center"/>
          </w:tcPr>
          <w:p w14:paraId="1236DE62">
            <w:pPr>
              <w:pStyle w:val="37"/>
              <w:spacing w:beforeLines="0" w:afterLines="0" w:line="240" w:lineRule="auto"/>
              <w:rPr>
                <w:rFonts w:ascii="Times New Roman" w:eastAsia="黑体"/>
                <w:snapToGrid w:val="0"/>
                <w:color w:val="000000"/>
                <w:spacing w:val="-6"/>
                <w:kern w:val="21"/>
                <w:sz w:val="24"/>
                <w:szCs w:val="21"/>
              </w:rPr>
            </w:pPr>
            <w:r>
              <w:rPr>
                <w:rFonts w:ascii="Times New Roman" w:eastAsia="黑体"/>
                <w:snapToGrid w:val="0"/>
                <w:color w:val="000000"/>
                <w:spacing w:val="-6"/>
                <w:kern w:val="21"/>
                <w:sz w:val="24"/>
                <w:szCs w:val="21"/>
              </w:rPr>
              <w:t>变化量</w:t>
            </w:r>
          </w:p>
          <w:p w14:paraId="37316E11">
            <w:pPr>
              <w:pStyle w:val="37"/>
              <w:spacing w:beforeLines="0" w:afterLines="0" w:line="240" w:lineRule="auto"/>
              <w:rPr>
                <w:rFonts w:ascii="Times New Roman" w:eastAsia="黑体"/>
                <w:snapToGrid w:val="0"/>
                <w:color w:val="000000"/>
                <w:spacing w:val="-6"/>
                <w:kern w:val="21"/>
                <w:sz w:val="24"/>
                <w:szCs w:val="21"/>
              </w:rPr>
            </w:pPr>
            <w:r>
              <w:rPr>
                <w:rFonts w:ascii="Times New Roman" w:eastAsia="黑体"/>
                <w:snapToGrid w:val="0"/>
                <w:color w:val="000000"/>
                <w:spacing w:val="-6"/>
                <w:kern w:val="21"/>
                <w:sz w:val="24"/>
                <w:szCs w:val="21"/>
              </w:rPr>
              <w:fldChar w:fldCharType="begin"/>
            </w:r>
            <w:r>
              <w:rPr>
                <w:rFonts w:ascii="Times New Roman" w:eastAsia="黑体"/>
                <w:snapToGrid w:val="0"/>
                <w:color w:val="000000"/>
                <w:spacing w:val="-6"/>
                <w:kern w:val="21"/>
                <w:sz w:val="24"/>
                <w:szCs w:val="21"/>
              </w:rPr>
              <w:instrText xml:space="preserve"> = 7 \* GB3 \* MERGEFORMAT </w:instrText>
            </w:r>
            <w:r>
              <w:rPr>
                <w:rFonts w:ascii="Times New Roman" w:eastAsia="黑体"/>
                <w:snapToGrid w:val="0"/>
                <w:color w:val="000000"/>
                <w:spacing w:val="-6"/>
                <w:kern w:val="21"/>
                <w:sz w:val="24"/>
                <w:szCs w:val="21"/>
              </w:rPr>
              <w:fldChar w:fldCharType="separate"/>
            </w:r>
            <w:r>
              <w:rPr>
                <w:rFonts w:ascii="Times New Roman" w:eastAsia="黑体"/>
                <w:color w:val="000000"/>
                <w:kern w:val="2"/>
                <w:sz w:val="24"/>
                <w:szCs w:val="21"/>
              </w:rPr>
              <w:t>⑦</w:t>
            </w:r>
            <w:r>
              <w:rPr>
                <w:rFonts w:ascii="Times New Roman" w:eastAsia="黑体"/>
                <w:snapToGrid w:val="0"/>
                <w:color w:val="000000"/>
                <w:spacing w:val="-6"/>
                <w:kern w:val="21"/>
                <w:sz w:val="24"/>
                <w:szCs w:val="21"/>
              </w:rPr>
              <w:fldChar w:fldCharType="end"/>
            </w:r>
          </w:p>
        </w:tc>
      </w:tr>
      <w:tr w14:paraId="0FB8FB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restart"/>
            <w:noWrap/>
            <w:vAlign w:val="center"/>
          </w:tcPr>
          <w:p w14:paraId="30DAB468">
            <w:pPr>
              <w:pStyle w:val="37"/>
              <w:spacing w:beforeLines="0" w:afterLines="0" w:line="240" w:lineRule="auto"/>
              <w:rPr>
                <w:rFonts w:ascii="Times New Roman"/>
                <w:snapToGrid w:val="0"/>
                <w:color w:val="000000"/>
                <w:kern w:val="21"/>
                <w:sz w:val="24"/>
                <w:szCs w:val="21"/>
              </w:rPr>
            </w:pPr>
            <w:r>
              <w:rPr>
                <w:rFonts w:ascii="Times New Roman"/>
                <w:snapToGrid w:val="0"/>
                <w:color w:val="000000"/>
                <w:kern w:val="21"/>
                <w:sz w:val="24"/>
                <w:szCs w:val="21"/>
              </w:rPr>
              <w:t>废气</w:t>
            </w:r>
          </w:p>
        </w:tc>
        <w:tc>
          <w:tcPr>
            <w:tcW w:w="794" w:type="dxa"/>
            <w:noWrap/>
            <w:vAlign w:val="center"/>
          </w:tcPr>
          <w:p w14:paraId="4B920DCB">
            <w:pPr>
              <w:pStyle w:val="37"/>
              <w:spacing w:beforeLines="0" w:afterLines="0" w:line="240" w:lineRule="auto"/>
              <w:rPr>
                <w:rFonts w:ascii="Times New Roman"/>
                <w:snapToGrid w:val="0"/>
                <w:color w:val="000000"/>
                <w:kern w:val="21"/>
                <w:sz w:val="24"/>
                <w:szCs w:val="21"/>
              </w:rPr>
            </w:pPr>
            <w:r>
              <w:rPr>
                <w:rFonts w:ascii="Times New Roman"/>
                <w:snapToGrid w:val="0"/>
                <w:color w:val="000000"/>
                <w:kern w:val="21"/>
                <w:sz w:val="24"/>
                <w:szCs w:val="21"/>
              </w:rPr>
              <w:t>有组织</w:t>
            </w:r>
          </w:p>
        </w:tc>
        <w:tc>
          <w:tcPr>
            <w:tcW w:w="1536" w:type="dxa"/>
            <w:noWrap/>
            <w:vAlign w:val="center"/>
          </w:tcPr>
          <w:p w14:paraId="0EDCCCD0">
            <w:pPr>
              <w:jc w:val="center"/>
              <w:rPr>
                <w:color w:val="000000"/>
                <w:szCs w:val="21"/>
              </w:rPr>
            </w:pPr>
            <w:r>
              <w:rPr>
                <w:color w:val="000000"/>
                <w:szCs w:val="21"/>
              </w:rPr>
              <w:t>VOCs（以非甲烷总烃计）</w:t>
            </w:r>
          </w:p>
        </w:tc>
        <w:tc>
          <w:tcPr>
            <w:tcW w:w="1582" w:type="dxa"/>
            <w:noWrap/>
            <w:vAlign w:val="center"/>
          </w:tcPr>
          <w:p w14:paraId="60808BF3">
            <w:pPr>
              <w:jc w:val="center"/>
              <w:rPr>
                <w:color w:val="000000"/>
                <w:szCs w:val="21"/>
              </w:rPr>
            </w:pPr>
            <w:r>
              <w:rPr>
                <w:rFonts w:hint="eastAsia"/>
                <w:color w:val="000000"/>
                <w:szCs w:val="21"/>
              </w:rPr>
              <w:t>/</w:t>
            </w:r>
          </w:p>
        </w:tc>
        <w:tc>
          <w:tcPr>
            <w:tcW w:w="1276" w:type="dxa"/>
            <w:noWrap/>
            <w:vAlign w:val="center"/>
          </w:tcPr>
          <w:p w14:paraId="20B379A5">
            <w:pPr>
              <w:jc w:val="center"/>
              <w:rPr>
                <w:color w:val="000000"/>
                <w:szCs w:val="21"/>
              </w:rPr>
            </w:pPr>
            <w:r>
              <w:rPr>
                <w:rFonts w:hint="eastAsia"/>
                <w:color w:val="000000"/>
                <w:szCs w:val="21"/>
              </w:rPr>
              <w:t>/</w:t>
            </w:r>
          </w:p>
        </w:tc>
        <w:tc>
          <w:tcPr>
            <w:tcW w:w="1701" w:type="dxa"/>
            <w:noWrap/>
            <w:vAlign w:val="center"/>
          </w:tcPr>
          <w:p w14:paraId="4CE7B499">
            <w:pPr>
              <w:jc w:val="center"/>
              <w:rPr>
                <w:color w:val="000000"/>
                <w:szCs w:val="21"/>
              </w:rPr>
            </w:pPr>
            <w:r>
              <w:rPr>
                <w:rFonts w:hint="eastAsia"/>
                <w:color w:val="000000"/>
                <w:szCs w:val="21"/>
              </w:rPr>
              <w:t>/</w:t>
            </w:r>
          </w:p>
        </w:tc>
        <w:tc>
          <w:tcPr>
            <w:tcW w:w="1559" w:type="dxa"/>
            <w:noWrap/>
            <w:vAlign w:val="center"/>
          </w:tcPr>
          <w:p w14:paraId="461CE04E">
            <w:pPr>
              <w:jc w:val="center"/>
              <w:rPr>
                <w:color w:val="auto"/>
                <w:szCs w:val="21"/>
              </w:rPr>
            </w:pPr>
            <w:r>
              <w:rPr>
                <w:rFonts w:hint="eastAsia"/>
                <w:color w:val="000000"/>
                <w:spacing w:val="-9"/>
                <w:szCs w:val="21"/>
                <w:highlight w:val="none"/>
                <w:lang w:val="en-US" w:eastAsia="zh-CN"/>
              </w:rPr>
              <w:t>0.0945</w:t>
            </w:r>
          </w:p>
        </w:tc>
        <w:tc>
          <w:tcPr>
            <w:tcW w:w="1450" w:type="dxa"/>
            <w:noWrap/>
            <w:vAlign w:val="center"/>
          </w:tcPr>
          <w:p w14:paraId="49908ED3">
            <w:pPr>
              <w:jc w:val="center"/>
              <w:rPr>
                <w:color w:val="000000"/>
                <w:szCs w:val="21"/>
              </w:rPr>
            </w:pPr>
            <w:r>
              <w:rPr>
                <w:rFonts w:hint="eastAsia"/>
                <w:color w:val="000000"/>
                <w:szCs w:val="21"/>
              </w:rPr>
              <w:t>/</w:t>
            </w:r>
          </w:p>
        </w:tc>
        <w:tc>
          <w:tcPr>
            <w:tcW w:w="1545" w:type="dxa"/>
            <w:noWrap/>
            <w:vAlign w:val="center"/>
          </w:tcPr>
          <w:p w14:paraId="30C6113F">
            <w:pPr>
              <w:jc w:val="center"/>
              <w:rPr>
                <w:color w:val="000000"/>
                <w:szCs w:val="21"/>
              </w:rPr>
            </w:pPr>
            <w:r>
              <w:rPr>
                <w:rFonts w:hint="eastAsia"/>
                <w:color w:val="000000"/>
                <w:spacing w:val="-9"/>
                <w:szCs w:val="21"/>
                <w:highlight w:val="none"/>
                <w:lang w:val="en-US" w:eastAsia="zh-CN"/>
              </w:rPr>
              <w:t>0.0945</w:t>
            </w:r>
          </w:p>
        </w:tc>
        <w:tc>
          <w:tcPr>
            <w:tcW w:w="1551" w:type="dxa"/>
            <w:noWrap/>
            <w:vAlign w:val="center"/>
          </w:tcPr>
          <w:p w14:paraId="30D64126">
            <w:pPr>
              <w:jc w:val="center"/>
              <w:rPr>
                <w:color w:val="000000"/>
                <w:szCs w:val="21"/>
              </w:rPr>
            </w:pPr>
            <w:r>
              <w:rPr>
                <w:rFonts w:hint="eastAsia"/>
                <w:bCs/>
                <w:color w:val="000000"/>
                <w:kern w:val="0"/>
                <w:szCs w:val="21"/>
                <w:lang w:val="en-US" w:eastAsia="zh-CN"/>
              </w:rPr>
              <w:t>+</w:t>
            </w:r>
            <w:r>
              <w:rPr>
                <w:rFonts w:hint="eastAsia"/>
                <w:color w:val="000000"/>
                <w:spacing w:val="-9"/>
                <w:szCs w:val="21"/>
                <w:highlight w:val="none"/>
                <w:lang w:val="en-US" w:eastAsia="zh-CN"/>
              </w:rPr>
              <w:t>0.0945</w:t>
            </w:r>
          </w:p>
        </w:tc>
      </w:tr>
      <w:tr w14:paraId="4E7C35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continue"/>
            <w:noWrap/>
            <w:vAlign w:val="center"/>
          </w:tcPr>
          <w:p w14:paraId="30F6DA49">
            <w:pPr>
              <w:pStyle w:val="37"/>
              <w:spacing w:beforeLines="0" w:afterLines="0" w:line="240" w:lineRule="auto"/>
              <w:rPr>
                <w:rFonts w:ascii="Times New Roman"/>
                <w:snapToGrid w:val="0"/>
                <w:color w:val="000000"/>
                <w:kern w:val="21"/>
                <w:sz w:val="24"/>
                <w:szCs w:val="21"/>
              </w:rPr>
            </w:pPr>
          </w:p>
        </w:tc>
        <w:tc>
          <w:tcPr>
            <w:tcW w:w="794" w:type="dxa"/>
            <w:vMerge w:val="restart"/>
            <w:noWrap/>
            <w:vAlign w:val="center"/>
          </w:tcPr>
          <w:p w14:paraId="01A54080">
            <w:pPr>
              <w:pStyle w:val="37"/>
              <w:spacing w:beforeLines="0" w:afterLines="0" w:line="240" w:lineRule="auto"/>
              <w:rPr>
                <w:rFonts w:ascii="Times New Roman"/>
                <w:snapToGrid w:val="0"/>
                <w:color w:val="000000"/>
                <w:kern w:val="21"/>
                <w:sz w:val="24"/>
                <w:szCs w:val="21"/>
              </w:rPr>
            </w:pPr>
            <w:r>
              <w:rPr>
                <w:rFonts w:ascii="Times New Roman"/>
                <w:snapToGrid w:val="0"/>
                <w:color w:val="000000"/>
                <w:kern w:val="21"/>
                <w:sz w:val="24"/>
                <w:szCs w:val="21"/>
              </w:rPr>
              <w:t>无组织</w:t>
            </w:r>
          </w:p>
        </w:tc>
        <w:tc>
          <w:tcPr>
            <w:tcW w:w="1536" w:type="dxa"/>
            <w:noWrap/>
            <w:vAlign w:val="center"/>
          </w:tcPr>
          <w:p w14:paraId="45212593">
            <w:pPr>
              <w:jc w:val="center"/>
              <w:rPr>
                <w:color w:val="000000"/>
                <w:szCs w:val="21"/>
              </w:rPr>
            </w:pPr>
            <w:r>
              <w:rPr>
                <w:color w:val="000000"/>
                <w:szCs w:val="21"/>
              </w:rPr>
              <w:t>VOCs（以非甲烷总烃计）</w:t>
            </w:r>
          </w:p>
        </w:tc>
        <w:tc>
          <w:tcPr>
            <w:tcW w:w="1582" w:type="dxa"/>
            <w:noWrap/>
            <w:vAlign w:val="center"/>
          </w:tcPr>
          <w:p w14:paraId="2B05ACCB">
            <w:pPr>
              <w:jc w:val="center"/>
              <w:rPr>
                <w:color w:val="000000"/>
                <w:szCs w:val="21"/>
              </w:rPr>
            </w:pPr>
            <w:r>
              <w:rPr>
                <w:rFonts w:hint="eastAsia"/>
                <w:color w:val="000000"/>
                <w:szCs w:val="21"/>
              </w:rPr>
              <w:t>/</w:t>
            </w:r>
          </w:p>
        </w:tc>
        <w:tc>
          <w:tcPr>
            <w:tcW w:w="1276" w:type="dxa"/>
            <w:noWrap/>
            <w:vAlign w:val="center"/>
          </w:tcPr>
          <w:p w14:paraId="6BDC26C5">
            <w:pPr>
              <w:jc w:val="center"/>
              <w:rPr>
                <w:color w:val="000000"/>
                <w:szCs w:val="21"/>
              </w:rPr>
            </w:pPr>
            <w:r>
              <w:rPr>
                <w:rFonts w:hint="eastAsia"/>
                <w:color w:val="000000"/>
                <w:szCs w:val="21"/>
              </w:rPr>
              <w:t>/</w:t>
            </w:r>
          </w:p>
        </w:tc>
        <w:tc>
          <w:tcPr>
            <w:tcW w:w="1701" w:type="dxa"/>
            <w:noWrap/>
            <w:vAlign w:val="center"/>
          </w:tcPr>
          <w:p w14:paraId="2ECC107F">
            <w:pPr>
              <w:jc w:val="center"/>
              <w:rPr>
                <w:color w:val="000000"/>
                <w:szCs w:val="21"/>
              </w:rPr>
            </w:pPr>
            <w:r>
              <w:rPr>
                <w:rFonts w:hint="eastAsia"/>
                <w:color w:val="000000"/>
                <w:szCs w:val="21"/>
              </w:rPr>
              <w:t>/</w:t>
            </w:r>
          </w:p>
        </w:tc>
        <w:tc>
          <w:tcPr>
            <w:tcW w:w="1559" w:type="dxa"/>
            <w:noWrap/>
            <w:vAlign w:val="center"/>
          </w:tcPr>
          <w:p w14:paraId="7617C290">
            <w:pPr>
              <w:jc w:val="center"/>
              <w:rPr>
                <w:color w:val="auto"/>
                <w:szCs w:val="21"/>
              </w:rPr>
            </w:pPr>
            <w:r>
              <w:rPr>
                <w:rFonts w:hint="eastAsia"/>
                <w:color w:val="auto"/>
                <w:spacing w:val="-9"/>
                <w:szCs w:val="21"/>
                <w:lang w:val="en-US" w:eastAsia="zh-CN"/>
              </w:rPr>
              <w:t>0.2362</w:t>
            </w:r>
          </w:p>
        </w:tc>
        <w:tc>
          <w:tcPr>
            <w:tcW w:w="1450" w:type="dxa"/>
            <w:noWrap/>
            <w:vAlign w:val="center"/>
          </w:tcPr>
          <w:p w14:paraId="04045D07">
            <w:pPr>
              <w:jc w:val="center"/>
              <w:rPr>
                <w:color w:val="000000"/>
                <w:szCs w:val="21"/>
              </w:rPr>
            </w:pPr>
            <w:r>
              <w:rPr>
                <w:rFonts w:hint="eastAsia"/>
                <w:color w:val="000000"/>
                <w:szCs w:val="21"/>
              </w:rPr>
              <w:t>/</w:t>
            </w:r>
          </w:p>
        </w:tc>
        <w:tc>
          <w:tcPr>
            <w:tcW w:w="1545" w:type="dxa"/>
            <w:noWrap/>
            <w:vAlign w:val="center"/>
          </w:tcPr>
          <w:p w14:paraId="7E399147">
            <w:pPr>
              <w:jc w:val="center"/>
              <w:rPr>
                <w:color w:val="000000"/>
                <w:szCs w:val="21"/>
              </w:rPr>
            </w:pPr>
            <w:r>
              <w:rPr>
                <w:rFonts w:hint="eastAsia"/>
                <w:color w:val="auto"/>
                <w:spacing w:val="-9"/>
                <w:szCs w:val="21"/>
                <w:lang w:val="en-US" w:eastAsia="zh-CN"/>
              </w:rPr>
              <w:t>0.2362</w:t>
            </w:r>
          </w:p>
        </w:tc>
        <w:tc>
          <w:tcPr>
            <w:tcW w:w="1551" w:type="dxa"/>
            <w:noWrap/>
            <w:vAlign w:val="center"/>
          </w:tcPr>
          <w:p w14:paraId="176E6210">
            <w:pPr>
              <w:jc w:val="center"/>
              <w:rPr>
                <w:color w:val="000000"/>
                <w:szCs w:val="21"/>
              </w:rPr>
            </w:pPr>
            <w:r>
              <w:rPr>
                <w:rFonts w:hint="eastAsia"/>
                <w:bCs/>
                <w:color w:val="000000"/>
                <w:kern w:val="0"/>
                <w:szCs w:val="21"/>
                <w:lang w:val="en-US" w:eastAsia="zh-CN"/>
              </w:rPr>
              <w:t>+</w:t>
            </w:r>
            <w:r>
              <w:rPr>
                <w:rFonts w:hint="eastAsia"/>
                <w:color w:val="auto"/>
                <w:spacing w:val="-9"/>
                <w:szCs w:val="21"/>
                <w:lang w:val="en-US" w:eastAsia="zh-CN"/>
              </w:rPr>
              <w:t>0.2362</w:t>
            </w:r>
          </w:p>
        </w:tc>
      </w:tr>
      <w:tr w14:paraId="1B3377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continue"/>
            <w:noWrap/>
            <w:vAlign w:val="center"/>
          </w:tcPr>
          <w:p w14:paraId="7AE615C6">
            <w:pPr>
              <w:pStyle w:val="37"/>
              <w:spacing w:beforeLines="0" w:afterLines="0" w:line="240" w:lineRule="auto"/>
              <w:rPr>
                <w:rFonts w:ascii="Times New Roman"/>
                <w:snapToGrid w:val="0"/>
                <w:color w:val="000000"/>
                <w:kern w:val="21"/>
                <w:sz w:val="24"/>
                <w:szCs w:val="21"/>
              </w:rPr>
            </w:pPr>
          </w:p>
        </w:tc>
        <w:tc>
          <w:tcPr>
            <w:tcW w:w="794" w:type="dxa"/>
            <w:vMerge w:val="continue"/>
            <w:noWrap/>
            <w:vAlign w:val="center"/>
          </w:tcPr>
          <w:p w14:paraId="2CD33A83">
            <w:pPr>
              <w:pStyle w:val="37"/>
              <w:spacing w:beforeLines="0" w:afterLines="0" w:line="240" w:lineRule="auto"/>
              <w:rPr>
                <w:rFonts w:ascii="Times New Roman"/>
                <w:snapToGrid w:val="0"/>
                <w:color w:val="000000"/>
                <w:kern w:val="21"/>
                <w:sz w:val="24"/>
                <w:szCs w:val="21"/>
              </w:rPr>
            </w:pPr>
          </w:p>
        </w:tc>
        <w:tc>
          <w:tcPr>
            <w:tcW w:w="1536" w:type="dxa"/>
            <w:noWrap/>
            <w:vAlign w:val="center"/>
          </w:tcPr>
          <w:p w14:paraId="7B416E3E">
            <w:pPr>
              <w:jc w:val="center"/>
              <w:rPr>
                <w:rFonts w:hint="eastAsia" w:eastAsia="宋体"/>
                <w:color w:val="000000"/>
                <w:szCs w:val="21"/>
                <w:lang w:val="en-US" w:eastAsia="zh-CN"/>
              </w:rPr>
            </w:pPr>
            <w:r>
              <w:rPr>
                <w:rFonts w:hint="eastAsia"/>
                <w:color w:val="000000"/>
                <w:szCs w:val="21"/>
                <w:lang w:val="en-US" w:eastAsia="zh-CN"/>
              </w:rPr>
              <w:t>颗粒物</w:t>
            </w:r>
          </w:p>
        </w:tc>
        <w:tc>
          <w:tcPr>
            <w:tcW w:w="1582" w:type="dxa"/>
            <w:noWrap/>
            <w:vAlign w:val="center"/>
          </w:tcPr>
          <w:p w14:paraId="56EEA2B3">
            <w:pPr>
              <w:jc w:val="center"/>
              <w:rPr>
                <w:rFonts w:hint="eastAsia"/>
                <w:color w:val="000000"/>
                <w:szCs w:val="21"/>
              </w:rPr>
            </w:pPr>
            <w:r>
              <w:rPr>
                <w:rFonts w:hint="eastAsia"/>
                <w:color w:val="000000"/>
                <w:szCs w:val="21"/>
              </w:rPr>
              <w:t>/</w:t>
            </w:r>
          </w:p>
        </w:tc>
        <w:tc>
          <w:tcPr>
            <w:tcW w:w="1276" w:type="dxa"/>
            <w:noWrap/>
            <w:vAlign w:val="center"/>
          </w:tcPr>
          <w:p w14:paraId="32AAAAB6">
            <w:pPr>
              <w:jc w:val="center"/>
              <w:rPr>
                <w:rFonts w:hint="eastAsia"/>
                <w:color w:val="000000"/>
                <w:szCs w:val="21"/>
              </w:rPr>
            </w:pPr>
            <w:r>
              <w:rPr>
                <w:rFonts w:hint="eastAsia"/>
                <w:color w:val="000000"/>
                <w:szCs w:val="21"/>
              </w:rPr>
              <w:t>/</w:t>
            </w:r>
          </w:p>
        </w:tc>
        <w:tc>
          <w:tcPr>
            <w:tcW w:w="1701" w:type="dxa"/>
            <w:noWrap/>
            <w:vAlign w:val="center"/>
          </w:tcPr>
          <w:p w14:paraId="0A1EF402">
            <w:pPr>
              <w:jc w:val="center"/>
              <w:rPr>
                <w:rFonts w:hint="eastAsia"/>
                <w:color w:val="000000"/>
                <w:szCs w:val="21"/>
              </w:rPr>
            </w:pPr>
            <w:r>
              <w:rPr>
                <w:rFonts w:hint="eastAsia"/>
                <w:color w:val="000000"/>
                <w:szCs w:val="21"/>
              </w:rPr>
              <w:t>/</w:t>
            </w:r>
          </w:p>
        </w:tc>
        <w:tc>
          <w:tcPr>
            <w:tcW w:w="1559" w:type="dxa"/>
            <w:noWrap/>
            <w:vAlign w:val="center"/>
          </w:tcPr>
          <w:p w14:paraId="184048EA">
            <w:pPr>
              <w:jc w:val="center"/>
              <w:rPr>
                <w:rFonts w:hint="eastAsia"/>
                <w:color w:val="auto"/>
                <w:szCs w:val="21"/>
              </w:rPr>
            </w:pPr>
            <w:r>
              <w:rPr>
                <w:rFonts w:hint="eastAsia"/>
                <w:color w:val="auto"/>
                <w:spacing w:val="-9"/>
                <w:szCs w:val="21"/>
                <w:lang w:val="en-US" w:eastAsia="zh-CN"/>
              </w:rPr>
              <w:t>0.0075</w:t>
            </w:r>
          </w:p>
        </w:tc>
        <w:tc>
          <w:tcPr>
            <w:tcW w:w="1450" w:type="dxa"/>
            <w:noWrap/>
            <w:vAlign w:val="center"/>
          </w:tcPr>
          <w:p w14:paraId="3BC77992">
            <w:pPr>
              <w:jc w:val="center"/>
              <w:rPr>
                <w:rFonts w:hint="eastAsia"/>
                <w:color w:val="000000"/>
                <w:szCs w:val="21"/>
              </w:rPr>
            </w:pPr>
            <w:r>
              <w:rPr>
                <w:rFonts w:hint="eastAsia"/>
                <w:color w:val="000000"/>
                <w:szCs w:val="21"/>
              </w:rPr>
              <w:t>/</w:t>
            </w:r>
          </w:p>
        </w:tc>
        <w:tc>
          <w:tcPr>
            <w:tcW w:w="1545" w:type="dxa"/>
            <w:noWrap/>
            <w:vAlign w:val="center"/>
          </w:tcPr>
          <w:p w14:paraId="6718ABE9">
            <w:pPr>
              <w:jc w:val="center"/>
              <w:rPr>
                <w:rFonts w:hint="eastAsia"/>
                <w:color w:val="000000"/>
                <w:szCs w:val="21"/>
              </w:rPr>
            </w:pPr>
            <w:r>
              <w:rPr>
                <w:rFonts w:hint="eastAsia"/>
                <w:color w:val="auto"/>
                <w:spacing w:val="-9"/>
                <w:szCs w:val="21"/>
                <w:lang w:val="en-US" w:eastAsia="zh-CN"/>
              </w:rPr>
              <w:t>0.0075</w:t>
            </w:r>
          </w:p>
        </w:tc>
        <w:tc>
          <w:tcPr>
            <w:tcW w:w="1551" w:type="dxa"/>
            <w:noWrap/>
            <w:vAlign w:val="center"/>
          </w:tcPr>
          <w:p w14:paraId="3174EA7F">
            <w:pPr>
              <w:jc w:val="center"/>
              <w:rPr>
                <w:rFonts w:hint="eastAsia"/>
                <w:color w:val="000000"/>
                <w:szCs w:val="21"/>
              </w:rPr>
            </w:pPr>
            <w:r>
              <w:rPr>
                <w:rFonts w:hint="eastAsia"/>
                <w:bCs/>
                <w:color w:val="000000"/>
                <w:kern w:val="0"/>
                <w:szCs w:val="21"/>
                <w:lang w:val="en-US" w:eastAsia="zh-CN"/>
              </w:rPr>
              <w:t>+</w:t>
            </w:r>
            <w:r>
              <w:rPr>
                <w:rFonts w:hint="eastAsia"/>
                <w:color w:val="auto"/>
                <w:spacing w:val="-9"/>
                <w:szCs w:val="21"/>
                <w:lang w:val="en-US" w:eastAsia="zh-CN"/>
              </w:rPr>
              <w:t>0.0075</w:t>
            </w:r>
          </w:p>
        </w:tc>
      </w:tr>
      <w:tr w14:paraId="0DD440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restart"/>
            <w:noWrap/>
            <w:vAlign w:val="center"/>
          </w:tcPr>
          <w:p w14:paraId="57DC0BC0">
            <w:pPr>
              <w:pStyle w:val="37"/>
              <w:spacing w:beforeLines="0" w:afterLines="0" w:line="240" w:lineRule="auto"/>
              <w:rPr>
                <w:rFonts w:ascii="Times New Roman"/>
                <w:snapToGrid w:val="0"/>
                <w:color w:val="000000"/>
                <w:kern w:val="21"/>
                <w:sz w:val="24"/>
                <w:szCs w:val="21"/>
              </w:rPr>
            </w:pPr>
            <w:r>
              <w:rPr>
                <w:rFonts w:ascii="Times New Roman"/>
                <w:snapToGrid w:val="0"/>
                <w:color w:val="000000"/>
                <w:kern w:val="21"/>
                <w:sz w:val="24"/>
                <w:szCs w:val="21"/>
              </w:rPr>
              <w:t>废水</w:t>
            </w:r>
          </w:p>
        </w:tc>
        <w:tc>
          <w:tcPr>
            <w:tcW w:w="794" w:type="dxa"/>
            <w:vMerge w:val="restart"/>
            <w:noWrap/>
            <w:vAlign w:val="center"/>
          </w:tcPr>
          <w:p w14:paraId="7E04BCBE">
            <w:pPr>
              <w:pStyle w:val="37"/>
              <w:spacing w:beforeLines="0" w:afterLines="0" w:line="240" w:lineRule="auto"/>
              <w:rPr>
                <w:rFonts w:ascii="Times New Roman"/>
                <w:snapToGrid w:val="0"/>
                <w:color w:val="000000"/>
                <w:kern w:val="21"/>
                <w:sz w:val="24"/>
                <w:szCs w:val="21"/>
              </w:rPr>
            </w:pPr>
            <w:r>
              <w:rPr>
                <w:rFonts w:ascii="Times New Roman"/>
                <w:snapToGrid w:val="0"/>
                <w:color w:val="000000"/>
                <w:kern w:val="21"/>
                <w:sz w:val="24"/>
                <w:szCs w:val="21"/>
              </w:rPr>
              <w:t>生活污水</w:t>
            </w:r>
          </w:p>
        </w:tc>
        <w:tc>
          <w:tcPr>
            <w:tcW w:w="1536" w:type="dxa"/>
            <w:noWrap/>
            <w:vAlign w:val="center"/>
          </w:tcPr>
          <w:p w14:paraId="5E86DB88">
            <w:pPr>
              <w:snapToGrid w:val="0"/>
              <w:jc w:val="center"/>
              <w:rPr>
                <w:color w:val="000000"/>
                <w:szCs w:val="21"/>
              </w:rPr>
            </w:pPr>
            <w:r>
              <w:rPr>
                <w:color w:val="000000"/>
                <w:szCs w:val="21"/>
              </w:rPr>
              <w:t>废水量</w:t>
            </w:r>
          </w:p>
        </w:tc>
        <w:tc>
          <w:tcPr>
            <w:tcW w:w="1582" w:type="dxa"/>
            <w:noWrap/>
            <w:vAlign w:val="center"/>
          </w:tcPr>
          <w:p w14:paraId="37D4DAA1">
            <w:pPr>
              <w:jc w:val="center"/>
              <w:rPr>
                <w:color w:val="000000"/>
                <w:kern w:val="10"/>
                <w:szCs w:val="21"/>
              </w:rPr>
            </w:pPr>
            <w:r>
              <w:rPr>
                <w:rFonts w:hint="eastAsia"/>
                <w:color w:val="000000"/>
                <w:szCs w:val="21"/>
              </w:rPr>
              <w:t>/</w:t>
            </w:r>
          </w:p>
        </w:tc>
        <w:tc>
          <w:tcPr>
            <w:tcW w:w="1276" w:type="dxa"/>
            <w:noWrap/>
            <w:vAlign w:val="center"/>
          </w:tcPr>
          <w:p w14:paraId="63DB3DAA">
            <w:pPr>
              <w:jc w:val="center"/>
              <w:rPr>
                <w:color w:val="000000"/>
                <w:kern w:val="10"/>
                <w:szCs w:val="21"/>
              </w:rPr>
            </w:pPr>
            <w:r>
              <w:rPr>
                <w:rFonts w:hint="eastAsia"/>
                <w:color w:val="000000"/>
                <w:szCs w:val="21"/>
              </w:rPr>
              <w:t>/</w:t>
            </w:r>
          </w:p>
        </w:tc>
        <w:tc>
          <w:tcPr>
            <w:tcW w:w="1701" w:type="dxa"/>
            <w:noWrap/>
            <w:vAlign w:val="center"/>
          </w:tcPr>
          <w:p w14:paraId="2302DD53">
            <w:pPr>
              <w:jc w:val="center"/>
              <w:rPr>
                <w:color w:val="000000"/>
                <w:szCs w:val="21"/>
              </w:rPr>
            </w:pPr>
            <w:r>
              <w:rPr>
                <w:rFonts w:hint="eastAsia"/>
                <w:color w:val="000000"/>
                <w:szCs w:val="21"/>
              </w:rPr>
              <w:t>/</w:t>
            </w:r>
          </w:p>
        </w:tc>
        <w:tc>
          <w:tcPr>
            <w:tcW w:w="1559" w:type="dxa"/>
            <w:noWrap/>
            <w:vAlign w:val="center"/>
          </w:tcPr>
          <w:p w14:paraId="4AA13E20">
            <w:pPr>
              <w:jc w:val="center"/>
              <w:rPr>
                <w:rFonts w:hint="default" w:eastAsia="宋体"/>
                <w:bCs/>
                <w:color w:val="000000"/>
                <w:kern w:val="0"/>
                <w:szCs w:val="21"/>
                <w:lang w:val="en-US" w:eastAsia="zh-CN"/>
              </w:rPr>
            </w:pPr>
            <w:r>
              <w:rPr>
                <w:rFonts w:hint="eastAsia"/>
                <w:bCs/>
                <w:color w:val="000000"/>
                <w:kern w:val="0"/>
                <w:szCs w:val="21"/>
                <w:lang w:val="en-US" w:eastAsia="zh-CN"/>
              </w:rPr>
              <w:t>540</w:t>
            </w:r>
          </w:p>
        </w:tc>
        <w:tc>
          <w:tcPr>
            <w:tcW w:w="1450" w:type="dxa"/>
            <w:noWrap/>
            <w:vAlign w:val="center"/>
          </w:tcPr>
          <w:p w14:paraId="154444DD">
            <w:pPr>
              <w:jc w:val="center"/>
              <w:rPr>
                <w:color w:val="000000"/>
                <w:szCs w:val="21"/>
              </w:rPr>
            </w:pPr>
            <w:r>
              <w:rPr>
                <w:rFonts w:hint="eastAsia"/>
                <w:color w:val="000000"/>
                <w:szCs w:val="21"/>
              </w:rPr>
              <w:t>/</w:t>
            </w:r>
          </w:p>
        </w:tc>
        <w:tc>
          <w:tcPr>
            <w:tcW w:w="1545" w:type="dxa"/>
            <w:noWrap/>
            <w:vAlign w:val="center"/>
          </w:tcPr>
          <w:p w14:paraId="0541BBB9">
            <w:pPr>
              <w:jc w:val="center"/>
              <w:rPr>
                <w:bCs/>
                <w:color w:val="000000"/>
                <w:kern w:val="0"/>
                <w:szCs w:val="21"/>
              </w:rPr>
            </w:pPr>
            <w:r>
              <w:rPr>
                <w:rFonts w:hint="eastAsia"/>
                <w:bCs/>
                <w:color w:val="000000"/>
                <w:kern w:val="0"/>
                <w:szCs w:val="21"/>
                <w:lang w:val="en-US" w:eastAsia="zh-CN"/>
              </w:rPr>
              <w:t>540</w:t>
            </w:r>
          </w:p>
        </w:tc>
        <w:tc>
          <w:tcPr>
            <w:tcW w:w="1551" w:type="dxa"/>
            <w:noWrap/>
            <w:vAlign w:val="center"/>
          </w:tcPr>
          <w:p w14:paraId="6789731F">
            <w:pPr>
              <w:jc w:val="center"/>
              <w:rPr>
                <w:bCs/>
                <w:color w:val="000000"/>
                <w:kern w:val="0"/>
                <w:szCs w:val="21"/>
              </w:rPr>
            </w:pPr>
            <w:r>
              <w:rPr>
                <w:rFonts w:hint="eastAsia"/>
                <w:bCs/>
                <w:color w:val="000000"/>
                <w:kern w:val="0"/>
                <w:szCs w:val="21"/>
                <w:lang w:val="en-US" w:eastAsia="zh-CN"/>
              </w:rPr>
              <w:t>+540</w:t>
            </w:r>
          </w:p>
        </w:tc>
      </w:tr>
      <w:tr w14:paraId="3452E3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continue"/>
            <w:noWrap/>
            <w:vAlign w:val="center"/>
          </w:tcPr>
          <w:p w14:paraId="0DF55338">
            <w:pPr>
              <w:pStyle w:val="37"/>
              <w:spacing w:beforeLines="0" w:afterLines="0" w:line="240" w:lineRule="auto"/>
              <w:rPr>
                <w:rFonts w:ascii="Times New Roman"/>
                <w:snapToGrid w:val="0"/>
                <w:color w:val="000000"/>
                <w:kern w:val="21"/>
                <w:sz w:val="24"/>
                <w:szCs w:val="21"/>
              </w:rPr>
            </w:pPr>
          </w:p>
        </w:tc>
        <w:tc>
          <w:tcPr>
            <w:tcW w:w="794" w:type="dxa"/>
            <w:vMerge w:val="continue"/>
            <w:noWrap/>
            <w:vAlign w:val="center"/>
          </w:tcPr>
          <w:p w14:paraId="459DADE3">
            <w:pPr>
              <w:pStyle w:val="37"/>
              <w:spacing w:beforeLines="0" w:afterLines="0" w:line="240" w:lineRule="auto"/>
              <w:rPr>
                <w:rFonts w:ascii="Times New Roman"/>
                <w:snapToGrid w:val="0"/>
                <w:color w:val="000000"/>
                <w:kern w:val="21"/>
                <w:sz w:val="24"/>
                <w:szCs w:val="21"/>
              </w:rPr>
            </w:pPr>
          </w:p>
        </w:tc>
        <w:tc>
          <w:tcPr>
            <w:tcW w:w="1536" w:type="dxa"/>
            <w:noWrap/>
            <w:vAlign w:val="center"/>
          </w:tcPr>
          <w:p w14:paraId="325D2572">
            <w:pPr>
              <w:snapToGrid w:val="0"/>
              <w:jc w:val="center"/>
              <w:rPr>
                <w:color w:val="000000"/>
                <w:szCs w:val="21"/>
              </w:rPr>
            </w:pPr>
            <w:r>
              <w:rPr>
                <w:color w:val="000000"/>
                <w:kern w:val="0"/>
                <w:szCs w:val="21"/>
              </w:rPr>
              <w:t>COD</w:t>
            </w:r>
          </w:p>
        </w:tc>
        <w:tc>
          <w:tcPr>
            <w:tcW w:w="1582" w:type="dxa"/>
            <w:noWrap/>
            <w:vAlign w:val="center"/>
          </w:tcPr>
          <w:p w14:paraId="7D5BB5DF">
            <w:pPr>
              <w:jc w:val="center"/>
              <w:rPr>
                <w:color w:val="000000"/>
                <w:kern w:val="0"/>
                <w:szCs w:val="21"/>
              </w:rPr>
            </w:pPr>
            <w:r>
              <w:rPr>
                <w:rFonts w:hint="eastAsia"/>
                <w:color w:val="000000"/>
                <w:szCs w:val="21"/>
              </w:rPr>
              <w:t>/</w:t>
            </w:r>
          </w:p>
        </w:tc>
        <w:tc>
          <w:tcPr>
            <w:tcW w:w="1276" w:type="dxa"/>
            <w:noWrap/>
            <w:vAlign w:val="center"/>
          </w:tcPr>
          <w:p w14:paraId="7AE888DC">
            <w:pPr>
              <w:jc w:val="center"/>
              <w:rPr>
                <w:color w:val="000000"/>
                <w:kern w:val="0"/>
                <w:szCs w:val="21"/>
              </w:rPr>
            </w:pPr>
            <w:r>
              <w:rPr>
                <w:rFonts w:hint="eastAsia"/>
                <w:color w:val="000000"/>
                <w:szCs w:val="21"/>
              </w:rPr>
              <w:t>/</w:t>
            </w:r>
          </w:p>
        </w:tc>
        <w:tc>
          <w:tcPr>
            <w:tcW w:w="1701" w:type="dxa"/>
            <w:noWrap/>
            <w:vAlign w:val="center"/>
          </w:tcPr>
          <w:p w14:paraId="17694844">
            <w:pPr>
              <w:jc w:val="center"/>
              <w:rPr>
                <w:color w:val="000000"/>
                <w:szCs w:val="21"/>
              </w:rPr>
            </w:pPr>
            <w:r>
              <w:rPr>
                <w:rFonts w:hint="eastAsia"/>
                <w:color w:val="000000"/>
                <w:szCs w:val="21"/>
              </w:rPr>
              <w:t>/</w:t>
            </w:r>
          </w:p>
        </w:tc>
        <w:tc>
          <w:tcPr>
            <w:tcW w:w="1559" w:type="dxa"/>
            <w:noWrap/>
            <w:vAlign w:val="center"/>
          </w:tcPr>
          <w:p w14:paraId="70AF400E">
            <w:pPr>
              <w:jc w:val="center"/>
              <w:rPr>
                <w:rFonts w:hint="default"/>
                <w:bCs/>
                <w:color w:val="000000"/>
                <w:kern w:val="0"/>
                <w:szCs w:val="21"/>
                <w:lang w:val="en-US"/>
              </w:rPr>
            </w:pPr>
            <w:r>
              <w:rPr>
                <w:rFonts w:hint="eastAsia"/>
                <w:bCs/>
                <w:color w:val="000000"/>
                <w:kern w:val="0"/>
                <w:szCs w:val="21"/>
                <w:lang w:val="en-US" w:eastAsia="zh-CN"/>
              </w:rPr>
              <w:t>0.189/0.027</w:t>
            </w:r>
          </w:p>
        </w:tc>
        <w:tc>
          <w:tcPr>
            <w:tcW w:w="1450" w:type="dxa"/>
            <w:noWrap/>
            <w:vAlign w:val="center"/>
          </w:tcPr>
          <w:p w14:paraId="030A0651">
            <w:pPr>
              <w:jc w:val="center"/>
              <w:rPr>
                <w:color w:val="000000"/>
                <w:szCs w:val="21"/>
              </w:rPr>
            </w:pPr>
            <w:r>
              <w:rPr>
                <w:rFonts w:hint="eastAsia"/>
                <w:color w:val="000000"/>
                <w:szCs w:val="21"/>
              </w:rPr>
              <w:t>/</w:t>
            </w:r>
          </w:p>
        </w:tc>
        <w:tc>
          <w:tcPr>
            <w:tcW w:w="1545" w:type="dxa"/>
            <w:noWrap/>
            <w:vAlign w:val="center"/>
          </w:tcPr>
          <w:p w14:paraId="66F4822B">
            <w:pPr>
              <w:jc w:val="center"/>
              <w:rPr>
                <w:bCs/>
                <w:color w:val="000000"/>
                <w:kern w:val="0"/>
                <w:szCs w:val="21"/>
              </w:rPr>
            </w:pPr>
            <w:r>
              <w:rPr>
                <w:rFonts w:hint="eastAsia"/>
                <w:bCs/>
                <w:color w:val="000000"/>
                <w:kern w:val="0"/>
                <w:szCs w:val="21"/>
                <w:lang w:val="en-US" w:eastAsia="zh-CN"/>
              </w:rPr>
              <w:t>0.189/0.027</w:t>
            </w:r>
          </w:p>
        </w:tc>
        <w:tc>
          <w:tcPr>
            <w:tcW w:w="1551" w:type="dxa"/>
            <w:noWrap/>
            <w:vAlign w:val="center"/>
          </w:tcPr>
          <w:p w14:paraId="0062107F">
            <w:pPr>
              <w:jc w:val="center"/>
              <w:rPr>
                <w:bCs/>
                <w:color w:val="000000"/>
                <w:kern w:val="0"/>
                <w:szCs w:val="21"/>
              </w:rPr>
            </w:pPr>
            <w:r>
              <w:rPr>
                <w:rFonts w:hint="eastAsia"/>
                <w:bCs/>
                <w:color w:val="000000"/>
                <w:kern w:val="0"/>
                <w:szCs w:val="21"/>
                <w:lang w:val="en-US" w:eastAsia="zh-CN"/>
              </w:rPr>
              <w:t>+0.189/+0.027</w:t>
            </w:r>
          </w:p>
        </w:tc>
      </w:tr>
      <w:tr w14:paraId="3C67EE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continue"/>
            <w:noWrap/>
            <w:vAlign w:val="center"/>
          </w:tcPr>
          <w:p w14:paraId="474DF301">
            <w:pPr>
              <w:pStyle w:val="37"/>
              <w:spacing w:beforeLines="0" w:afterLines="0" w:line="240" w:lineRule="auto"/>
              <w:rPr>
                <w:rFonts w:ascii="Times New Roman"/>
                <w:snapToGrid w:val="0"/>
                <w:color w:val="000000"/>
                <w:kern w:val="21"/>
                <w:sz w:val="24"/>
                <w:szCs w:val="21"/>
              </w:rPr>
            </w:pPr>
          </w:p>
        </w:tc>
        <w:tc>
          <w:tcPr>
            <w:tcW w:w="794" w:type="dxa"/>
            <w:vMerge w:val="continue"/>
            <w:noWrap/>
            <w:vAlign w:val="center"/>
          </w:tcPr>
          <w:p w14:paraId="7CB7E19E">
            <w:pPr>
              <w:pStyle w:val="37"/>
              <w:spacing w:beforeLines="0" w:afterLines="0" w:line="240" w:lineRule="auto"/>
              <w:rPr>
                <w:rFonts w:ascii="Times New Roman"/>
                <w:snapToGrid w:val="0"/>
                <w:color w:val="000000"/>
                <w:kern w:val="21"/>
                <w:sz w:val="24"/>
                <w:szCs w:val="21"/>
              </w:rPr>
            </w:pPr>
          </w:p>
        </w:tc>
        <w:tc>
          <w:tcPr>
            <w:tcW w:w="1536" w:type="dxa"/>
            <w:noWrap/>
            <w:vAlign w:val="center"/>
          </w:tcPr>
          <w:p w14:paraId="266837F0">
            <w:pPr>
              <w:snapToGrid w:val="0"/>
              <w:jc w:val="center"/>
              <w:rPr>
                <w:color w:val="000000"/>
                <w:kern w:val="0"/>
                <w:szCs w:val="21"/>
              </w:rPr>
            </w:pPr>
            <w:r>
              <w:rPr>
                <w:rFonts w:hint="eastAsia"/>
                <w:color w:val="000000" w:themeColor="text1"/>
                <w:szCs w:val="21"/>
                <w14:textFill>
                  <w14:solidFill>
                    <w14:schemeClr w14:val="tx1"/>
                  </w14:solidFill>
                </w14:textFill>
              </w:rPr>
              <w:t>BOD</w:t>
            </w:r>
            <w:r>
              <w:rPr>
                <w:rFonts w:hint="eastAsia"/>
                <w:color w:val="000000" w:themeColor="text1"/>
                <w:szCs w:val="21"/>
                <w:vertAlign w:val="subscript"/>
                <w14:textFill>
                  <w14:solidFill>
                    <w14:schemeClr w14:val="tx1"/>
                  </w14:solidFill>
                </w14:textFill>
              </w:rPr>
              <w:t>5</w:t>
            </w:r>
          </w:p>
        </w:tc>
        <w:tc>
          <w:tcPr>
            <w:tcW w:w="1582" w:type="dxa"/>
            <w:noWrap/>
            <w:vAlign w:val="center"/>
          </w:tcPr>
          <w:p w14:paraId="04C56DC7">
            <w:pPr>
              <w:jc w:val="center"/>
              <w:rPr>
                <w:rFonts w:hint="eastAsia"/>
                <w:bCs/>
                <w:color w:val="000000"/>
                <w:kern w:val="0"/>
                <w:szCs w:val="21"/>
              </w:rPr>
            </w:pPr>
            <w:r>
              <w:rPr>
                <w:rFonts w:hint="eastAsia"/>
                <w:color w:val="000000"/>
                <w:szCs w:val="21"/>
              </w:rPr>
              <w:t>/</w:t>
            </w:r>
          </w:p>
        </w:tc>
        <w:tc>
          <w:tcPr>
            <w:tcW w:w="1276" w:type="dxa"/>
            <w:noWrap/>
            <w:vAlign w:val="center"/>
          </w:tcPr>
          <w:p w14:paraId="4191F95E">
            <w:pPr>
              <w:jc w:val="center"/>
              <w:rPr>
                <w:rFonts w:hint="eastAsia"/>
                <w:bCs/>
                <w:color w:val="000000"/>
                <w:kern w:val="0"/>
                <w:szCs w:val="21"/>
              </w:rPr>
            </w:pPr>
            <w:r>
              <w:rPr>
                <w:rFonts w:hint="eastAsia"/>
                <w:color w:val="000000"/>
                <w:szCs w:val="21"/>
              </w:rPr>
              <w:t>/</w:t>
            </w:r>
          </w:p>
        </w:tc>
        <w:tc>
          <w:tcPr>
            <w:tcW w:w="1701" w:type="dxa"/>
            <w:noWrap/>
            <w:vAlign w:val="center"/>
          </w:tcPr>
          <w:p w14:paraId="650B74CF">
            <w:pPr>
              <w:jc w:val="center"/>
              <w:rPr>
                <w:rFonts w:hint="eastAsia"/>
                <w:color w:val="000000"/>
                <w:szCs w:val="21"/>
              </w:rPr>
            </w:pPr>
            <w:r>
              <w:rPr>
                <w:rFonts w:hint="eastAsia"/>
                <w:color w:val="000000"/>
                <w:szCs w:val="21"/>
              </w:rPr>
              <w:t>/</w:t>
            </w:r>
          </w:p>
        </w:tc>
        <w:tc>
          <w:tcPr>
            <w:tcW w:w="1559" w:type="dxa"/>
            <w:noWrap/>
            <w:vAlign w:val="center"/>
          </w:tcPr>
          <w:p w14:paraId="4EF80FA9">
            <w:pPr>
              <w:jc w:val="center"/>
              <w:rPr>
                <w:rFonts w:hint="default"/>
                <w:bCs/>
                <w:color w:val="000000"/>
                <w:kern w:val="0"/>
                <w:szCs w:val="21"/>
                <w:lang w:val="en-US"/>
              </w:rPr>
            </w:pPr>
            <w:r>
              <w:rPr>
                <w:rFonts w:hint="eastAsia"/>
                <w:bCs/>
                <w:color w:val="000000"/>
                <w:kern w:val="0"/>
                <w:szCs w:val="21"/>
                <w:lang w:val="en-US" w:eastAsia="zh-CN"/>
              </w:rPr>
              <w:t>0.081/0.0054</w:t>
            </w:r>
          </w:p>
        </w:tc>
        <w:tc>
          <w:tcPr>
            <w:tcW w:w="1450" w:type="dxa"/>
            <w:noWrap/>
            <w:vAlign w:val="center"/>
          </w:tcPr>
          <w:p w14:paraId="2A5CBA0F">
            <w:pPr>
              <w:jc w:val="center"/>
              <w:rPr>
                <w:rFonts w:hint="eastAsia"/>
                <w:bCs/>
                <w:color w:val="000000"/>
                <w:kern w:val="0"/>
                <w:szCs w:val="21"/>
              </w:rPr>
            </w:pPr>
            <w:r>
              <w:rPr>
                <w:rFonts w:hint="eastAsia"/>
                <w:color w:val="000000"/>
                <w:szCs w:val="21"/>
              </w:rPr>
              <w:t>/</w:t>
            </w:r>
          </w:p>
        </w:tc>
        <w:tc>
          <w:tcPr>
            <w:tcW w:w="1545" w:type="dxa"/>
            <w:noWrap/>
            <w:vAlign w:val="center"/>
          </w:tcPr>
          <w:p w14:paraId="070FEE40">
            <w:pPr>
              <w:jc w:val="center"/>
              <w:rPr>
                <w:rFonts w:hint="eastAsia"/>
                <w:bCs/>
                <w:color w:val="000000"/>
                <w:kern w:val="0"/>
                <w:szCs w:val="21"/>
              </w:rPr>
            </w:pPr>
            <w:r>
              <w:rPr>
                <w:rFonts w:hint="eastAsia"/>
                <w:bCs/>
                <w:color w:val="000000"/>
                <w:kern w:val="0"/>
                <w:szCs w:val="21"/>
                <w:lang w:val="en-US" w:eastAsia="zh-CN"/>
              </w:rPr>
              <w:t>0.081/0.0054</w:t>
            </w:r>
          </w:p>
        </w:tc>
        <w:tc>
          <w:tcPr>
            <w:tcW w:w="1551" w:type="dxa"/>
            <w:noWrap/>
            <w:vAlign w:val="center"/>
          </w:tcPr>
          <w:p w14:paraId="70F56692">
            <w:pPr>
              <w:jc w:val="center"/>
              <w:rPr>
                <w:rFonts w:hint="eastAsia"/>
                <w:bCs/>
                <w:color w:val="000000"/>
                <w:kern w:val="0"/>
                <w:szCs w:val="21"/>
              </w:rPr>
            </w:pPr>
            <w:r>
              <w:rPr>
                <w:rFonts w:hint="eastAsia"/>
                <w:bCs/>
                <w:color w:val="000000"/>
                <w:kern w:val="0"/>
                <w:szCs w:val="21"/>
                <w:lang w:val="en-US" w:eastAsia="zh-CN"/>
              </w:rPr>
              <w:t>+0.081/+0.0054</w:t>
            </w:r>
          </w:p>
        </w:tc>
      </w:tr>
      <w:tr w14:paraId="7967DB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continue"/>
            <w:noWrap/>
            <w:vAlign w:val="center"/>
          </w:tcPr>
          <w:p w14:paraId="6E180B50">
            <w:pPr>
              <w:pStyle w:val="37"/>
              <w:spacing w:beforeLines="0" w:afterLines="0" w:line="240" w:lineRule="auto"/>
              <w:rPr>
                <w:rFonts w:ascii="Times New Roman"/>
                <w:snapToGrid w:val="0"/>
                <w:color w:val="000000"/>
                <w:kern w:val="21"/>
                <w:sz w:val="24"/>
                <w:szCs w:val="21"/>
              </w:rPr>
            </w:pPr>
          </w:p>
        </w:tc>
        <w:tc>
          <w:tcPr>
            <w:tcW w:w="794" w:type="dxa"/>
            <w:vMerge w:val="continue"/>
            <w:noWrap/>
            <w:vAlign w:val="center"/>
          </w:tcPr>
          <w:p w14:paraId="33B146DB">
            <w:pPr>
              <w:pStyle w:val="37"/>
              <w:spacing w:beforeLines="0" w:afterLines="0" w:line="240" w:lineRule="auto"/>
              <w:rPr>
                <w:rFonts w:ascii="Times New Roman"/>
                <w:snapToGrid w:val="0"/>
                <w:color w:val="000000"/>
                <w:kern w:val="21"/>
                <w:sz w:val="24"/>
                <w:szCs w:val="21"/>
              </w:rPr>
            </w:pPr>
          </w:p>
        </w:tc>
        <w:tc>
          <w:tcPr>
            <w:tcW w:w="1536" w:type="dxa"/>
            <w:noWrap/>
            <w:vAlign w:val="center"/>
          </w:tcPr>
          <w:p w14:paraId="2131A43B">
            <w:pPr>
              <w:ind w:left="-113" w:right="-113"/>
              <w:jc w:val="center"/>
              <w:rPr>
                <w:color w:val="000000"/>
                <w:szCs w:val="21"/>
              </w:rPr>
            </w:pPr>
            <w:r>
              <w:rPr>
                <w:color w:val="000000"/>
                <w:kern w:val="0"/>
                <w:szCs w:val="21"/>
              </w:rPr>
              <w:t>SS</w:t>
            </w:r>
          </w:p>
        </w:tc>
        <w:tc>
          <w:tcPr>
            <w:tcW w:w="1582" w:type="dxa"/>
            <w:noWrap/>
            <w:vAlign w:val="center"/>
          </w:tcPr>
          <w:p w14:paraId="7A0C96F5">
            <w:pPr>
              <w:jc w:val="center"/>
              <w:rPr>
                <w:color w:val="000000"/>
                <w:kern w:val="0"/>
                <w:szCs w:val="21"/>
              </w:rPr>
            </w:pPr>
            <w:r>
              <w:rPr>
                <w:rFonts w:hint="eastAsia"/>
                <w:color w:val="000000"/>
                <w:szCs w:val="21"/>
              </w:rPr>
              <w:t>/</w:t>
            </w:r>
          </w:p>
        </w:tc>
        <w:tc>
          <w:tcPr>
            <w:tcW w:w="1276" w:type="dxa"/>
            <w:noWrap/>
            <w:vAlign w:val="center"/>
          </w:tcPr>
          <w:p w14:paraId="5095E360">
            <w:pPr>
              <w:jc w:val="center"/>
              <w:rPr>
                <w:color w:val="000000"/>
                <w:kern w:val="0"/>
                <w:szCs w:val="21"/>
              </w:rPr>
            </w:pPr>
            <w:r>
              <w:rPr>
                <w:rFonts w:hint="eastAsia"/>
                <w:color w:val="000000"/>
                <w:szCs w:val="21"/>
              </w:rPr>
              <w:t>/</w:t>
            </w:r>
          </w:p>
        </w:tc>
        <w:tc>
          <w:tcPr>
            <w:tcW w:w="1701" w:type="dxa"/>
            <w:noWrap/>
            <w:vAlign w:val="center"/>
          </w:tcPr>
          <w:p w14:paraId="23007EAD">
            <w:pPr>
              <w:jc w:val="center"/>
              <w:rPr>
                <w:color w:val="000000"/>
                <w:szCs w:val="21"/>
              </w:rPr>
            </w:pPr>
            <w:r>
              <w:rPr>
                <w:rFonts w:hint="eastAsia"/>
                <w:color w:val="000000"/>
                <w:szCs w:val="21"/>
              </w:rPr>
              <w:t>/</w:t>
            </w:r>
          </w:p>
        </w:tc>
        <w:tc>
          <w:tcPr>
            <w:tcW w:w="1559" w:type="dxa"/>
            <w:noWrap/>
            <w:vAlign w:val="center"/>
          </w:tcPr>
          <w:p w14:paraId="785A36EB">
            <w:pPr>
              <w:jc w:val="center"/>
              <w:rPr>
                <w:rFonts w:hint="default"/>
                <w:bCs/>
                <w:color w:val="000000"/>
                <w:kern w:val="0"/>
                <w:szCs w:val="21"/>
                <w:lang w:val="en-US"/>
              </w:rPr>
            </w:pPr>
            <w:r>
              <w:rPr>
                <w:rFonts w:hint="eastAsia"/>
                <w:bCs/>
                <w:color w:val="000000"/>
                <w:kern w:val="0"/>
                <w:szCs w:val="21"/>
                <w:lang w:val="en-US" w:eastAsia="zh-CN"/>
              </w:rPr>
              <w:t>0.108/0.0054</w:t>
            </w:r>
          </w:p>
        </w:tc>
        <w:tc>
          <w:tcPr>
            <w:tcW w:w="1450" w:type="dxa"/>
            <w:noWrap/>
            <w:vAlign w:val="center"/>
          </w:tcPr>
          <w:p w14:paraId="31E44B00">
            <w:pPr>
              <w:jc w:val="center"/>
              <w:rPr>
                <w:color w:val="000000"/>
                <w:szCs w:val="21"/>
              </w:rPr>
            </w:pPr>
            <w:r>
              <w:rPr>
                <w:rFonts w:hint="eastAsia"/>
                <w:color w:val="000000"/>
                <w:szCs w:val="21"/>
              </w:rPr>
              <w:t>/</w:t>
            </w:r>
          </w:p>
        </w:tc>
        <w:tc>
          <w:tcPr>
            <w:tcW w:w="1545" w:type="dxa"/>
            <w:noWrap/>
            <w:vAlign w:val="center"/>
          </w:tcPr>
          <w:p w14:paraId="53FB0B22">
            <w:pPr>
              <w:jc w:val="center"/>
              <w:rPr>
                <w:bCs/>
                <w:color w:val="000000"/>
                <w:kern w:val="0"/>
                <w:szCs w:val="21"/>
              </w:rPr>
            </w:pPr>
            <w:r>
              <w:rPr>
                <w:rFonts w:hint="eastAsia"/>
                <w:bCs/>
                <w:color w:val="000000"/>
                <w:kern w:val="0"/>
                <w:szCs w:val="21"/>
                <w:lang w:val="en-US" w:eastAsia="zh-CN"/>
              </w:rPr>
              <w:t>0.108/0.0054</w:t>
            </w:r>
          </w:p>
        </w:tc>
        <w:tc>
          <w:tcPr>
            <w:tcW w:w="1551" w:type="dxa"/>
            <w:noWrap/>
            <w:vAlign w:val="center"/>
          </w:tcPr>
          <w:p w14:paraId="30A7AC00">
            <w:pPr>
              <w:jc w:val="center"/>
              <w:rPr>
                <w:bCs/>
                <w:color w:val="000000"/>
                <w:kern w:val="0"/>
                <w:szCs w:val="21"/>
              </w:rPr>
            </w:pPr>
            <w:r>
              <w:rPr>
                <w:rFonts w:hint="eastAsia"/>
                <w:bCs/>
                <w:color w:val="000000"/>
                <w:kern w:val="0"/>
                <w:szCs w:val="21"/>
                <w:lang w:val="en-US" w:eastAsia="zh-CN"/>
              </w:rPr>
              <w:t>+0.108/+0.0054</w:t>
            </w:r>
          </w:p>
        </w:tc>
      </w:tr>
      <w:tr w14:paraId="60B4FC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continue"/>
            <w:noWrap/>
            <w:vAlign w:val="center"/>
          </w:tcPr>
          <w:p w14:paraId="7BB31C23">
            <w:pPr>
              <w:pStyle w:val="37"/>
              <w:spacing w:beforeLines="0" w:afterLines="0" w:line="240" w:lineRule="auto"/>
              <w:rPr>
                <w:rFonts w:ascii="Times New Roman"/>
                <w:snapToGrid w:val="0"/>
                <w:color w:val="000000"/>
                <w:kern w:val="21"/>
                <w:sz w:val="24"/>
                <w:szCs w:val="21"/>
              </w:rPr>
            </w:pPr>
          </w:p>
        </w:tc>
        <w:tc>
          <w:tcPr>
            <w:tcW w:w="794" w:type="dxa"/>
            <w:vMerge w:val="continue"/>
            <w:noWrap/>
            <w:vAlign w:val="center"/>
          </w:tcPr>
          <w:p w14:paraId="5BE2C8F6">
            <w:pPr>
              <w:pStyle w:val="37"/>
              <w:spacing w:beforeLines="0" w:afterLines="0" w:line="240" w:lineRule="auto"/>
              <w:rPr>
                <w:rFonts w:ascii="Times New Roman"/>
                <w:snapToGrid w:val="0"/>
                <w:color w:val="000000"/>
                <w:kern w:val="21"/>
                <w:sz w:val="24"/>
                <w:szCs w:val="21"/>
              </w:rPr>
            </w:pPr>
          </w:p>
        </w:tc>
        <w:tc>
          <w:tcPr>
            <w:tcW w:w="1536" w:type="dxa"/>
            <w:noWrap/>
            <w:vAlign w:val="center"/>
          </w:tcPr>
          <w:p w14:paraId="22EEFB8C">
            <w:pPr>
              <w:ind w:left="-113" w:right="-113"/>
              <w:jc w:val="center"/>
              <w:rPr>
                <w:color w:val="000000"/>
                <w:szCs w:val="21"/>
              </w:rPr>
            </w:pPr>
            <w:r>
              <w:rPr>
                <w:color w:val="000000"/>
                <w:szCs w:val="21"/>
              </w:rPr>
              <w:t>NH</w:t>
            </w:r>
            <w:r>
              <w:rPr>
                <w:color w:val="000000"/>
                <w:szCs w:val="21"/>
                <w:vertAlign w:val="subscript"/>
              </w:rPr>
              <w:t>3</w:t>
            </w:r>
            <w:r>
              <w:rPr>
                <w:color w:val="000000"/>
                <w:szCs w:val="21"/>
              </w:rPr>
              <w:t>-N</w:t>
            </w:r>
          </w:p>
        </w:tc>
        <w:tc>
          <w:tcPr>
            <w:tcW w:w="1582" w:type="dxa"/>
            <w:noWrap/>
            <w:vAlign w:val="center"/>
          </w:tcPr>
          <w:p w14:paraId="3C56BAC6">
            <w:pPr>
              <w:jc w:val="center"/>
              <w:rPr>
                <w:color w:val="000000"/>
                <w:kern w:val="0"/>
                <w:szCs w:val="21"/>
              </w:rPr>
            </w:pPr>
            <w:r>
              <w:rPr>
                <w:rFonts w:hint="eastAsia"/>
                <w:color w:val="000000"/>
                <w:szCs w:val="21"/>
              </w:rPr>
              <w:t>/</w:t>
            </w:r>
          </w:p>
        </w:tc>
        <w:tc>
          <w:tcPr>
            <w:tcW w:w="1276" w:type="dxa"/>
            <w:noWrap/>
            <w:vAlign w:val="center"/>
          </w:tcPr>
          <w:p w14:paraId="7933A5E0">
            <w:pPr>
              <w:jc w:val="center"/>
              <w:rPr>
                <w:color w:val="000000"/>
                <w:kern w:val="0"/>
                <w:szCs w:val="21"/>
              </w:rPr>
            </w:pPr>
            <w:r>
              <w:rPr>
                <w:rFonts w:hint="eastAsia"/>
                <w:color w:val="000000"/>
                <w:szCs w:val="21"/>
              </w:rPr>
              <w:t>/</w:t>
            </w:r>
          </w:p>
        </w:tc>
        <w:tc>
          <w:tcPr>
            <w:tcW w:w="1701" w:type="dxa"/>
            <w:noWrap/>
            <w:vAlign w:val="center"/>
          </w:tcPr>
          <w:p w14:paraId="1D289A8F">
            <w:pPr>
              <w:jc w:val="center"/>
              <w:rPr>
                <w:color w:val="000000"/>
                <w:szCs w:val="21"/>
              </w:rPr>
            </w:pPr>
            <w:r>
              <w:rPr>
                <w:rFonts w:hint="eastAsia"/>
                <w:color w:val="000000"/>
                <w:szCs w:val="21"/>
              </w:rPr>
              <w:t>/</w:t>
            </w:r>
          </w:p>
        </w:tc>
        <w:tc>
          <w:tcPr>
            <w:tcW w:w="1559" w:type="dxa"/>
            <w:noWrap/>
            <w:vAlign w:val="center"/>
          </w:tcPr>
          <w:p w14:paraId="1CF42A17">
            <w:pPr>
              <w:jc w:val="center"/>
              <w:rPr>
                <w:rFonts w:hint="default"/>
                <w:bCs/>
                <w:color w:val="000000"/>
                <w:kern w:val="0"/>
                <w:szCs w:val="21"/>
                <w:lang w:val="en-US"/>
              </w:rPr>
            </w:pPr>
            <w:r>
              <w:rPr>
                <w:rFonts w:hint="eastAsia"/>
                <w:bCs/>
                <w:color w:val="000000"/>
                <w:kern w:val="0"/>
                <w:szCs w:val="21"/>
                <w:lang w:val="en-US" w:eastAsia="zh-CN"/>
              </w:rPr>
              <w:t>0.0162/0.0022</w:t>
            </w:r>
          </w:p>
        </w:tc>
        <w:tc>
          <w:tcPr>
            <w:tcW w:w="1450" w:type="dxa"/>
            <w:noWrap/>
            <w:vAlign w:val="center"/>
          </w:tcPr>
          <w:p w14:paraId="1E55944B">
            <w:pPr>
              <w:jc w:val="center"/>
              <w:rPr>
                <w:color w:val="000000"/>
                <w:szCs w:val="21"/>
              </w:rPr>
            </w:pPr>
            <w:r>
              <w:rPr>
                <w:rFonts w:hint="eastAsia"/>
                <w:color w:val="000000"/>
                <w:szCs w:val="21"/>
              </w:rPr>
              <w:t>/</w:t>
            </w:r>
          </w:p>
        </w:tc>
        <w:tc>
          <w:tcPr>
            <w:tcW w:w="1545" w:type="dxa"/>
            <w:noWrap/>
            <w:vAlign w:val="center"/>
          </w:tcPr>
          <w:p w14:paraId="21B4673F">
            <w:pPr>
              <w:jc w:val="center"/>
              <w:rPr>
                <w:bCs/>
                <w:color w:val="000000"/>
                <w:kern w:val="0"/>
                <w:szCs w:val="21"/>
              </w:rPr>
            </w:pPr>
            <w:r>
              <w:rPr>
                <w:rFonts w:hint="eastAsia"/>
                <w:bCs/>
                <w:color w:val="000000"/>
                <w:kern w:val="0"/>
                <w:szCs w:val="21"/>
                <w:lang w:val="en-US" w:eastAsia="zh-CN"/>
              </w:rPr>
              <w:t>0.0162/0.0022</w:t>
            </w:r>
          </w:p>
        </w:tc>
        <w:tc>
          <w:tcPr>
            <w:tcW w:w="1551" w:type="dxa"/>
            <w:noWrap/>
            <w:vAlign w:val="center"/>
          </w:tcPr>
          <w:p w14:paraId="734A31D6">
            <w:pPr>
              <w:jc w:val="center"/>
              <w:rPr>
                <w:bCs/>
                <w:color w:val="000000"/>
                <w:kern w:val="0"/>
                <w:szCs w:val="21"/>
              </w:rPr>
            </w:pPr>
            <w:r>
              <w:rPr>
                <w:rFonts w:hint="eastAsia"/>
                <w:bCs/>
                <w:color w:val="000000"/>
                <w:kern w:val="0"/>
                <w:szCs w:val="21"/>
                <w:lang w:val="en-US" w:eastAsia="zh-CN"/>
              </w:rPr>
              <w:t>+0.0162/+0.0022</w:t>
            </w:r>
          </w:p>
        </w:tc>
      </w:tr>
      <w:tr w14:paraId="12F8FE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continue"/>
            <w:noWrap/>
            <w:vAlign w:val="center"/>
          </w:tcPr>
          <w:p w14:paraId="3FCB3C8C">
            <w:pPr>
              <w:pStyle w:val="37"/>
              <w:spacing w:beforeLines="0" w:afterLines="0" w:line="240" w:lineRule="auto"/>
              <w:rPr>
                <w:rFonts w:ascii="Times New Roman"/>
                <w:snapToGrid w:val="0"/>
                <w:color w:val="000000"/>
                <w:kern w:val="21"/>
                <w:sz w:val="24"/>
                <w:szCs w:val="21"/>
              </w:rPr>
            </w:pPr>
          </w:p>
        </w:tc>
        <w:tc>
          <w:tcPr>
            <w:tcW w:w="794" w:type="dxa"/>
            <w:vMerge w:val="continue"/>
            <w:noWrap/>
            <w:vAlign w:val="center"/>
          </w:tcPr>
          <w:p w14:paraId="279B44C5">
            <w:pPr>
              <w:pStyle w:val="37"/>
              <w:spacing w:beforeLines="0" w:afterLines="0" w:line="240" w:lineRule="auto"/>
              <w:rPr>
                <w:rFonts w:ascii="Times New Roman"/>
                <w:snapToGrid w:val="0"/>
                <w:color w:val="000000"/>
                <w:kern w:val="21"/>
                <w:sz w:val="24"/>
                <w:szCs w:val="21"/>
              </w:rPr>
            </w:pPr>
          </w:p>
        </w:tc>
        <w:tc>
          <w:tcPr>
            <w:tcW w:w="1536" w:type="dxa"/>
            <w:noWrap/>
            <w:vAlign w:val="center"/>
          </w:tcPr>
          <w:p w14:paraId="0BA4A470">
            <w:pPr>
              <w:ind w:left="-113" w:right="-113"/>
              <w:jc w:val="center"/>
              <w:rPr>
                <w:color w:val="000000"/>
                <w:szCs w:val="21"/>
              </w:rPr>
            </w:pPr>
            <w:r>
              <w:rPr>
                <w:color w:val="000000"/>
                <w:kern w:val="0"/>
                <w:szCs w:val="21"/>
              </w:rPr>
              <w:t>TP</w:t>
            </w:r>
          </w:p>
        </w:tc>
        <w:tc>
          <w:tcPr>
            <w:tcW w:w="1582" w:type="dxa"/>
            <w:noWrap/>
            <w:vAlign w:val="center"/>
          </w:tcPr>
          <w:p w14:paraId="671E6266">
            <w:pPr>
              <w:jc w:val="center"/>
              <w:rPr>
                <w:color w:val="000000"/>
                <w:kern w:val="0"/>
                <w:szCs w:val="21"/>
              </w:rPr>
            </w:pPr>
            <w:r>
              <w:rPr>
                <w:rFonts w:hint="eastAsia"/>
                <w:color w:val="000000"/>
                <w:szCs w:val="21"/>
              </w:rPr>
              <w:t>/</w:t>
            </w:r>
          </w:p>
        </w:tc>
        <w:tc>
          <w:tcPr>
            <w:tcW w:w="1276" w:type="dxa"/>
            <w:noWrap/>
            <w:vAlign w:val="center"/>
          </w:tcPr>
          <w:p w14:paraId="230BFA46">
            <w:pPr>
              <w:jc w:val="center"/>
              <w:rPr>
                <w:color w:val="000000"/>
                <w:kern w:val="0"/>
                <w:szCs w:val="21"/>
              </w:rPr>
            </w:pPr>
            <w:r>
              <w:rPr>
                <w:rFonts w:hint="eastAsia"/>
                <w:color w:val="000000"/>
                <w:szCs w:val="21"/>
              </w:rPr>
              <w:t>/</w:t>
            </w:r>
          </w:p>
        </w:tc>
        <w:tc>
          <w:tcPr>
            <w:tcW w:w="1701" w:type="dxa"/>
            <w:noWrap/>
            <w:vAlign w:val="center"/>
          </w:tcPr>
          <w:p w14:paraId="372EED37">
            <w:pPr>
              <w:jc w:val="center"/>
              <w:rPr>
                <w:color w:val="000000"/>
                <w:szCs w:val="21"/>
              </w:rPr>
            </w:pPr>
            <w:r>
              <w:rPr>
                <w:rFonts w:hint="eastAsia"/>
                <w:color w:val="000000"/>
                <w:szCs w:val="21"/>
              </w:rPr>
              <w:t>/</w:t>
            </w:r>
          </w:p>
        </w:tc>
        <w:tc>
          <w:tcPr>
            <w:tcW w:w="1559" w:type="dxa"/>
            <w:noWrap/>
            <w:vAlign w:val="center"/>
          </w:tcPr>
          <w:p w14:paraId="06E49742">
            <w:pPr>
              <w:jc w:val="center"/>
              <w:rPr>
                <w:rFonts w:hint="default"/>
                <w:bCs/>
                <w:color w:val="000000"/>
                <w:kern w:val="0"/>
                <w:szCs w:val="21"/>
                <w:lang w:val="en-US"/>
              </w:rPr>
            </w:pPr>
            <w:r>
              <w:rPr>
                <w:rFonts w:hint="eastAsia"/>
                <w:bCs/>
                <w:color w:val="000000"/>
                <w:kern w:val="0"/>
                <w:szCs w:val="21"/>
                <w:lang w:val="en-US" w:eastAsia="zh-CN"/>
              </w:rPr>
              <w:t>0.0032/0.0003</w:t>
            </w:r>
          </w:p>
        </w:tc>
        <w:tc>
          <w:tcPr>
            <w:tcW w:w="1450" w:type="dxa"/>
            <w:noWrap/>
            <w:vAlign w:val="center"/>
          </w:tcPr>
          <w:p w14:paraId="6AE16EC4">
            <w:pPr>
              <w:jc w:val="center"/>
              <w:rPr>
                <w:color w:val="000000"/>
                <w:szCs w:val="21"/>
              </w:rPr>
            </w:pPr>
            <w:r>
              <w:rPr>
                <w:rFonts w:hint="eastAsia"/>
                <w:color w:val="000000"/>
                <w:szCs w:val="21"/>
              </w:rPr>
              <w:t>/</w:t>
            </w:r>
          </w:p>
        </w:tc>
        <w:tc>
          <w:tcPr>
            <w:tcW w:w="1545" w:type="dxa"/>
            <w:noWrap/>
            <w:vAlign w:val="center"/>
          </w:tcPr>
          <w:p w14:paraId="2C5CD1AB">
            <w:pPr>
              <w:jc w:val="center"/>
              <w:rPr>
                <w:bCs/>
                <w:color w:val="000000"/>
                <w:kern w:val="0"/>
                <w:szCs w:val="21"/>
              </w:rPr>
            </w:pPr>
            <w:r>
              <w:rPr>
                <w:rFonts w:hint="eastAsia"/>
                <w:bCs/>
                <w:color w:val="000000"/>
                <w:kern w:val="0"/>
                <w:szCs w:val="21"/>
                <w:lang w:val="en-US" w:eastAsia="zh-CN"/>
              </w:rPr>
              <w:t>0.0032/0.0003</w:t>
            </w:r>
          </w:p>
        </w:tc>
        <w:tc>
          <w:tcPr>
            <w:tcW w:w="1551" w:type="dxa"/>
            <w:noWrap/>
            <w:vAlign w:val="center"/>
          </w:tcPr>
          <w:p w14:paraId="57866010">
            <w:pPr>
              <w:jc w:val="center"/>
              <w:rPr>
                <w:bCs/>
                <w:color w:val="000000"/>
                <w:kern w:val="0"/>
                <w:szCs w:val="21"/>
              </w:rPr>
            </w:pPr>
            <w:r>
              <w:rPr>
                <w:rFonts w:hint="eastAsia"/>
                <w:bCs/>
                <w:color w:val="000000"/>
                <w:kern w:val="0"/>
                <w:szCs w:val="21"/>
                <w:lang w:val="en-US" w:eastAsia="zh-CN"/>
              </w:rPr>
              <w:t>+0.0032/+0.0003</w:t>
            </w:r>
          </w:p>
        </w:tc>
      </w:tr>
      <w:tr w14:paraId="4A205B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continue"/>
            <w:noWrap/>
            <w:vAlign w:val="center"/>
          </w:tcPr>
          <w:p w14:paraId="7ACD3DF2">
            <w:pPr>
              <w:pStyle w:val="37"/>
              <w:spacing w:beforeLines="0" w:afterLines="0" w:line="240" w:lineRule="auto"/>
              <w:rPr>
                <w:rFonts w:ascii="Times New Roman"/>
                <w:snapToGrid w:val="0"/>
                <w:color w:val="000000"/>
                <w:kern w:val="21"/>
                <w:sz w:val="24"/>
                <w:szCs w:val="21"/>
              </w:rPr>
            </w:pPr>
          </w:p>
        </w:tc>
        <w:tc>
          <w:tcPr>
            <w:tcW w:w="794" w:type="dxa"/>
            <w:vMerge w:val="continue"/>
            <w:noWrap/>
            <w:vAlign w:val="center"/>
          </w:tcPr>
          <w:p w14:paraId="6F085C45">
            <w:pPr>
              <w:pStyle w:val="37"/>
              <w:spacing w:beforeLines="0" w:afterLines="0" w:line="240" w:lineRule="auto"/>
              <w:rPr>
                <w:rFonts w:ascii="Times New Roman"/>
                <w:snapToGrid w:val="0"/>
                <w:color w:val="000000"/>
                <w:kern w:val="21"/>
                <w:sz w:val="24"/>
                <w:szCs w:val="21"/>
              </w:rPr>
            </w:pPr>
          </w:p>
        </w:tc>
        <w:tc>
          <w:tcPr>
            <w:tcW w:w="1536" w:type="dxa"/>
            <w:noWrap/>
            <w:vAlign w:val="center"/>
          </w:tcPr>
          <w:p w14:paraId="3E813E0E">
            <w:pPr>
              <w:ind w:left="-113" w:right="-113"/>
              <w:jc w:val="center"/>
              <w:rPr>
                <w:color w:val="000000"/>
                <w:kern w:val="0"/>
                <w:szCs w:val="21"/>
              </w:rPr>
            </w:pPr>
            <w:r>
              <w:rPr>
                <w:rFonts w:hint="eastAsia"/>
                <w:color w:val="000000"/>
                <w:kern w:val="0"/>
                <w:szCs w:val="21"/>
              </w:rPr>
              <w:t>TN</w:t>
            </w:r>
          </w:p>
        </w:tc>
        <w:tc>
          <w:tcPr>
            <w:tcW w:w="1582" w:type="dxa"/>
            <w:noWrap/>
            <w:vAlign w:val="center"/>
          </w:tcPr>
          <w:p w14:paraId="368ADF2D">
            <w:pPr>
              <w:jc w:val="center"/>
              <w:rPr>
                <w:color w:val="000000"/>
                <w:kern w:val="0"/>
                <w:szCs w:val="21"/>
              </w:rPr>
            </w:pPr>
            <w:r>
              <w:rPr>
                <w:rFonts w:hint="eastAsia"/>
                <w:color w:val="000000"/>
                <w:szCs w:val="21"/>
              </w:rPr>
              <w:t>/</w:t>
            </w:r>
          </w:p>
        </w:tc>
        <w:tc>
          <w:tcPr>
            <w:tcW w:w="1276" w:type="dxa"/>
            <w:noWrap/>
            <w:vAlign w:val="center"/>
          </w:tcPr>
          <w:p w14:paraId="01471717">
            <w:pPr>
              <w:jc w:val="center"/>
              <w:rPr>
                <w:color w:val="000000"/>
                <w:kern w:val="0"/>
                <w:szCs w:val="21"/>
              </w:rPr>
            </w:pPr>
            <w:r>
              <w:rPr>
                <w:rFonts w:hint="eastAsia"/>
                <w:color w:val="000000"/>
                <w:szCs w:val="21"/>
              </w:rPr>
              <w:t>/</w:t>
            </w:r>
          </w:p>
        </w:tc>
        <w:tc>
          <w:tcPr>
            <w:tcW w:w="1701" w:type="dxa"/>
            <w:noWrap/>
            <w:vAlign w:val="center"/>
          </w:tcPr>
          <w:p w14:paraId="1F93D5EA">
            <w:pPr>
              <w:jc w:val="center"/>
              <w:rPr>
                <w:color w:val="000000"/>
                <w:szCs w:val="21"/>
              </w:rPr>
            </w:pPr>
            <w:r>
              <w:rPr>
                <w:rFonts w:hint="eastAsia"/>
                <w:color w:val="000000"/>
                <w:szCs w:val="21"/>
              </w:rPr>
              <w:t>/</w:t>
            </w:r>
          </w:p>
        </w:tc>
        <w:tc>
          <w:tcPr>
            <w:tcW w:w="1559" w:type="dxa"/>
            <w:noWrap/>
            <w:vAlign w:val="center"/>
          </w:tcPr>
          <w:p w14:paraId="7F4620D7">
            <w:pPr>
              <w:jc w:val="center"/>
              <w:rPr>
                <w:rFonts w:hint="default"/>
                <w:bCs/>
                <w:color w:val="000000"/>
                <w:kern w:val="0"/>
                <w:szCs w:val="21"/>
                <w:lang w:val="en-US"/>
              </w:rPr>
            </w:pPr>
            <w:r>
              <w:rPr>
                <w:rFonts w:hint="eastAsia"/>
                <w:bCs/>
                <w:color w:val="000000"/>
                <w:kern w:val="0"/>
                <w:szCs w:val="21"/>
                <w:lang w:val="en-US" w:eastAsia="zh-CN"/>
              </w:rPr>
              <w:t>0.0216/0.0065</w:t>
            </w:r>
          </w:p>
        </w:tc>
        <w:tc>
          <w:tcPr>
            <w:tcW w:w="1450" w:type="dxa"/>
            <w:noWrap/>
            <w:vAlign w:val="center"/>
          </w:tcPr>
          <w:p w14:paraId="0CCF0813">
            <w:pPr>
              <w:jc w:val="center"/>
              <w:rPr>
                <w:color w:val="000000"/>
                <w:szCs w:val="21"/>
              </w:rPr>
            </w:pPr>
            <w:r>
              <w:rPr>
                <w:rFonts w:hint="eastAsia"/>
                <w:color w:val="000000"/>
                <w:szCs w:val="21"/>
              </w:rPr>
              <w:t>/</w:t>
            </w:r>
          </w:p>
        </w:tc>
        <w:tc>
          <w:tcPr>
            <w:tcW w:w="1545" w:type="dxa"/>
            <w:noWrap/>
            <w:vAlign w:val="center"/>
          </w:tcPr>
          <w:p w14:paraId="451DF6F4">
            <w:pPr>
              <w:jc w:val="center"/>
              <w:rPr>
                <w:bCs/>
                <w:color w:val="000000"/>
                <w:kern w:val="0"/>
                <w:szCs w:val="21"/>
              </w:rPr>
            </w:pPr>
            <w:r>
              <w:rPr>
                <w:rFonts w:hint="eastAsia"/>
                <w:bCs/>
                <w:color w:val="000000"/>
                <w:kern w:val="0"/>
                <w:szCs w:val="21"/>
                <w:lang w:val="en-US" w:eastAsia="zh-CN"/>
              </w:rPr>
              <w:t>0.0216/0.0065</w:t>
            </w:r>
          </w:p>
        </w:tc>
        <w:tc>
          <w:tcPr>
            <w:tcW w:w="1551" w:type="dxa"/>
            <w:noWrap/>
            <w:vAlign w:val="center"/>
          </w:tcPr>
          <w:p w14:paraId="50A372DF">
            <w:pPr>
              <w:jc w:val="center"/>
              <w:rPr>
                <w:bCs/>
                <w:color w:val="000000"/>
                <w:kern w:val="0"/>
                <w:szCs w:val="21"/>
              </w:rPr>
            </w:pPr>
            <w:r>
              <w:rPr>
                <w:rFonts w:hint="eastAsia"/>
                <w:bCs/>
                <w:color w:val="000000"/>
                <w:kern w:val="0"/>
                <w:szCs w:val="21"/>
                <w:lang w:val="en-US" w:eastAsia="zh-CN"/>
              </w:rPr>
              <w:t>+0.0216/+0.0065</w:t>
            </w:r>
          </w:p>
        </w:tc>
      </w:tr>
      <w:tr w14:paraId="53A183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gridSpan w:val="2"/>
            <w:vMerge w:val="restart"/>
            <w:noWrap/>
            <w:vAlign w:val="center"/>
          </w:tcPr>
          <w:p w14:paraId="7AD257F8">
            <w:pPr>
              <w:pStyle w:val="37"/>
              <w:spacing w:beforeLines="0" w:afterLines="0" w:line="240" w:lineRule="auto"/>
              <w:rPr>
                <w:rFonts w:ascii="Times New Roman"/>
                <w:snapToGrid w:val="0"/>
                <w:color w:val="000000"/>
                <w:kern w:val="21"/>
                <w:sz w:val="24"/>
                <w:szCs w:val="21"/>
              </w:rPr>
            </w:pPr>
            <w:r>
              <w:rPr>
                <w:rFonts w:ascii="Times New Roman"/>
                <w:snapToGrid w:val="0"/>
                <w:color w:val="000000"/>
                <w:kern w:val="21"/>
                <w:sz w:val="24"/>
                <w:szCs w:val="21"/>
              </w:rPr>
              <w:t>一般工业</w:t>
            </w:r>
          </w:p>
          <w:p w14:paraId="77BCA7B1">
            <w:pPr>
              <w:pStyle w:val="37"/>
              <w:spacing w:beforeLines="0" w:afterLines="0" w:line="240" w:lineRule="auto"/>
              <w:rPr>
                <w:rFonts w:ascii="Times New Roman"/>
                <w:snapToGrid w:val="0"/>
                <w:color w:val="000000"/>
                <w:kern w:val="21"/>
                <w:sz w:val="24"/>
                <w:szCs w:val="21"/>
              </w:rPr>
            </w:pPr>
            <w:r>
              <w:rPr>
                <w:rFonts w:ascii="Times New Roman"/>
                <w:snapToGrid w:val="0"/>
                <w:color w:val="000000"/>
                <w:kern w:val="21"/>
                <w:sz w:val="24"/>
                <w:szCs w:val="21"/>
              </w:rPr>
              <w:t>固体废物</w:t>
            </w:r>
          </w:p>
        </w:tc>
        <w:tc>
          <w:tcPr>
            <w:tcW w:w="1536" w:type="dxa"/>
            <w:noWrap/>
            <w:vAlign w:val="center"/>
          </w:tcPr>
          <w:p w14:paraId="1B172375">
            <w:pPr>
              <w:jc w:val="center"/>
              <w:rPr>
                <w:rFonts w:hint="eastAsia"/>
                <w:color w:val="000000"/>
                <w:szCs w:val="21"/>
                <w:highlight w:val="none"/>
                <w:lang w:val="en-US" w:eastAsia="zh-CN"/>
              </w:rPr>
            </w:pPr>
            <w:r>
              <w:rPr>
                <w:rFonts w:hint="eastAsia"/>
                <w:color w:val="000000"/>
                <w:szCs w:val="21"/>
                <w:highlight w:val="none"/>
                <w:lang w:val="en-US" w:eastAsia="zh-CN"/>
              </w:rPr>
              <w:t>废模具</w:t>
            </w:r>
          </w:p>
        </w:tc>
        <w:tc>
          <w:tcPr>
            <w:tcW w:w="1582" w:type="dxa"/>
            <w:noWrap/>
            <w:vAlign w:val="center"/>
          </w:tcPr>
          <w:p w14:paraId="7B2B763F">
            <w:pPr>
              <w:spacing w:beforeLines="20" w:afterLines="20"/>
              <w:jc w:val="center"/>
              <w:rPr>
                <w:rFonts w:hint="eastAsia"/>
                <w:color w:val="000000"/>
                <w:szCs w:val="21"/>
              </w:rPr>
            </w:pPr>
            <w:r>
              <w:rPr>
                <w:rFonts w:hint="eastAsia"/>
                <w:color w:val="000000"/>
                <w:szCs w:val="21"/>
              </w:rPr>
              <w:t>/</w:t>
            </w:r>
          </w:p>
        </w:tc>
        <w:tc>
          <w:tcPr>
            <w:tcW w:w="1276" w:type="dxa"/>
            <w:noWrap/>
            <w:vAlign w:val="center"/>
          </w:tcPr>
          <w:p w14:paraId="47D2FD08">
            <w:pPr>
              <w:spacing w:beforeLines="20" w:afterLines="20"/>
              <w:jc w:val="center"/>
              <w:rPr>
                <w:rFonts w:hint="eastAsia"/>
                <w:color w:val="000000"/>
                <w:szCs w:val="21"/>
              </w:rPr>
            </w:pPr>
            <w:r>
              <w:rPr>
                <w:rFonts w:hint="eastAsia"/>
                <w:color w:val="000000"/>
                <w:szCs w:val="21"/>
              </w:rPr>
              <w:t>/</w:t>
            </w:r>
          </w:p>
        </w:tc>
        <w:tc>
          <w:tcPr>
            <w:tcW w:w="1701" w:type="dxa"/>
            <w:noWrap/>
            <w:vAlign w:val="center"/>
          </w:tcPr>
          <w:p w14:paraId="74AAB6B4">
            <w:pPr>
              <w:jc w:val="center"/>
              <w:rPr>
                <w:rFonts w:hint="eastAsia"/>
                <w:color w:val="000000"/>
                <w:szCs w:val="21"/>
              </w:rPr>
            </w:pPr>
            <w:r>
              <w:rPr>
                <w:rFonts w:hint="eastAsia"/>
                <w:color w:val="000000"/>
                <w:szCs w:val="21"/>
              </w:rPr>
              <w:t>/</w:t>
            </w:r>
          </w:p>
        </w:tc>
        <w:tc>
          <w:tcPr>
            <w:tcW w:w="1559" w:type="dxa"/>
            <w:noWrap/>
            <w:vAlign w:val="center"/>
          </w:tcPr>
          <w:p w14:paraId="07BD92D9">
            <w:pPr>
              <w:jc w:val="center"/>
              <w:rPr>
                <w:rFonts w:hint="default"/>
                <w:color w:val="000000"/>
                <w:szCs w:val="21"/>
                <w:lang w:val="en-US" w:eastAsia="zh-CN"/>
              </w:rPr>
            </w:pPr>
            <w:r>
              <w:rPr>
                <w:rFonts w:hint="eastAsia"/>
                <w:color w:val="000000"/>
                <w:szCs w:val="21"/>
                <w:lang w:val="en-US" w:eastAsia="zh-CN"/>
              </w:rPr>
              <w:t>10</w:t>
            </w:r>
          </w:p>
        </w:tc>
        <w:tc>
          <w:tcPr>
            <w:tcW w:w="1450" w:type="dxa"/>
            <w:noWrap/>
            <w:vAlign w:val="center"/>
          </w:tcPr>
          <w:p w14:paraId="07039710">
            <w:pPr>
              <w:spacing w:beforeLines="20" w:afterLines="20"/>
              <w:jc w:val="center"/>
              <w:rPr>
                <w:rFonts w:hint="eastAsia"/>
                <w:color w:val="000000"/>
                <w:szCs w:val="21"/>
              </w:rPr>
            </w:pPr>
            <w:r>
              <w:rPr>
                <w:rFonts w:hint="eastAsia"/>
                <w:color w:val="000000"/>
                <w:szCs w:val="21"/>
              </w:rPr>
              <w:t>/</w:t>
            </w:r>
          </w:p>
        </w:tc>
        <w:tc>
          <w:tcPr>
            <w:tcW w:w="1545" w:type="dxa"/>
            <w:noWrap/>
            <w:vAlign w:val="center"/>
          </w:tcPr>
          <w:p w14:paraId="11255217">
            <w:pPr>
              <w:jc w:val="center"/>
              <w:rPr>
                <w:rFonts w:hint="default"/>
                <w:color w:val="000000"/>
                <w:szCs w:val="21"/>
                <w:lang w:val="en-US" w:eastAsia="zh-CN"/>
              </w:rPr>
            </w:pPr>
            <w:r>
              <w:rPr>
                <w:rFonts w:hint="eastAsia"/>
                <w:color w:val="000000"/>
                <w:szCs w:val="21"/>
                <w:lang w:val="en-US" w:eastAsia="zh-CN"/>
              </w:rPr>
              <w:t>10</w:t>
            </w:r>
          </w:p>
        </w:tc>
        <w:tc>
          <w:tcPr>
            <w:tcW w:w="1551" w:type="dxa"/>
            <w:noWrap/>
            <w:vAlign w:val="center"/>
          </w:tcPr>
          <w:p w14:paraId="4C77262E">
            <w:pPr>
              <w:jc w:val="center"/>
              <w:rPr>
                <w:rFonts w:hint="default"/>
                <w:bCs/>
                <w:color w:val="000000"/>
                <w:kern w:val="0"/>
                <w:szCs w:val="21"/>
                <w:lang w:val="en-US" w:eastAsia="zh-CN"/>
              </w:rPr>
            </w:pPr>
            <w:r>
              <w:rPr>
                <w:rFonts w:hint="eastAsia"/>
                <w:bCs/>
                <w:color w:val="000000"/>
                <w:kern w:val="0"/>
                <w:szCs w:val="21"/>
                <w:lang w:val="en-US" w:eastAsia="zh-CN"/>
              </w:rPr>
              <w:t>+10</w:t>
            </w:r>
          </w:p>
        </w:tc>
      </w:tr>
      <w:tr w14:paraId="2BBDA7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gridSpan w:val="2"/>
            <w:vMerge w:val="continue"/>
            <w:noWrap/>
            <w:vAlign w:val="center"/>
          </w:tcPr>
          <w:p w14:paraId="18BC7352">
            <w:pPr>
              <w:pStyle w:val="37"/>
              <w:spacing w:beforeLines="0" w:afterLines="0" w:line="240" w:lineRule="auto"/>
              <w:rPr>
                <w:rFonts w:ascii="Times New Roman"/>
                <w:snapToGrid w:val="0"/>
                <w:color w:val="000000"/>
                <w:kern w:val="21"/>
                <w:sz w:val="24"/>
                <w:szCs w:val="21"/>
              </w:rPr>
            </w:pPr>
          </w:p>
        </w:tc>
        <w:tc>
          <w:tcPr>
            <w:tcW w:w="1536" w:type="dxa"/>
            <w:noWrap/>
            <w:vAlign w:val="center"/>
          </w:tcPr>
          <w:p w14:paraId="2523C9B1">
            <w:pPr>
              <w:jc w:val="center"/>
              <w:rPr>
                <w:color w:val="000000"/>
                <w:szCs w:val="21"/>
              </w:rPr>
            </w:pPr>
            <w:r>
              <w:rPr>
                <w:rFonts w:hint="eastAsia"/>
                <w:color w:val="000000"/>
                <w:szCs w:val="21"/>
                <w:highlight w:val="none"/>
                <w:lang w:val="en-US" w:eastAsia="zh-CN"/>
              </w:rPr>
              <w:t>废包装袋</w:t>
            </w:r>
          </w:p>
        </w:tc>
        <w:tc>
          <w:tcPr>
            <w:tcW w:w="1582" w:type="dxa"/>
            <w:noWrap/>
            <w:vAlign w:val="center"/>
          </w:tcPr>
          <w:p w14:paraId="3AEDC902">
            <w:pPr>
              <w:spacing w:beforeLines="20" w:afterLines="20"/>
              <w:jc w:val="center"/>
              <w:rPr>
                <w:color w:val="000000"/>
                <w:szCs w:val="21"/>
              </w:rPr>
            </w:pPr>
            <w:r>
              <w:rPr>
                <w:rFonts w:hint="eastAsia"/>
                <w:color w:val="000000"/>
                <w:szCs w:val="21"/>
              </w:rPr>
              <w:t>/</w:t>
            </w:r>
          </w:p>
        </w:tc>
        <w:tc>
          <w:tcPr>
            <w:tcW w:w="1276" w:type="dxa"/>
            <w:noWrap/>
            <w:vAlign w:val="center"/>
          </w:tcPr>
          <w:p w14:paraId="5F730692">
            <w:pPr>
              <w:spacing w:beforeLines="20" w:afterLines="20"/>
              <w:jc w:val="center"/>
              <w:rPr>
                <w:color w:val="000000"/>
                <w:szCs w:val="21"/>
              </w:rPr>
            </w:pPr>
            <w:r>
              <w:rPr>
                <w:rFonts w:hint="eastAsia"/>
                <w:color w:val="000000"/>
                <w:szCs w:val="21"/>
              </w:rPr>
              <w:t>/</w:t>
            </w:r>
          </w:p>
        </w:tc>
        <w:tc>
          <w:tcPr>
            <w:tcW w:w="1701" w:type="dxa"/>
            <w:noWrap/>
            <w:vAlign w:val="center"/>
          </w:tcPr>
          <w:p w14:paraId="4D232A73">
            <w:pPr>
              <w:jc w:val="center"/>
              <w:rPr>
                <w:color w:val="000000"/>
                <w:szCs w:val="21"/>
              </w:rPr>
            </w:pPr>
            <w:r>
              <w:rPr>
                <w:rFonts w:hint="eastAsia"/>
                <w:color w:val="000000"/>
                <w:szCs w:val="21"/>
              </w:rPr>
              <w:t>/</w:t>
            </w:r>
          </w:p>
        </w:tc>
        <w:tc>
          <w:tcPr>
            <w:tcW w:w="1559" w:type="dxa"/>
            <w:noWrap/>
            <w:vAlign w:val="center"/>
          </w:tcPr>
          <w:p w14:paraId="35D0C384">
            <w:pPr>
              <w:jc w:val="center"/>
              <w:rPr>
                <w:color w:val="000000"/>
                <w:szCs w:val="21"/>
              </w:rPr>
            </w:pPr>
            <w:r>
              <w:rPr>
                <w:rFonts w:hint="eastAsia"/>
                <w:color w:val="000000"/>
                <w:szCs w:val="21"/>
                <w:lang w:val="en-US" w:eastAsia="zh-CN"/>
              </w:rPr>
              <w:t>0.32</w:t>
            </w:r>
          </w:p>
        </w:tc>
        <w:tc>
          <w:tcPr>
            <w:tcW w:w="1450" w:type="dxa"/>
            <w:noWrap/>
            <w:vAlign w:val="center"/>
          </w:tcPr>
          <w:p w14:paraId="48F28C8F">
            <w:pPr>
              <w:spacing w:beforeLines="20" w:afterLines="20"/>
              <w:jc w:val="center"/>
              <w:rPr>
                <w:color w:val="000000"/>
                <w:szCs w:val="21"/>
              </w:rPr>
            </w:pPr>
            <w:r>
              <w:rPr>
                <w:rFonts w:hint="eastAsia"/>
                <w:color w:val="000000"/>
                <w:szCs w:val="21"/>
              </w:rPr>
              <w:t>/</w:t>
            </w:r>
          </w:p>
        </w:tc>
        <w:tc>
          <w:tcPr>
            <w:tcW w:w="1545" w:type="dxa"/>
            <w:noWrap/>
            <w:vAlign w:val="center"/>
          </w:tcPr>
          <w:p w14:paraId="1155A5BF">
            <w:pPr>
              <w:jc w:val="center"/>
              <w:rPr>
                <w:color w:val="000000"/>
                <w:szCs w:val="21"/>
              </w:rPr>
            </w:pPr>
            <w:r>
              <w:rPr>
                <w:rFonts w:hint="eastAsia"/>
                <w:color w:val="000000"/>
                <w:szCs w:val="21"/>
                <w:lang w:val="en-US" w:eastAsia="zh-CN"/>
              </w:rPr>
              <w:t>0.32</w:t>
            </w:r>
          </w:p>
        </w:tc>
        <w:tc>
          <w:tcPr>
            <w:tcW w:w="1551" w:type="dxa"/>
            <w:noWrap/>
            <w:vAlign w:val="center"/>
          </w:tcPr>
          <w:p w14:paraId="7F097F69">
            <w:pPr>
              <w:jc w:val="center"/>
              <w:rPr>
                <w:color w:val="000000"/>
                <w:szCs w:val="21"/>
              </w:rPr>
            </w:pPr>
            <w:r>
              <w:rPr>
                <w:rFonts w:hint="eastAsia"/>
                <w:bCs/>
                <w:color w:val="000000"/>
                <w:kern w:val="0"/>
                <w:szCs w:val="21"/>
                <w:lang w:val="en-US" w:eastAsia="zh-CN"/>
              </w:rPr>
              <w:t>+</w:t>
            </w:r>
            <w:r>
              <w:rPr>
                <w:rFonts w:hint="eastAsia"/>
                <w:color w:val="000000"/>
                <w:szCs w:val="21"/>
                <w:lang w:val="en-US" w:eastAsia="zh-CN"/>
              </w:rPr>
              <w:t>0.32</w:t>
            </w:r>
          </w:p>
        </w:tc>
      </w:tr>
      <w:tr w14:paraId="010703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gridSpan w:val="2"/>
            <w:vMerge w:val="restart"/>
            <w:noWrap/>
            <w:vAlign w:val="center"/>
          </w:tcPr>
          <w:p w14:paraId="73366231">
            <w:pPr>
              <w:pStyle w:val="37"/>
              <w:spacing w:beforeLines="0" w:afterLines="0" w:line="240" w:lineRule="auto"/>
              <w:rPr>
                <w:rFonts w:ascii="Times New Roman"/>
                <w:snapToGrid w:val="0"/>
                <w:color w:val="000000"/>
                <w:kern w:val="21"/>
                <w:sz w:val="24"/>
                <w:szCs w:val="21"/>
              </w:rPr>
            </w:pPr>
            <w:r>
              <w:rPr>
                <w:rFonts w:hint="eastAsia" w:ascii="Times New Roman"/>
                <w:snapToGrid w:val="0"/>
                <w:color w:val="000000"/>
                <w:kern w:val="21"/>
                <w:sz w:val="24"/>
                <w:szCs w:val="21"/>
              </w:rPr>
              <w:t>危险废物</w:t>
            </w:r>
          </w:p>
        </w:tc>
        <w:tc>
          <w:tcPr>
            <w:tcW w:w="1536" w:type="dxa"/>
            <w:noWrap/>
            <w:vAlign w:val="center"/>
          </w:tcPr>
          <w:p w14:paraId="7E242B23">
            <w:pPr>
              <w:jc w:val="center"/>
              <w:rPr>
                <w:color w:val="000000"/>
                <w:szCs w:val="21"/>
              </w:rPr>
            </w:pPr>
            <w:r>
              <w:rPr>
                <w:rFonts w:hint="eastAsia"/>
                <w:color w:val="auto"/>
                <w:szCs w:val="21"/>
                <w:lang w:val="en-US" w:eastAsia="zh-CN"/>
              </w:rPr>
              <w:t>废液压油</w:t>
            </w:r>
          </w:p>
        </w:tc>
        <w:tc>
          <w:tcPr>
            <w:tcW w:w="1582" w:type="dxa"/>
            <w:noWrap/>
            <w:vAlign w:val="center"/>
          </w:tcPr>
          <w:p w14:paraId="3165F206">
            <w:pPr>
              <w:spacing w:beforeLines="20" w:afterLines="20"/>
              <w:jc w:val="center"/>
              <w:rPr>
                <w:bCs/>
                <w:color w:val="000000"/>
                <w:szCs w:val="21"/>
              </w:rPr>
            </w:pPr>
            <w:r>
              <w:rPr>
                <w:rFonts w:hint="eastAsia"/>
                <w:color w:val="000000"/>
                <w:szCs w:val="21"/>
              </w:rPr>
              <w:t>/</w:t>
            </w:r>
          </w:p>
        </w:tc>
        <w:tc>
          <w:tcPr>
            <w:tcW w:w="1276" w:type="dxa"/>
            <w:noWrap/>
            <w:vAlign w:val="center"/>
          </w:tcPr>
          <w:p w14:paraId="23B404FA">
            <w:pPr>
              <w:spacing w:beforeLines="20" w:afterLines="20"/>
              <w:jc w:val="center"/>
              <w:rPr>
                <w:bCs/>
                <w:color w:val="000000"/>
                <w:szCs w:val="21"/>
              </w:rPr>
            </w:pPr>
            <w:r>
              <w:rPr>
                <w:rFonts w:hint="eastAsia"/>
                <w:color w:val="000000"/>
                <w:szCs w:val="21"/>
              </w:rPr>
              <w:t>/</w:t>
            </w:r>
          </w:p>
        </w:tc>
        <w:tc>
          <w:tcPr>
            <w:tcW w:w="1701" w:type="dxa"/>
            <w:noWrap/>
            <w:vAlign w:val="center"/>
          </w:tcPr>
          <w:p w14:paraId="307A1AB3">
            <w:pPr>
              <w:jc w:val="center"/>
              <w:rPr>
                <w:color w:val="000000"/>
                <w:szCs w:val="21"/>
              </w:rPr>
            </w:pPr>
            <w:r>
              <w:rPr>
                <w:rFonts w:hint="eastAsia"/>
                <w:color w:val="000000"/>
                <w:szCs w:val="21"/>
              </w:rPr>
              <w:t>/</w:t>
            </w:r>
          </w:p>
        </w:tc>
        <w:tc>
          <w:tcPr>
            <w:tcW w:w="1559" w:type="dxa"/>
            <w:noWrap/>
            <w:vAlign w:val="center"/>
          </w:tcPr>
          <w:p w14:paraId="3FB2ADA9">
            <w:pPr>
              <w:jc w:val="center"/>
              <w:rPr>
                <w:color w:val="000000"/>
                <w:szCs w:val="21"/>
              </w:rPr>
            </w:pPr>
            <w:r>
              <w:rPr>
                <w:rFonts w:hint="eastAsia"/>
                <w:color w:val="000000"/>
                <w:szCs w:val="21"/>
                <w:lang w:val="en-US" w:eastAsia="zh-CN"/>
              </w:rPr>
              <w:t>0.34/5a</w:t>
            </w:r>
          </w:p>
        </w:tc>
        <w:tc>
          <w:tcPr>
            <w:tcW w:w="1450" w:type="dxa"/>
            <w:noWrap/>
            <w:vAlign w:val="center"/>
          </w:tcPr>
          <w:p w14:paraId="6884F873">
            <w:pPr>
              <w:spacing w:beforeLines="20" w:afterLines="20"/>
              <w:jc w:val="center"/>
              <w:rPr>
                <w:color w:val="000000"/>
                <w:szCs w:val="21"/>
              </w:rPr>
            </w:pPr>
            <w:r>
              <w:rPr>
                <w:rFonts w:hint="eastAsia"/>
                <w:color w:val="000000"/>
                <w:szCs w:val="21"/>
              </w:rPr>
              <w:t>/</w:t>
            </w:r>
          </w:p>
        </w:tc>
        <w:tc>
          <w:tcPr>
            <w:tcW w:w="1545" w:type="dxa"/>
            <w:noWrap/>
            <w:vAlign w:val="center"/>
          </w:tcPr>
          <w:p w14:paraId="49BA27EE">
            <w:pPr>
              <w:jc w:val="center"/>
              <w:rPr>
                <w:color w:val="000000"/>
                <w:szCs w:val="21"/>
              </w:rPr>
            </w:pPr>
            <w:r>
              <w:rPr>
                <w:rFonts w:hint="eastAsia"/>
                <w:color w:val="000000"/>
                <w:szCs w:val="21"/>
                <w:lang w:val="en-US" w:eastAsia="zh-CN"/>
              </w:rPr>
              <w:t>0.34/5a</w:t>
            </w:r>
          </w:p>
        </w:tc>
        <w:tc>
          <w:tcPr>
            <w:tcW w:w="1551" w:type="dxa"/>
            <w:noWrap/>
            <w:vAlign w:val="center"/>
          </w:tcPr>
          <w:p w14:paraId="058D32BD">
            <w:pPr>
              <w:jc w:val="center"/>
              <w:rPr>
                <w:color w:val="000000"/>
                <w:szCs w:val="21"/>
              </w:rPr>
            </w:pPr>
            <w:r>
              <w:rPr>
                <w:rFonts w:hint="eastAsia"/>
                <w:bCs/>
                <w:color w:val="000000"/>
                <w:kern w:val="0"/>
                <w:szCs w:val="21"/>
                <w:lang w:val="en-US" w:eastAsia="zh-CN"/>
              </w:rPr>
              <w:t>+</w:t>
            </w:r>
            <w:r>
              <w:rPr>
                <w:rFonts w:hint="eastAsia"/>
                <w:color w:val="000000"/>
                <w:szCs w:val="21"/>
                <w:lang w:val="en-US" w:eastAsia="zh-CN"/>
              </w:rPr>
              <w:t>0.34/5a</w:t>
            </w:r>
          </w:p>
        </w:tc>
      </w:tr>
      <w:tr w14:paraId="5C525F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gridSpan w:val="2"/>
            <w:vMerge w:val="continue"/>
            <w:noWrap/>
            <w:vAlign w:val="center"/>
          </w:tcPr>
          <w:p w14:paraId="76F5E11F">
            <w:pPr>
              <w:pStyle w:val="37"/>
              <w:spacing w:beforeLines="0" w:afterLines="0" w:line="240" w:lineRule="auto"/>
              <w:rPr>
                <w:rFonts w:ascii="Times New Roman"/>
                <w:snapToGrid w:val="0"/>
                <w:color w:val="000000"/>
                <w:kern w:val="21"/>
                <w:sz w:val="24"/>
                <w:szCs w:val="21"/>
              </w:rPr>
            </w:pPr>
          </w:p>
        </w:tc>
        <w:tc>
          <w:tcPr>
            <w:tcW w:w="1536" w:type="dxa"/>
            <w:noWrap/>
            <w:vAlign w:val="center"/>
          </w:tcPr>
          <w:p w14:paraId="78DBA179">
            <w:pPr>
              <w:jc w:val="center"/>
              <w:rPr>
                <w:color w:val="000000"/>
                <w:szCs w:val="21"/>
              </w:rPr>
            </w:pPr>
            <w:r>
              <w:rPr>
                <w:rFonts w:hint="eastAsia"/>
                <w:color w:val="auto"/>
                <w:szCs w:val="21"/>
                <w:lang w:val="en-US" w:eastAsia="zh-CN"/>
              </w:rPr>
              <w:t>废抹布</w:t>
            </w:r>
          </w:p>
        </w:tc>
        <w:tc>
          <w:tcPr>
            <w:tcW w:w="1582" w:type="dxa"/>
            <w:noWrap/>
            <w:vAlign w:val="center"/>
          </w:tcPr>
          <w:p w14:paraId="5A9076A5">
            <w:pPr>
              <w:spacing w:beforeLines="20" w:afterLines="20"/>
              <w:jc w:val="center"/>
              <w:rPr>
                <w:color w:val="000000"/>
                <w:szCs w:val="21"/>
              </w:rPr>
            </w:pPr>
            <w:r>
              <w:rPr>
                <w:rFonts w:hint="eastAsia"/>
                <w:color w:val="000000"/>
                <w:szCs w:val="21"/>
              </w:rPr>
              <w:t>/</w:t>
            </w:r>
          </w:p>
        </w:tc>
        <w:tc>
          <w:tcPr>
            <w:tcW w:w="1276" w:type="dxa"/>
            <w:noWrap/>
            <w:vAlign w:val="center"/>
          </w:tcPr>
          <w:p w14:paraId="215B9397">
            <w:pPr>
              <w:spacing w:beforeLines="20" w:afterLines="20"/>
              <w:jc w:val="center"/>
              <w:rPr>
                <w:color w:val="000000"/>
                <w:szCs w:val="21"/>
              </w:rPr>
            </w:pPr>
            <w:r>
              <w:rPr>
                <w:rFonts w:hint="eastAsia"/>
                <w:color w:val="000000"/>
                <w:szCs w:val="21"/>
              </w:rPr>
              <w:t>/</w:t>
            </w:r>
          </w:p>
        </w:tc>
        <w:tc>
          <w:tcPr>
            <w:tcW w:w="1701" w:type="dxa"/>
            <w:noWrap/>
            <w:vAlign w:val="center"/>
          </w:tcPr>
          <w:p w14:paraId="257E5B61">
            <w:pPr>
              <w:jc w:val="center"/>
              <w:rPr>
                <w:color w:val="000000"/>
                <w:szCs w:val="21"/>
              </w:rPr>
            </w:pPr>
            <w:r>
              <w:rPr>
                <w:rFonts w:hint="eastAsia"/>
                <w:color w:val="000000"/>
                <w:szCs w:val="21"/>
              </w:rPr>
              <w:t>/</w:t>
            </w:r>
          </w:p>
        </w:tc>
        <w:tc>
          <w:tcPr>
            <w:tcW w:w="1559" w:type="dxa"/>
            <w:noWrap/>
            <w:vAlign w:val="center"/>
          </w:tcPr>
          <w:p w14:paraId="35A3CE2A">
            <w:pPr>
              <w:jc w:val="center"/>
              <w:rPr>
                <w:color w:val="000000"/>
                <w:szCs w:val="21"/>
              </w:rPr>
            </w:pPr>
            <w:r>
              <w:rPr>
                <w:rFonts w:hint="eastAsia"/>
                <w:color w:val="000000"/>
                <w:szCs w:val="21"/>
                <w:lang w:val="en-US" w:eastAsia="zh-CN"/>
              </w:rPr>
              <w:t>0.28</w:t>
            </w:r>
          </w:p>
        </w:tc>
        <w:tc>
          <w:tcPr>
            <w:tcW w:w="1450" w:type="dxa"/>
            <w:noWrap/>
            <w:vAlign w:val="center"/>
          </w:tcPr>
          <w:p w14:paraId="6A3CA11E">
            <w:pPr>
              <w:spacing w:beforeLines="20" w:afterLines="20"/>
              <w:jc w:val="center"/>
              <w:rPr>
                <w:color w:val="000000"/>
                <w:szCs w:val="21"/>
              </w:rPr>
            </w:pPr>
            <w:r>
              <w:rPr>
                <w:rFonts w:hint="eastAsia"/>
                <w:color w:val="000000"/>
                <w:szCs w:val="21"/>
              </w:rPr>
              <w:t>/</w:t>
            </w:r>
          </w:p>
        </w:tc>
        <w:tc>
          <w:tcPr>
            <w:tcW w:w="1545" w:type="dxa"/>
            <w:noWrap/>
            <w:vAlign w:val="center"/>
          </w:tcPr>
          <w:p w14:paraId="4316B0AC">
            <w:pPr>
              <w:jc w:val="center"/>
              <w:rPr>
                <w:color w:val="000000"/>
                <w:szCs w:val="21"/>
              </w:rPr>
            </w:pPr>
            <w:r>
              <w:rPr>
                <w:rFonts w:hint="eastAsia"/>
                <w:color w:val="000000"/>
                <w:szCs w:val="21"/>
                <w:lang w:val="en-US" w:eastAsia="zh-CN"/>
              </w:rPr>
              <w:t>0.28</w:t>
            </w:r>
          </w:p>
        </w:tc>
        <w:tc>
          <w:tcPr>
            <w:tcW w:w="1551" w:type="dxa"/>
            <w:noWrap/>
            <w:vAlign w:val="center"/>
          </w:tcPr>
          <w:p w14:paraId="2795CFE4">
            <w:pPr>
              <w:jc w:val="center"/>
              <w:rPr>
                <w:color w:val="000000"/>
                <w:szCs w:val="21"/>
              </w:rPr>
            </w:pPr>
            <w:r>
              <w:rPr>
                <w:rFonts w:hint="eastAsia"/>
                <w:bCs/>
                <w:color w:val="000000"/>
                <w:kern w:val="0"/>
                <w:szCs w:val="21"/>
                <w:lang w:val="en-US" w:eastAsia="zh-CN"/>
              </w:rPr>
              <w:t>+</w:t>
            </w:r>
            <w:r>
              <w:rPr>
                <w:rFonts w:hint="eastAsia"/>
                <w:color w:val="000000"/>
                <w:szCs w:val="21"/>
                <w:lang w:val="en-US" w:eastAsia="zh-CN"/>
              </w:rPr>
              <w:t>0.28</w:t>
            </w:r>
          </w:p>
        </w:tc>
      </w:tr>
      <w:tr w14:paraId="5BFF40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gridSpan w:val="2"/>
            <w:vMerge w:val="continue"/>
            <w:noWrap/>
            <w:vAlign w:val="center"/>
          </w:tcPr>
          <w:p w14:paraId="3880DBA6">
            <w:pPr>
              <w:pStyle w:val="37"/>
              <w:spacing w:beforeLines="0" w:afterLines="0" w:line="240" w:lineRule="auto"/>
              <w:rPr>
                <w:rFonts w:ascii="Times New Roman"/>
                <w:snapToGrid w:val="0"/>
                <w:color w:val="000000"/>
                <w:kern w:val="21"/>
                <w:sz w:val="24"/>
                <w:szCs w:val="21"/>
              </w:rPr>
            </w:pPr>
          </w:p>
        </w:tc>
        <w:tc>
          <w:tcPr>
            <w:tcW w:w="1536" w:type="dxa"/>
            <w:noWrap/>
            <w:vAlign w:val="center"/>
          </w:tcPr>
          <w:p w14:paraId="493128E2">
            <w:pPr>
              <w:jc w:val="center"/>
              <w:rPr>
                <w:color w:val="000000"/>
                <w:szCs w:val="21"/>
              </w:rPr>
            </w:pPr>
            <w:r>
              <w:rPr>
                <w:rFonts w:hint="eastAsia"/>
                <w:color w:val="auto"/>
                <w:szCs w:val="21"/>
                <w:lang w:val="en-US" w:eastAsia="zh-CN"/>
              </w:rPr>
              <w:t>废包装桶</w:t>
            </w:r>
          </w:p>
        </w:tc>
        <w:tc>
          <w:tcPr>
            <w:tcW w:w="1582" w:type="dxa"/>
            <w:noWrap/>
            <w:vAlign w:val="center"/>
          </w:tcPr>
          <w:p w14:paraId="63A73B34">
            <w:pPr>
              <w:spacing w:beforeLines="20" w:afterLines="20"/>
              <w:jc w:val="center"/>
              <w:rPr>
                <w:bCs/>
                <w:color w:val="000000"/>
                <w:szCs w:val="21"/>
              </w:rPr>
            </w:pPr>
            <w:r>
              <w:rPr>
                <w:rFonts w:hint="eastAsia"/>
                <w:color w:val="000000"/>
                <w:szCs w:val="21"/>
              </w:rPr>
              <w:t>/</w:t>
            </w:r>
          </w:p>
        </w:tc>
        <w:tc>
          <w:tcPr>
            <w:tcW w:w="1276" w:type="dxa"/>
            <w:noWrap/>
            <w:vAlign w:val="center"/>
          </w:tcPr>
          <w:p w14:paraId="69E9E46D">
            <w:pPr>
              <w:spacing w:beforeLines="20" w:afterLines="20"/>
              <w:jc w:val="center"/>
              <w:rPr>
                <w:bCs/>
                <w:color w:val="000000"/>
                <w:szCs w:val="21"/>
              </w:rPr>
            </w:pPr>
            <w:r>
              <w:rPr>
                <w:rFonts w:hint="eastAsia"/>
                <w:color w:val="000000"/>
                <w:szCs w:val="21"/>
              </w:rPr>
              <w:t>/</w:t>
            </w:r>
          </w:p>
        </w:tc>
        <w:tc>
          <w:tcPr>
            <w:tcW w:w="1701" w:type="dxa"/>
            <w:noWrap/>
            <w:vAlign w:val="center"/>
          </w:tcPr>
          <w:p w14:paraId="7DC23033">
            <w:pPr>
              <w:jc w:val="center"/>
              <w:rPr>
                <w:color w:val="000000"/>
                <w:szCs w:val="21"/>
              </w:rPr>
            </w:pPr>
            <w:r>
              <w:rPr>
                <w:rFonts w:hint="eastAsia"/>
                <w:color w:val="000000"/>
                <w:szCs w:val="21"/>
              </w:rPr>
              <w:t>/</w:t>
            </w:r>
          </w:p>
        </w:tc>
        <w:tc>
          <w:tcPr>
            <w:tcW w:w="1559" w:type="dxa"/>
            <w:noWrap/>
            <w:vAlign w:val="center"/>
          </w:tcPr>
          <w:p w14:paraId="0C8236B2">
            <w:pPr>
              <w:jc w:val="center"/>
              <w:rPr>
                <w:color w:val="000000"/>
                <w:szCs w:val="21"/>
              </w:rPr>
            </w:pPr>
            <w:r>
              <w:rPr>
                <w:rFonts w:hint="eastAsia"/>
                <w:color w:val="000000"/>
                <w:szCs w:val="21"/>
                <w:lang w:val="en-US" w:eastAsia="zh-CN"/>
              </w:rPr>
              <w:t>0.02</w:t>
            </w:r>
          </w:p>
        </w:tc>
        <w:tc>
          <w:tcPr>
            <w:tcW w:w="1450" w:type="dxa"/>
            <w:noWrap/>
            <w:vAlign w:val="center"/>
          </w:tcPr>
          <w:p w14:paraId="331865E7">
            <w:pPr>
              <w:spacing w:beforeLines="20" w:afterLines="20"/>
              <w:jc w:val="center"/>
              <w:rPr>
                <w:color w:val="000000"/>
                <w:szCs w:val="21"/>
              </w:rPr>
            </w:pPr>
            <w:r>
              <w:rPr>
                <w:rFonts w:hint="eastAsia"/>
                <w:color w:val="000000"/>
                <w:szCs w:val="21"/>
              </w:rPr>
              <w:t>/</w:t>
            </w:r>
          </w:p>
        </w:tc>
        <w:tc>
          <w:tcPr>
            <w:tcW w:w="1545" w:type="dxa"/>
            <w:noWrap/>
            <w:vAlign w:val="center"/>
          </w:tcPr>
          <w:p w14:paraId="3E38EBBC">
            <w:pPr>
              <w:jc w:val="center"/>
              <w:rPr>
                <w:color w:val="000000"/>
                <w:szCs w:val="21"/>
              </w:rPr>
            </w:pPr>
            <w:r>
              <w:rPr>
                <w:rFonts w:hint="eastAsia"/>
                <w:color w:val="000000"/>
                <w:szCs w:val="21"/>
                <w:lang w:val="en-US" w:eastAsia="zh-CN"/>
              </w:rPr>
              <w:t>0.02</w:t>
            </w:r>
          </w:p>
        </w:tc>
        <w:tc>
          <w:tcPr>
            <w:tcW w:w="1551" w:type="dxa"/>
            <w:noWrap/>
            <w:vAlign w:val="center"/>
          </w:tcPr>
          <w:p w14:paraId="5F417681">
            <w:pPr>
              <w:jc w:val="center"/>
              <w:rPr>
                <w:color w:val="000000"/>
                <w:szCs w:val="21"/>
              </w:rPr>
            </w:pPr>
            <w:r>
              <w:rPr>
                <w:rFonts w:hint="eastAsia"/>
                <w:bCs/>
                <w:color w:val="000000"/>
                <w:kern w:val="0"/>
                <w:szCs w:val="21"/>
                <w:lang w:val="en-US" w:eastAsia="zh-CN"/>
              </w:rPr>
              <w:t>+</w:t>
            </w:r>
            <w:r>
              <w:rPr>
                <w:rFonts w:hint="eastAsia"/>
                <w:color w:val="000000"/>
                <w:szCs w:val="21"/>
                <w:lang w:val="en-US" w:eastAsia="zh-CN"/>
              </w:rPr>
              <w:t>0.02</w:t>
            </w:r>
          </w:p>
        </w:tc>
      </w:tr>
      <w:tr w14:paraId="06E871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gridSpan w:val="2"/>
            <w:vMerge w:val="continue"/>
            <w:noWrap/>
            <w:vAlign w:val="center"/>
          </w:tcPr>
          <w:p w14:paraId="63DA8402">
            <w:pPr>
              <w:pStyle w:val="37"/>
              <w:spacing w:beforeLines="0" w:afterLines="0" w:line="240" w:lineRule="auto"/>
              <w:rPr>
                <w:rFonts w:ascii="Times New Roman"/>
                <w:snapToGrid w:val="0"/>
                <w:color w:val="000000"/>
                <w:kern w:val="21"/>
                <w:sz w:val="24"/>
                <w:szCs w:val="21"/>
              </w:rPr>
            </w:pPr>
          </w:p>
        </w:tc>
        <w:tc>
          <w:tcPr>
            <w:tcW w:w="1536" w:type="dxa"/>
            <w:noWrap/>
            <w:vAlign w:val="center"/>
          </w:tcPr>
          <w:p w14:paraId="6330A275">
            <w:pPr>
              <w:jc w:val="center"/>
              <w:rPr>
                <w:color w:val="auto"/>
                <w:szCs w:val="21"/>
              </w:rPr>
            </w:pPr>
            <w:r>
              <w:rPr>
                <w:rFonts w:hint="eastAsia"/>
                <w:color w:val="auto"/>
                <w:szCs w:val="21"/>
                <w:lang w:val="en-US" w:eastAsia="zh-CN"/>
              </w:rPr>
              <w:t>废油桶</w:t>
            </w:r>
          </w:p>
        </w:tc>
        <w:tc>
          <w:tcPr>
            <w:tcW w:w="1582" w:type="dxa"/>
            <w:noWrap/>
            <w:vAlign w:val="center"/>
          </w:tcPr>
          <w:p w14:paraId="7E7DA3A7">
            <w:pPr>
              <w:spacing w:beforeLines="20" w:afterLines="20"/>
              <w:jc w:val="center"/>
              <w:rPr>
                <w:color w:val="auto"/>
                <w:szCs w:val="21"/>
              </w:rPr>
            </w:pPr>
            <w:r>
              <w:rPr>
                <w:rFonts w:hint="eastAsia"/>
                <w:color w:val="000000"/>
                <w:szCs w:val="21"/>
              </w:rPr>
              <w:t>/</w:t>
            </w:r>
          </w:p>
        </w:tc>
        <w:tc>
          <w:tcPr>
            <w:tcW w:w="1276" w:type="dxa"/>
            <w:noWrap/>
            <w:vAlign w:val="center"/>
          </w:tcPr>
          <w:p w14:paraId="6719E173">
            <w:pPr>
              <w:spacing w:beforeLines="20" w:afterLines="20"/>
              <w:jc w:val="center"/>
              <w:rPr>
                <w:color w:val="auto"/>
                <w:szCs w:val="21"/>
              </w:rPr>
            </w:pPr>
            <w:r>
              <w:rPr>
                <w:rFonts w:hint="eastAsia"/>
                <w:color w:val="000000"/>
                <w:szCs w:val="21"/>
              </w:rPr>
              <w:t>/</w:t>
            </w:r>
          </w:p>
        </w:tc>
        <w:tc>
          <w:tcPr>
            <w:tcW w:w="1701" w:type="dxa"/>
            <w:noWrap/>
            <w:vAlign w:val="center"/>
          </w:tcPr>
          <w:p w14:paraId="40DBC685">
            <w:pPr>
              <w:jc w:val="center"/>
              <w:rPr>
                <w:color w:val="auto"/>
                <w:szCs w:val="21"/>
              </w:rPr>
            </w:pPr>
            <w:r>
              <w:rPr>
                <w:rFonts w:hint="eastAsia"/>
                <w:color w:val="000000"/>
                <w:szCs w:val="21"/>
              </w:rPr>
              <w:t>/</w:t>
            </w:r>
          </w:p>
        </w:tc>
        <w:tc>
          <w:tcPr>
            <w:tcW w:w="1559" w:type="dxa"/>
            <w:noWrap/>
            <w:vAlign w:val="center"/>
          </w:tcPr>
          <w:p w14:paraId="34112D32">
            <w:pPr>
              <w:jc w:val="center"/>
              <w:rPr>
                <w:color w:val="auto"/>
                <w:szCs w:val="21"/>
              </w:rPr>
            </w:pPr>
            <w:r>
              <w:rPr>
                <w:rFonts w:hint="eastAsia"/>
                <w:color w:val="auto"/>
                <w:szCs w:val="21"/>
                <w:lang w:val="en-US" w:eastAsia="zh-CN"/>
              </w:rPr>
              <w:t>0.03/5a</w:t>
            </w:r>
          </w:p>
        </w:tc>
        <w:tc>
          <w:tcPr>
            <w:tcW w:w="1450" w:type="dxa"/>
            <w:noWrap/>
            <w:vAlign w:val="center"/>
          </w:tcPr>
          <w:p w14:paraId="7BE28743">
            <w:pPr>
              <w:spacing w:beforeLines="20" w:afterLines="20"/>
              <w:jc w:val="center"/>
              <w:rPr>
                <w:color w:val="auto"/>
                <w:szCs w:val="21"/>
              </w:rPr>
            </w:pPr>
            <w:r>
              <w:rPr>
                <w:rFonts w:hint="eastAsia"/>
                <w:color w:val="000000"/>
                <w:szCs w:val="21"/>
              </w:rPr>
              <w:t>/</w:t>
            </w:r>
          </w:p>
        </w:tc>
        <w:tc>
          <w:tcPr>
            <w:tcW w:w="1545" w:type="dxa"/>
            <w:noWrap/>
            <w:vAlign w:val="center"/>
          </w:tcPr>
          <w:p w14:paraId="7E2C09EB">
            <w:pPr>
              <w:jc w:val="center"/>
              <w:rPr>
                <w:color w:val="auto"/>
                <w:szCs w:val="21"/>
              </w:rPr>
            </w:pPr>
            <w:r>
              <w:rPr>
                <w:rFonts w:hint="eastAsia"/>
                <w:color w:val="auto"/>
                <w:szCs w:val="21"/>
                <w:lang w:val="en-US" w:eastAsia="zh-CN"/>
              </w:rPr>
              <w:t>0.03/5a</w:t>
            </w:r>
          </w:p>
        </w:tc>
        <w:tc>
          <w:tcPr>
            <w:tcW w:w="1551" w:type="dxa"/>
            <w:noWrap/>
            <w:vAlign w:val="center"/>
          </w:tcPr>
          <w:p w14:paraId="08A389E2">
            <w:pPr>
              <w:jc w:val="center"/>
              <w:rPr>
                <w:color w:val="auto"/>
                <w:szCs w:val="21"/>
              </w:rPr>
            </w:pPr>
            <w:r>
              <w:rPr>
                <w:rFonts w:hint="eastAsia"/>
                <w:bCs/>
                <w:color w:val="000000"/>
                <w:kern w:val="0"/>
                <w:szCs w:val="21"/>
                <w:lang w:val="en-US" w:eastAsia="zh-CN"/>
              </w:rPr>
              <w:t>+</w:t>
            </w:r>
            <w:r>
              <w:rPr>
                <w:rFonts w:hint="eastAsia"/>
                <w:color w:val="auto"/>
                <w:szCs w:val="21"/>
                <w:lang w:val="en-US" w:eastAsia="zh-CN"/>
              </w:rPr>
              <w:t>0.03/5a</w:t>
            </w:r>
          </w:p>
        </w:tc>
      </w:tr>
      <w:tr w14:paraId="545CBA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gridSpan w:val="2"/>
            <w:vMerge w:val="continue"/>
            <w:noWrap/>
            <w:vAlign w:val="center"/>
          </w:tcPr>
          <w:p w14:paraId="41B5B51F">
            <w:pPr>
              <w:pStyle w:val="37"/>
              <w:spacing w:beforeLines="0" w:afterLines="0" w:line="240" w:lineRule="auto"/>
              <w:rPr>
                <w:rFonts w:ascii="Times New Roman"/>
                <w:snapToGrid w:val="0"/>
                <w:color w:val="000000"/>
                <w:kern w:val="21"/>
                <w:sz w:val="24"/>
                <w:szCs w:val="21"/>
              </w:rPr>
            </w:pPr>
          </w:p>
        </w:tc>
        <w:tc>
          <w:tcPr>
            <w:tcW w:w="1536" w:type="dxa"/>
            <w:noWrap/>
            <w:vAlign w:val="center"/>
          </w:tcPr>
          <w:p w14:paraId="34C34858">
            <w:pPr>
              <w:jc w:val="center"/>
              <w:rPr>
                <w:color w:val="000000"/>
                <w:szCs w:val="21"/>
                <w:highlight w:val="none"/>
              </w:rPr>
            </w:pPr>
            <w:r>
              <w:rPr>
                <w:rFonts w:hint="eastAsia"/>
                <w:color w:val="000000"/>
                <w:szCs w:val="21"/>
                <w:highlight w:val="none"/>
                <w:lang w:val="en-US" w:eastAsia="zh-CN"/>
              </w:rPr>
              <w:t>废活性炭</w:t>
            </w:r>
          </w:p>
        </w:tc>
        <w:tc>
          <w:tcPr>
            <w:tcW w:w="1582" w:type="dxa"/>
            <w:noWrap/>
            <w:vAlign w:val="center"/>
          </w:tcPr>
          <w:p w14:paraId="58BEE812">
            <w:pPr>
              <w:spacing w:beforeLines="20" w:afterLines="20"/>
              <w:jc w:val="center"/>
              <w:rPr>
                <w:bCs/>
                <w:color w:val="000000"/>
                <w:szCs w:val="21"/>
                <w:highlight w:val="none"/>
              </w:rPr>
            </w:pPr>
            <w:r>
              <w:rPr>
                <w:rFonts w:hint="eastAsia"/>
                <w:color w:val="000000"/>
                <w:szCs w:val="21"/>
                <w:highlight w:val="none"/>
              </w:rPr>
              <w:t>/</w:t>
            </w:r>
          </w:p>
        </w:tc>
        <w:tc>
          <w:tcPr>
            <w:tcW w:w="1276" w:type="dxa"/>
            <w:noWrap/>
            <w:vAlign w:val="center"/>
          </w:tcPr>
          <w:p w14:paraId="1297D19F">
            <w:pPr>
              <w:spacing w:beforeLines="20" w:afterLines="20"/>
              <w:jc w:val="center"/>
              <w:rPr>
                <w:bCs/>
                <w:color w:val="000000"/>
                <w:szCs w:val="21"/>
              </w:rPr>
            </w:pPr>
            <w:r>
              <w:rPr>
                <w:rFonts w:hint="eastAsia"/>
                <w:color w:val="000000"/>
                <w:szCs w:val="21"/>
              </w:rPr>
              <w:t>/</w:t>
            </w:r>
          </w:p>
        </w:tc>
        <w:tc>
          <w:tcPr>
            <w:tcW w:w="1701" w:type="dxa"/>
            <w:noWrap/>
            <w:vAlign w:val="center"/>
          </w:tcPr>
          <w:p w14:paraId="4E6A6B50">
            <w:pPr>
              <w:jc w:val="center"/>
              <w:rPr>
                <w:color w:val="000000"/>
                <w:szCs w:val="21"/>
              </w:rPr>
            </w:pPr>
            <w:r>
              <w:rPr>
                <w:rFonts w:hint="eastAsia"/>
                <w:color w:val="000000"/>
                <w:szCs w:val="21"/>
              </w:rPr>
              <w:t>/</w:t>
            </w:r>
          </w:p>
        </w:tc>
        <w:tc>
          <w:tcPr>
            <w:tcW w:w="1559" w:type="dxa"/>
            <w:noWrap/>
            <w:vAlign w:val="center"/>
          </w:tcPr>
          <w:p w14:paraId="2AC2B6EB">
            <w:pPr>
              <w:jc w:val="center"/>
              <w:rPr>
                <w:color w:val="000000"/>
                <w:szCs w:val="21"/>
              </w:rPr>
            </w:pPr>
            <w:r>
              <w:rPr>
                <w:rFonts w:hint="eastAsia"/>
                <w:color w:val="000000"/>
                <w:szCs w:val="21"/>
              </w:rPr>
              <w:t>6.85</w:t>
            </w:r>
          </w:p>
        </w:tc>
        <w:tc>
          <w:tcPr>
            <w:tcW w:w="1450" w:type="dxa"/>
            <w:noWrap/>
            <w:vAlign w:val="center"/>
          </w:tcPr>
          <w:p w14:paraId="726B2F22">
            <w:pPr>
              <w:spacing w:beforeLines="20" w:afterLines="20"/>
              <w:jc w:val="center"/>
              <w:rPr>
                <w:color w:val="000000"/>
                <w:szCs w:val="21"/>
              </w:rPr>
            </w:pPr>
            <w:r>
              <w:rPr>
                <w:rFonts w:hint="eastAsia"/>
                <w:color w:val="000000"/>
                <w:szCs w:val="21"/>
              </w:rPr>
              <w:t>/</w:t>
            </w:r>
          </w:p>
        </w:tc>
        <w:tc>
          <w:tcPr>
            <w:tcW w:w="1545" w:type="dxa"/>
            <w:noWrap/>
            <w:vAlign w:val="center"/>
          </w:tcPr>
          <w:p w14:paraId="4F05B8A3">
            <w:pPr>
              <w:jc w:val="center"/>
              <w:rPr>
                <w:color w:val="000000"/>
                <w:szCs w:val="21"/>
              </w:rPr>
            </w:pPr>
            <w:r>
              <w:rPr>
                <w:rFonts w:hint="eastAsia"/>
                <w:color w:val="000000"/>
                <w:szCs w:val="21"/>
              </w:rPr>
              <w:t>6.85</w:t>
            </w:r>
          </w:p>
        </w:tc>
        <w:tc>
          <w:tcPr>
            <w:tcW w:w="1551" w:type="dxa"/>
            <w:noWrap/>
            <w:vAlign w:val="center"/>
          </w:tcPr>
          <w:p w14:paraId="18B04DAA">
            <w:pPr>
              <w:jc w:val="center"/>
              <w:rPr>
                <w:rFonts w:hint="eastAsia" w:eastAsia="宋体"/>
                <w:color w:val="000000"/>
                <w:szCs w:val="21"/>
                <w:lang w:val="en-US" w:eastAsia="zh-CN"/>
              </w:rPr>
            </w:pPr>
            <w:r>
              <w:rPr>
                <w:rFonts w:hint="eastAsia"/>
                <w:color w:val="000000"/>
                <w:szCs w:val="21"/>
                <w:lang w:val="en-US" w:eastAsia="zh-CN"/>
              </w:rPr>
              <w:t>+</w:t>
            </w:r>
            <w:r>
              <w:rPr>
                <w:rFonts w:hint="eastAsia"/>
                <w:color w:val="000000"/>
                <w:szCs w:val="21"/>
              </w:rPr>
              <w:t>6.85</w:t>
            </w:r>
          </w:p>
        </w:tc>
      </w:tr>
    </w:tbl>
    <w:p w14:paraId="2E41857B">
      <w:pPr>
        <w:pStyle w:val="37"/>
        <w:spacing w:beforeLines="0" w:afterLines="0" w:line="240" w:lineRule="auto"/>
        <w:jc w:val="left"/>
        <w:rPr>
          <w:rFonts w:ascii="Times New Roman"/>
          <w:snapToGrid w:val="0"/>
          <w:color w:val="000000"/>
          <w:spacing w:val="-16"/>
          <w:kern w:val="21"/>
          <w:szCs w:val="21"/>
        </w:rPr>
      </w:pPr>
      <w:r>
        <w:rPr>
          <w:rFonts w:ascii="Times New Roman"/>
          <w:snapToGrid w:val="0"/>
          <w:color w:val="000000"/>
          <w:kern w:val="21"/>
          <w:szCs w:val="21"/>
        </w:rPr>
        <w:t>注：</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ascii="Times New Roman"/>
          <w:color w:val="000000"/>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ascii="Times New Roman"/>
          <w:color w:val="000000"/>
          <w:szCs w:val="21"/>
        </w:rPr>
        <w:t>①</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3 \* GB3 \* MERGEFORMAT </w:instrText>
      </w:r>
      <w:r>
        <w:rPr>
          <w:rFonts w:ascii="Times New Roman"/>
          <w:snapToGrid w:val="0"/>
          <w:color w:val="000000"/>
          <w:spacing w:val="-6"/>
          <w:kern w:val="21"/>
          <w:szCs w:val="21"/>
        </w:rPr>
        <w:fldChar w:fldCharType="separate"/>
      </w:r>
      <w:r>
        <w:rPr>
          <w:rFonts w:ascii="Times New Roman"/>
          <w:color w:val="000000"/>
          <w:szCs w:val="21"/>
        </w:rPr>
        <w:t>③</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4 \* GB3 \* MERGEFORMAT </w:instrText>
      </w:r>
      <w:r>
        <w:rPr>
          <w:rFonts w:ascii="Times New Roman"/>
          <w:snapToGrid w:val="0"/>
          <w:color w:val="000000"/>
          <w:spacing w:val="-6"/>
          <w:kern w:val="21"/>
          <w:szCs w:val="21"/>
        </w:rPr>
        <w:fldChar w:fldCharType="separate"/>
      </w:r>
      <w:r>
        <w:rPr>
          <w:rFonts w:ascii="Times New Roman"/>
          <w:color w:val="000000"/>
          <w:szCs w:val="21"/>
        </w:rPr>
        <w:t>④</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5 \* GB3 \* MERGEFORMAT </w:instrText>
      </w:r>
      <w:r>
        <w:rPr>
          <w:rFonts w:ascii="Times New Roman"/>
          <w:snapToGrid w:val="0"/>
          <w:color w:val="000000"/>
          <w:spacing w:val="-16"/>
          <w:kern w:val="21"/>
          <w:szCs w:val="21"/>
        </w:rPr>
        <w:fldChar w:fldCharType="separate"/>
      </w:r>
      <w:r>
        <w:rPr>
          <w:rFonts w:ascii="Times New Roman"/>
          <w:color w:val="000000"/>
          <w:szCs w:val="21"/>
        </w:rPr>
        <w:t>⑤</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7 \* GB3 \* MERGEFORMAT </w:instrText>
      </w:r>
      <w:r>
        <w:rPr>
          <w:rFonts w:ascii="Times New Roman"/>
          <w:snapToGrid w:val="0"/>
          <w:color w:val="000000"/>
          <w:spacing w:val="-6"/>
          <w:kern w:val="21"/>
          <w:szCs w:val="21"/>
        </w:rPr>
        <w:fldChar w:fldCharType="separate"/>
      </w:r>
      <w:r>
        <w:rPr>
          <w:rFonts w:ascii="Times New Roman"/>
          <w:color w:val="000000"/>
          <w:szCs w:val="21"/>
        </w:rPr>
        <w:t>⑦</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ascii="Times New Roman"/>
          <w:color w:val="000000"/>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-①</w:t>
      </w:r>
    </w:p>
    <w:p w14:paraId="763270D9">
      <w:r>
        <w:rPr>
          <w:rFonts w:hint="eastAsia"/>
          <w:snapToGrid w:val="0"/>
          <w:color w:val="000000"/>
          <w:spacing w:val="-16"/>
          <w:kern w:val="21"/>
          <w:szCs w:val="21"/>
        </w:rPr>
        <w:t>说明：“/”前数据为接管量，“/”后数据为排入外环境量。</w:t>
      </w:r>
    </w:p>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F31DCCC-4E67-448A-8EBE-CFA6FD2983B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仿宋_GB2312">
    <w:panose1 w:val="02010609030101010101"/>
    <w:charset w:val="86"/>
    <w:family w:val="modern"/>
    <w:pitch w:val="default"/>
    <w:sig w:usb0="00000001" w:usb1="080E0000" w:usb2="00000000" w:usb3="00000000" w:csb0="00040000" w:csb1="00000000"/>
    <w:embedRegular r:id="rId2" w:fontKey="{46DC4943-0CEE-4AC6-B89B-E5E37548C573}"/>
  </w:font>
  <w:font w:name="FontAwesom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embedRegular r:id="rId3" w:fontKey="{6C6A97D6-2CB2-434F-AC0D-FD5C00E10913}"/>
  </w:font>
  <w:font w:name="楷体">
    <w:panose1 w:val="02010609060101010101"/>
    <w:charset w:val="86"/>
    <w:family w:val="auto"/>
    <w:pitch w:val="default"/>
    <w:sig w:usb0="800002BF" w:usb1="38CF7CFA" w:usb2="00000016" w:usb3="00000000" w:csb0="00040001" w:csb1="00000000"/>
    <w:embedRegular r:id="rId4" w:fontKey="{DFF5BF9F-FBE4-4A82-84FF-5F561C4C19F0}"/>
  </w:font>
  <w:font w:name="华文仿宋">
    <w:panose1 w:val="02010600040101010101"/>
    <w:charset w:val="86"/>
    <w:family w:val="auto"/>
    <w:pitch w:val="default"/>
    <w:sig w:usb0="00000287" w:usb1="080F0000" w:usb2="00000000" w:usb3="00000000" w:csb0="0004009F" w:csb1="DFD70000"/>
    <w:embedRegular r:id="rId5" w:fontKey="{02A0E125-C8CA-4C76-B1F7-03112E8FB07A}"/>
  </w:font>
  <w:font w:name="仿宋">
    <w:panose1 w:val="02010609060101010101"/>
    <w:charset w:val="86"/>
    <w:family w:val="modern"/>
    <w:pitch w:val="default"/>
    <w:sig w:usb0="800002BF" w:usb1="38CF7CFA" w:usb2="00000016" w:usb3="00000000" w:csb0="00040001" w:csb1="00000000"/>
    <w:embedRegular r:id="rId6" w:fontKey="{7939BD27-986C-42D3-A710-4EE8ACC54D01}"/>
  </w:font>
  <w:font w:name="Wingdings 2">
    <w:panose1 w:val="05020102010507070707"/>
    <w:charset w:val="02"/>
    <w:family w:val="roman"/>
    <w:pitch w:val="default"/>
    <w:sig w:usb0="00000000" w:usb1="00000000" w:usb2="00000000" w:usb3="00000000" w:csb0="80000000" w:csb1="00000000"/>
    <w:embedRegular r:id="rId7" w:fontKey="{2AAE4FF8-9A4F-4ECA-8CC3-78476CD49D65}"/>
  </w:font>
  <w:font w:name="微软雅黑">
    <w:panose1 w:val="020B0503020204020204"/>
    <w:charset w:val="86"/>
    <w:family w:val="auto"/>
    <w:pitch w:val="default"/>
    <w:sig w:usb0="80000287" w:usb1="2ACF3C50" w:usb2="00000016" w:usb3="00000000" w:csb0="0004001F" w:csb1="00000000"/>
    <w:embedRegular r:id="rId8" w:fontKey="{752A6617-F32B-4596-9ACE-BAD3119F72F0}"/>
  </w:font>
  <w:font w:name="新宋体">
    <w:panose1 w:val="02010609030101010101"/>
    <w:charset w:val="86"/>
    <w:family w:val="modern"/>
    <w:pitch w:val="default"/>
    <w:sig w:usb0="00000283" w:usb1="288F0000" w:usb2="00000006" w:usb3="00000000" w:csb0="00040001" w:csb1="00000000"/>
    <w:embedRegular r:id="rId9" w:fontKey="{007E8037-E543-4EDB-98D0-81FEFC6860F4}"/>
  </w:font>
  <w:font w:name="TimesNewRomanPSMT">
    <w:altName w:val="Times New Roman"/>
    <w:panose1 w:val="00000000000000000000"/>
    <w:charset w:val="00"/>
    <w:family w:val="roman"/>
    <w:pitch w:val="default"/>
    <w:sig w:usb0="00000000" w:usb1="00000000" w:usb2="00000000" w:usb3="00000000" w:csb0="00000001" w:csb1="00000000"/>
  </w:font>
  <w:font w:name="方正小标宋_GBK">
    <w:panose1 w:val="02000000000000000000"/>
    <w:charset w:val="86"/>
    <w:family w:val="script"/>
    <w:pitch w:val="default"/>
    <w:sig w:usb0="A00002BF" w:usb1="38CF7CFA" w:usb2="00082016" w:usb3="00000000" w:csb0="00040001" w:csb1="00000000"/>
    <w:embedRegular r:id="rId10" w:fontKey="{39476EAD-E0B8-49E1-99BE-0E40501DBF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404FF">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C401F">
    <w:pPr>
      <w:pStyle w:val="13"/>
      <w:framePr w:wrap="around" w:vAnchor="text" w:hAnchor="margin" w:xAlign="center" w:y="1"/>
      <w:rPr>
        <w:rStyle w:val="26"/>
      </w:rPr>
    </w:pPr>
    <w:r>
      <w:fldChar w:fldCharType="begin"/>
    </w:r>
    <w:r>
      <w:rPr>
        <w:rStyle w:val="26"/>
      </w:rPr>
      <w:instrText xml:space="preserve">PAGE  </w:instrText>
    </w:r>
    <w:r>
      <w:fldChar w:fldCharType="end"/>
    </w:r>
  </w:p>
  <w:p w14:paraId="0A3FD897">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958B0">
    <w:pPr>
      <w:pStyle w:val="13"/>
      <w:ind w:right="360"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2"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6BA1FA2">
                          <w:pPr>
                            <w:pStyle w:val="13"/>
                            <w:rPr>
                              <w:sz w:val="32"/>
                              <w:szCs w:val="36"/>
                            </w:rPr>
                          </w:pPr>
                          <w:r>
                            <w:rPr>
                              <w:sz w:val="32"/>
                              <w:szCs w:val="36"/>
                            </w:rPr>
                            <w:t xml:space="preserve">— </w:t>
                          </w:r>
                          <w:r>
                            <w:rPr>
                              <w:sz w:val="32"/>
                              <w:szCs w:val="36"/>
                            </w:rPr>
                            <w:fldChar w:fldCharType="begin"/>
                          </w:r>
                          <w:r>
                            <w:rPr>
                              <w:sz w:val="32"/>
                              <w:szCs w:val="36"/>
                            </w:rPr>
                            <w:instrText xml:space="preserve"> PAGE  \* MERGEFORMAT </w:instrText>
                          </w:r>
                          <w:r>
                            <w:rPr>
                              <w:sz w:val="32"/>
                              <w:szCs w:val="36"/>
                            </w:rPr>
                            <w:fldChar w:fldCharType="separate"/>
                          </w:r>
                          <w:r>
                            <w:rPr>
                              <w:sz w:val="32"/>
                              <w:szCs w:val="36"/>
                            </w:rPr>
                            <w:t>61</w:t>
                          </w:r>
                          <w:r>
                            <w:rPr>
                              <w:sz w:val="32"/>
                              <w:szCs w:val="36"/>
                            </w:rPr>
                            <w:fldChar w:fldCharType="end"/>
                          </w:r>
                          <w:r>
                            <w:rPr>
                              <w:sz w:val="32"/>
                              <w:szCs w:val="36"/>
                            </w:rPr>
                            <w:t xml:space="preserve"> —</w:t>
                          </w:r>
                        </w:p>
                      </w:txbxContent>
                    </wps:txbx>
                    <wps:bodyPr wrap="none" lIns="0" tIns="0" rIns="0" bIns="0" upright="0">
                      <a:spAutoFit/>
                    </wps:bodyPr>
                  </wps:wsp>
                </a:graphicData>
              </a:graphic>
            </wp:anchor>
          </w:drawing>
        </mc:Choice>
        <mc:Fallback>
          <w:pict>
            <v:shape id="文本框 205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CpF94dABAACsAwAADgAAAAAAAAABACAAAAAeAQAAZHJz&#10;L2Uyb0RvYy54bWxQSwUGAAAAAAYABgBZAQAAYAUAAAAA&#10;">
              <v:fill on="f" focussize="0,0"/>
              <v:stroke on="f"/>
              <v:imagedata o:title=""/>
              <o:lock v:ext="edit" aspectratio="f"/>
              <v:textbox inset="0mm,0mm,0mm,0mm" style="mso-fit-shape-to-text:t;">
                <w:txbxContent>
                  <w:p w14:paraId="36BA1FA2">
                    <w:pPr>
                      <w:pStyle w:val="13"/>
                      <w:rPr>
                        <w:sz w:val="32"/>
                        <w:szCs w:val="36"/>
                      </w:rPr>
                    </w:pPr>
                    <w:r>
                      <w:rPr>
                        <w:sz w:val="32"/>
                        <w:szCs w:val="36"/>
                      </w:rPr>
                      <w:t xml:space="preserve">— </w:t>
                    </w:r>
                    <w:r>
                      <w:rPr>
                        <w:sz w:val="32"/>
                        <w:szCs w:val="36"/>
                      </w:rPr>
                      <w:fldChar w:fldCharType="begin"/>
                    </w:r>
                    <w:r>
                      <w:rPr>
                        <w:sz w:val="32"/>
                        <w:szCs w:val="36"/>
                      </w:rPr>
                      <w:instrText xml:space="preserve"> PAGE  \* MERGEFORMAT </w:instrText>
                    </w:r>
                    <w:r>
                      <w:rPr>
                        <w:sz w:val="32"/>
                        <w:szCs w:val="36"/>
                      </w:rPr>
                      <w:fldChar w:fldCharType="separate"/>
                    </w:r>
                    <w:r>
                      <w:rPr>
                        <w:sz w:val="32"/>
                        <w:szCs w:val="36"/>
                      </w:rPr>
                      <w:t>61</w:t>
                    </w:r>
                    <w:r>
                      <w:rPr>
                        <w:sz w:val="32"/>
                        <w:szCs w:val="36"/>
                      </w:rPr>
                      <w:fldChar w:fldCharType="end"/>
                    </w:r>
                    <w:r>
                      <w:rPr>
                        <w:sz w:val="32"/>
                        <w:szCs w:val="36"/>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9065B">
    <w:pPr>
      <w:pStyle w:val="13"/>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F5962">
    <w:pPr>
      <w:pStyle w:val="13"/>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958D28"/>
    <w:multiLevelType w:val="singleLevel"/>
    <w:tmpl w:val="AA958D28"/>
    <w:lvl w:ilvl="0" w:tentative="0">
      <w:start w:val="1"/>
      <w:numFmt w:val="chineseCounting"/>
      <w:suff w:val="nothing"/>
      <w:lvlText w:val="%1、"/>
      <w:lvlJc w:val="left"/>
      <w:rPr>
        <w:rFonts w:hint="eastAsia"/>
      </w:rPr>
    </w:lvl>
  </w:abstractNum>
  <w:abstractNum w:abstractNumId="1">
    <w:nsid w:val="E120C606"/>
    <w:multiLevelType w:val="singleLevel"/>
    <w:tmpl w:val="E120C606"/>
    <w:lvl w:ilvl="0" w:tentative="0">
      <w:start w:val="1"/>
      <w:numFmt w:val="decimal"/>
      <w:suff w:val="nothing"/>
      <w:lvlText w:val="（%1）"/>
      <w:lvlJc w:val="left"/>
    </w:lvl>
  </w:abstractNum>
  <w:abstractNum w:abstractNumId="2">
    <w:nsid w:val="E23FCB8F"/>
    <w:multiLevelType w:val="singleLevel"/>
    <w:tmpl w:val="E23FCB8F"/>
    <w:lvl w:ilvl="0" w:tentative="0">
      <w:start w:val="1"/>
      <w:numFmt w:val="bullet"/>
      <w:pStyle w:val="10"/>
      <w:lvlText w:val=""/>
      <w:lvlJc w:val="left"/>
      <w:pPr>
        <w:tabs>
          <w:tab w:val="left" w:pos="2040"/>
        </w:tabs>
        <w:ind w:left="2040" w:hanging="360"/>
      </w:pPr>
      <w:rPr>
        <w:rFonts w:hint="default" w:ascii="Wingdings" w:hAnsi="Wingdings"/>
      </w:rPr>
    </w:lvl>
  </w:abstractNum>
  <w:abstractNum w:abstractNumId="3">
    <w:nsid w:val="093C1382"/>
    <w:multiLevelType w:val="singleLevel"/>
    <w:tmpl w:val="093C1382"/>
    <w:lvl w:ilvl="0" w:tentative="0">
      <w:start w:val="1"/>
      <w:numFmt w:val="decimal"/>
      <w:suff w:val="nothing"/>
      <w:lvlText w:val="%1、"/>
      <w:lvlJc w:val="left"/>
    </w:lvl>
  </w:abstractNum>
  <w:abstractNum w:abstractNumId="4">
    <w:nsid w:val="1FF87E5B"/>
    <w:multiLevelType w:val="singleLevel"/>
    <w:tmpl w:val="1FF87E5B"/>
    <w:lvl w:ilvl="0" w:tentative="0">
      <w:start w:val="1"/>
      <w:numFmt w:val="decimal"/>
      <w:suff w:val="nothing"/>
      <w:lvlText w:val="%1、"/>
      <w:lvlJc w:val="left"/>
    </w:lvl>
  </w:abstractNum>
  <w:abstractNum w:abstractNumId="5">
    <w:nsid w:val="3614E731"/>
    <w:multiLevelType w:val="singleLevel"/>
    <w:tmpl w:val="3614E731"/>
    <w:lvl w:ilvl="0" w:tentative="0">
      <w:start w:val="1"/>
      <w:numFmt w:val="decimal"/>
      <w:suff w:val="nothing"/>
      <w:lvlText w:val="%1、"/>
      <w:lvlJc w:val="left"/>
    </w:lvl>
  </w:abstractNum>
  <w:abstractNum w:abstractNumId="6">
    <w:nsid w:val="42A7A4A8"/>
    <w:multiLevelType w:val="singleLevel"/>
    <w:tmpl w:val="42A7A4A8"/>
    <w:lvl w:ilvl="0" w:tentative="0">
      <w:start w:val="1"/>
      <w:numFmt w:val="chineseCounting"/>
      <w:suff w:val="nothing"/>
      <w:lvlText w:val="%1、"/>
      <w:lvlJc w:val="left"/>
      <w:rPr>
        <w:rFonts w:hint="eastAsia"/>
      </w:rPr>
    </w:lvl>
  </w:abstractNum>
  <w:abstractNum w:abstractNumId="7">
    <w:nsid w:val="6C16405A"/>
    <w:multiLevelType w:val="singleLevel"/>
    <w:tmpl w:val="6C16405A"/>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 w:numId="5">
    <w:abstractNumId w:val="4"/>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NotTrackMoves/>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3M2Y5NzIzMDFlZjAyY2Q4Njk5ODkyYjFjNzBiNTQifQ=="/>
  </w:docVars>
  <w:rsids>
    <w:rsidRoot w:val="00A14947"/>
    <w:rsid w:val="000060B3"/>
    <w:rsid w:val="000303B3"/>
    <w:rsid w:val="00036E34"/>
    <w:rsid w:val="0004364B"/>
    <w:rsid w:val="000448B3"/>
    <w:rsid w:val="00061B1F"/>
    <w:rsid w:val="000733C4"/>
    <w:rsid w:val="00074783"/>
    <w:rsid w:val="000767C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0F210C"/>
    <w:rsid w:val="0011258B"/>
    <w:rsid w:val="00131F42"/>
    <w:rsid w:val="001357F1"/>
    <w:rsid w:val="00140FA8"/>
    <w:rsid w:val="00142FEB"/>
    <w:rsid w:val="00143A2D"/>
    <w:rsid w:val="00145A41"/>
    <w:rsid w:val="00151675"/>
    <w:rsid w:val="00157435"/>
    <w:rsid w:val="0017504D"/>
    <w:rsid w:val="00175C63"/>
    <w:rsid w:val="0017671A"/>
    <w:rsid w:val="00177422"/>
    <w:rsid w:val="0018274C"/>
    <w:rsid w:val="00184590"/>
    <w:rsid w:val="001870D1"/>
    <w:rsid w:val="0018781E"/>
    <w:rsid w:val="0019262D"/>
    <w:rsid w:val="001963DA"/>
    <w:rsid w:val="001A1B35"/>
    <w:rsid w:val="001A48A2"/>
    <w:rsid w:val="001A618F"/>
    <w:rsid w:val="001A6F61"/>
    <w:rsid w:val="001B72B8"/>
    <w:rsid w:val="001C69B3"/>
    <w:rsid w:val="001D5595"/>
    <w:rsid w:val="001D6A4B"/>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0EBA"/>
    <w:rsid w:val="00264557"/>
    <w:rsid w:val="00277D37"/>
    <w:rsid w:val="002805AB"/>
    <w:rsid w:val="0028417C"/>
    <w:rsid w:val="00284204"/>
    <w:rsid w:val="00291773"/>
    <w:rsid w:val="002A168C"/>
    <w:rsid w:val="002A16C0"/>
    <w:rsid w:val="002A3DC7"/>
    <w:rsid w:val="002B49E2"/>
    <w:rsid w:val="002B7B00"/>
    <w:rsid w:val="002B7C44"/>
    <w:rsid w:val="002C2B17"/>
    <w:rsid w:val="002D3DD0"/>
    <w:rsid w:val="002E1F3A"/>
    <w:rsid w:val="002E298A"/>
    <w:rsid w:val="002E6F70"/>
    <w:rsid w:val="00301978"/>
    <w:rsid w:val="0030332C"/>
    <w:rsid w:val="003051C2"/>
    <w:rsid w:val="00307110"/>
    <w:rsid w:val="00312296"/>
    <w:rsid w:val="00314F0E"/>
    <w:rsid w:val="00321D8E"/>
    <w:rsid w:val="00325928"/>
    <w:rsid w:val="0033219F"/>
    <w:rsid w:val="00332863"/>
    <w:rsid w:val="0033684D"/>
    <w:rsid w:val="00337B42"/>
    <w:rsid w:val="00341B42"/>
    <w:rsid w:val="0034348F"/>
    <w:rsid w:val="00356653"/>
    <w:rsid w:val="0035743F"/>
    <w:rsid w:val="00357BE2"/>
    <w:rsid w:val="0036170C"/>
    <w:rsid w:val="00366E0F"/>
    <w:rsid w:val="00372A26"/>
    <w:rsid w:val="00381A72"/>
    <w:rsid w:val="00384676"/>
    <w:rsid w:val="00390857"/>
    <w:rsid w:val="003A0D45"/>
    <w:rsid w:val="003A4BF3"/>
    <w:rsid w:val="003B18F6"/>
    <w:rsid w:val="003B420D"/>
    <w:rsid w:val="003C6C16"/>
    <w:rsid w:val="003D794D"/>
    <w:rsid w:val="003E3058"/>
    <w:rsid w:val="003E76A9"/>
    <w:rsid w:val="003F0809"/>
    <w:rsid w:val="003F6A8C"/>
    <w:rsid w:val="003F755C"/>
    <w:rsid w:val="00405611"/>
    <w:rsid w:val="00406F01"/>
    <w:rsid w:val="00416D50"/>
    <w:rsid w:val="00416FD5"/>
    <w:rsid w:val="00417772"/>
    <w:rsid w:val="00420E6A"/>
    <w:rsid w:val="00425A9E"/>
    <w:rsid w:val="00426D6B"/>
    <w:rsid w:val="00431E6C"/>
    <w:rsid w:val="00433CE7"/>
    <w:rsid w:val="00452738"/>
    <w:rsid w:val="004539B7"/>
    <w:rsid w:val="00456091"/>
    <w:rsid w:val="00466321"/>
    <w:rsid w:val="0047254C"/>
    <w:rsid w:val="00484B9B"/>
    <w:rsid w:val="004855F6"/>
    <w:rsid w:val="0048661E"/>
    <w:rsid w:val="00494670"/>
    <w:rsid w:val="004A3823"/>
    <w:rsid w:val="004B0D7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4681D"/>
    <w:rsid w:val="00554A7B"/>
    <w:rsid w:val="0055572C"/>
    <w:rsid w:val="00556013"/>
    <w:rsid w:val="0056106A"/>
    <w:rsid w:val="00564A6F"/>
    <w:rsid w:val="00566484"/>
    <w:rsid w:val="00566591"/>
    <w:rsid w:val="005720AE"/>
    <w:rsid w:val="00594D77"/>
    <w:rsid w:val="005969E4"/>
    <w:rsid w:val="005A06B7"/>
    <w:rsid w:val="005A1759"/>
    <w:rsid w:val="005A68A7"/>
    <w:rsid w:val="005D36AB"/>
    <w:rsid w:val="00617CC3"/>
    <w:rsid w:val="00626FC3"/>
    <w:rsid w:val="006377A6"/>
    <w:rsid w:val="00637A3D"/>
    <w:rsid w:val="006411EF"/>
    <w:rsid w:val="006413B9"/>
    <w:rsid w:val="006748B8"/>
    <w:rsid w:val="006775C3"/>
    <w:rsid w:val="0069290A"/>
    <w:rsid w:val="0069775A"/>
    <w:rsid w:val="00697813"/>
    <w:rsid w:val="006A3EE8"/>
    <w:rsid w:val="006A72BF"/>
    <w:rsid w:val="006B03F2"/>
    <w:rsid w:val="006B37DC"/>
    <w:rsid w:val="006B4F68"/>
    <w:rsid w:val="006C0592"/>
    <w:rsid w:val="006C272E"/>
    <w:rsid w:val="006C3AC4"/>
    <w:rsid w:val="006C5479"/>
    <w:rsid w:val="006D13B5"/>
    <w:rsid w:val="006E12FF"/>
    <w:rsid w:val="006E607E"/>
    <w:rsid w:val="00706C5D"/>
    <w:rsid w:val="00732922"/>
    <w:rsid w:val="0075162E"/>
    <w:rsid w:val="00754034"/>
    <w:rsid w:val="007561FF"/>
    <w:rsid w:val="00756556"/>
    <w:rsid w:val="007618C4"/>
    <w:rsid w:val="00767980"/>
    <w:rsid w:val="00770B19"/>
    <w:rsid w:val="0077463F"/>
    <w:rsid w:val="007836EA"/>
    <w:rsid w:val="00784CDA"/>
    <w:rsid w:val="007906C4"/>
    <w:rsid w:val="007940EA"/>
    <w:rsid w:val="007967E8"/>
    <w:rsid w:val="007A2170"/>
    <w:rsid w:val="007A22BF"/>
    <w:rsid w:val="007A3323"/>
    <w:rsid w:val="007A63B1"/>
    <w:rsid w:val="007B72B8"/>
    <w:rsid w:val="007B7A58"/>
    <w:rsid w:val="007C21B5"/>
    <w:rsid w:val="007E4BD2"/>
    <w:rsid w:val="007F244C"/>
    <w:rsid w:val="00801393"/>
    <w:rsid w:val="00802F88"/>
    <w:rsid w:val="0081293E"/>
    <w:rsid w:val="00815465"/>
    <w:rsid w:val="00817E9A"/>
    <w:rsid w:val="008306BD"/>
    <w:rsid w:val="00831A80"/>
    <w:rsid w:val="00833743"/>
    <w:rsid w:val="008340A4"/>
    <w:rsid w:val="0084742F"/>
    <w:rsid w:val="008559F3"/>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5D85"/>
    <w:rsid w:val="008E5EAF"/>
    <w:rsid w:val="008E6963"/>
    <w:rsid w:val="008E76F0"/>
    <w:rsid w:val="008F0D52"/>
    <w:rsid w:val="008F11DD"/>
    <w:rsid w:val="008F15FE"/>
    <w:rsid w:val="008F2D29"/>
    <w:rsid w:val="008F5187"/>
    <w:rsid w:val="008F60D8"/>
    <w:rsid w:val="00902727"/>
    <w:rsid w:val="0090312B"/>
    <w:rsid w:val="009043CB"/>
    <w:rsid w:val="0091736D"/>
    <w:rsid w:val="009215D3"/>
    <w:rsid w:val="0093037A"/>
    <w:rsid w:val="0094154D"/>
    <w:rsid w:val="0095155F"/>
    <w:rsid w:val="00953A46"/>
    <w:rsid w:val="00954429"/>
    <w:rsid w:val="009563CE"/>
    <w:rsid w:val="00976328"/>
    <w:rsid w:val="0097680D"/>
    <w:rsid w:val="00982438"/>
    <w:rsid w:val="00983430"/>
    <w:rsid w:val="0098404C"/>
    <w:rsid w:val="00985283"/>
    <w:rsid w:val="00995992"/>
    <w:rsid w:val="009A03E5"/>
    <w:rsid w:val="009A0F3B"/>
    <w:rsid w:val="009A1BB4"/>
    <w:rsid w:val="009A2628"/>
    <w:rsid w:val="009A3200"/>
    <w:rsid w:val="009B0897"/>
    <w:rsid w:val="009B7BD9"/>
    <w:rsid w:val="009C7DD5"/>
    <w:rsid w:val="009E227D"/>
    <w:rsid w:val="009E5019"/>
    <w:rsid w:val="009F5009"/>
    <w:rsid w:val="00A04F1B"/>
    <w:rsid w:val="00A0501B"/>
    <w:rsid w:val="00A14947"/>
    <w:rsid w:val="00A32A83"/>
    <w:rsid w:val="00A368DB"/>
    <w:rsid w:val="00A423AA"/>
    <w:rsid w:val="00A53EC6"/>
    <w:rsid w:val="00A55C0F"/>
    <w:rsid w:val="00A72EE7"/>
    <w:rsid w:val="00A8713F"/>
    <w:rsid w:val="00A90BA1"/>
    <w:rsid w:val="00A97A9A"/>
    <w:rsid w:val="00AA0671"/>
    <w:rsid w:val="00AA2531"/>
    <w:rsid w:val="00AB1E09"/>
    <w:rsid w:val="00AB5330"/>
    <w:rsid w:val="00AB7747"/>
    <w:rsid w:val="00AC14CE"/>
    <w:rsid w:val="00AC2A56"/>
    <w:rsid w:val="00AD055E"/>
    <w:rsid w:val="00AD47A7"/>
    <w:rsid w:val="00AE50C6"/>
    <w:rsid w:val="00AF0CBF"/>
    <w:rsid w:val="00AF257F"/>
    <w:rsid w:val="00AF33CF"/>
    <w:rsid w:val="00AF4D50"/>
    <w:rsid w:val="00AF6179"/>
    <w:rsid w:val="00AF7AE6"/>
    <w:rsid w:val="00B1295A"/>
    <w:rsid w:val="00B13F62"/>
    <w:rsid w:val="00B20A45"/>
    <w:rsid w:val="00B22C5C"/>
    <w:rsid w:val="00B24F30"/>
    <w:rsid w:val="00B300FA"/>
    <w:rsid w:val="00B31ABF"/>
    <w:rsid w:val="00B33BE3"/>
    <w:rsid w:val="00B53B5D"/>
    <w:rsid w:val="00B6055E"/>
    <w:rsid w:val="00B6317D"/>
    <w:rsid w:val="00B7723F"/>
    <w:rsid w:val="00B80534"/>
    <w:rsid w:val="00B83E2E"/>
    <w:rsid w:val="00B8433C"/>
    <w:rsid w:val="00B87491"/>
    <w:rsid w:val="00B944AF"/>
    <w:rsid w:val="00BA29E9"/>
    <w:rsid w:val="00BA7142"/>
    <w:rsid w:val="00BB1955"/>
    <w:rsid w:val="00BB237C"/>
    <w:rsid w:val="00BB41A3"/>
    <w:rsid w:val="00BC32DC"/>
    <w:rsid w:val="00BC35B6"/>
    <w:rsid w:val="00BD1B51"/>
    <w:rsid w:val="00BD4596"/>
    <w:rsid w:val="00BE1405"/>
    <w:rsid w:val="00BE312D"/>
    <w:rsid w:val="00BF0BA8"/>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1C1D"/>
    <w:rsid w:val="00CA2CCE"/>
    <w:rsid w:val="00CA43FD"/>
    <w:rsid w:val="00CA7EF8"/>
    <w:rsid w:val="00CC0E00"/>
    <w:rsid w:val="00CC489B"/>
    <w:rsid w:val="00CD2BCD"/>
    <w:rsid w:val="00CD3A4C"/>
    <w:rsid w:val="00CD79DA"/>
    <w:rsid w:val="00CE10E9"/>
    <w:rsid w:val="00CE2910"/>
    <w:rsid w:val="00CE3BB1"/>
    <w:rsid w:val="00CE5393"/>
    <w:rsid w:val="00CF36BE"/>
    <w:rsid w:val="00CF6000"/>
    <w:rsid w:val="00D003F3"/>
    <w:rsid w:val="00D01F6E"/>
    <w:rsid w:val="00D0364F"/>
    <w:rsid w:val="00D06834"/>
    <w:rsid w:val="00D308ED"/>
    <w:rsid w:val="00D36D86"/>
    <w:rsid w:val="00D428AA"/>
    <w:rsid w:val="00D505DA"/>
    <w:rsid w:val="00D50A34"/>
    <w:rsid w:val="00D53EFA"/>
    <w:rsid w:val="00D94A7C"/>
    <w:rsid w:val="00D95896"/>
    <w:rsid w:val="00DA37D3"/>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B777E"/>
    <w:rsid w:val="00ED03D7"/>
    <w:rsid w:val="00ED0639"/>
    <w:rsid w:val="00ED1EBD"/>
    <w:rsid w:val="00ED558D"/>
    <w:rsid w:val="00EF4755"/>
    <w:rsid w:val="00EF7135"/>
    <w:rsid w:val="00EF7142"/>
    <w:rsid w:val="00F027DB"/>
    <w:rsid w:val="00F14A7A"/>
    <w:rsid w:val="00F22985"/>
    <w:rsid w:val="00F3383E"/>
    <w:rsid w:val="00F465A7"/>
    <w:rsid w:val="00F4702B"/>
    <w:rsid w:val="00F50B7C"/>
    <w:rsid w:val="00F550E6"/>
    <w:rsid w:val="00F65096"/>
    <w:rsid w:val="00F74345"/>
    <w:rsid w:val="00F80A0A"/>
    <w:rsid w:val="00F82B19"/>
    <w:rsid w:val="00F9212D"/>
    <w:rsid w:val="00F965DA"/>
    <w:rsid w:val="00F96ED3"/>
    <w:rsid w:val="00FA406A"/>
    <w:rsid w:val="00FB07DA"/>
    <w:rsid w:val="00FB503A"/>
    <w:rsid w:val="00FB516C"/>
    <w:rsid w:val="00FC206D"/>
    <w:rsid w:val="00FC66D4"/>
    <w:rsid w:val="00FD0236"/>
    <w:rsid w:val="00FD18F4"/>
    <w:rsid w:val="00FD54DB"/>
    <w:rsid w:val="00FD619F"/>
    <w:rsid w:val="01066A48"/>
    <w:rsid w:val="01133142"/>
    <w:rsid w:val="01290F7E"/>
    <w:rsid w:val="012A701F"/>
    <w:rsid w:val="01497596"/>
    <w:rsid w:val="015A2F33"/>
    <w:rsid w:val="015D1E09"/>
    <w:rsid w:val="01657C13"/>
    <w:rsid w:val="01671BDD"/>
    <w:rsid w:val="016965B1"/>
    <w:rsid w:val="016A347B"/>
    <w:rsid w:val="01761E20"/>
    <w:rsid w:val="019F05F7"/>
    <w:rsid w:val="01A46859"/>
    <w:rsid w:val="01A71763"/>
    <w:rsid w:val="01AF0E8E"/>
    <w:rsid w:val="01B82660"/>
    <w:rsid w:val="01C13DEF"/>
    <w:rsid w:val="01D337B4"/>
    <w:rsid w:val="01D60EB7"/>
    <w:rsid w:val="01D67099"/>
    <w:rsid w:val="01E21263"/>
    <w:rsid w:val="020029BF"/>
    <w:rsid w:val="020126AA"/>
    <w:rsid w:val="0209100B"/>
    <w:rsid w:val="020B2CE0"/>
    <w:rsid w:val="021C334E"/>
    <w:rsid w:val="024B6E08"/>
    <w:rsid w:val="02511118"/>
    <w:rsid w:val="02697903"/>
    <w:rsid w:val="027C3466"/>
    <w:rsid w:val="028B2397"/>
    <w:rsid w:val="02B21BA5"/>
    <w:rsid w:val="02BD4D49"/>
    <w:rsid w:val="02BF77F6"/>
    <w:rsid w:val="02DB5171"/>
    <w:rsid w:val="02E07E47"/>
    <w:rsid w:val="02F62848"/>
    <w:rsid w:val="02F96569"/>
    <w:rsid w:val="02FB2A7E"/>
    <w:rsid w:val="03025FFC"/>
    <w:rsid w:val="03097B10"/>
    <w:rsid w:val="0341262E"/>
    <w:rsid w:val="034828A1"/>
    <w:rsid w:val="03541CED"/>
    <w:rsid w:val="037174E7"/>
    <w:rsid w:val="037857C1"/>
    <w:rsid w:val="037E6D6A"/>
    <w:rsid w:val="03A43D2A"/>
    <w:rsid w:val="03B76D57"/>
    <w:rsid w:val="03CB0615"/>
    <w:rsid w:val="03E236C4"/>
    <w:rsid w:val="03EA7B21"/>
    <w:rsid w:val="03FA3841"/>
    <w:rsid w:val="03FD05D6"/>
    <w:rsid w:val="040D5E50"/>
    <w:rsid w:val="041479FA"/>
    <w:rsid w:val="041B6318"/>
    <w:rsid w:val="041F73B9"/>
    <w:rsid w:val="04246CB7"/>
    <w:rsid w:val="044F6195"/>
    <w:rsid w:val="0455421F"/>
    <w:rsid w:val="04664F20"/>
    <w:rsid w:val="047405FC"/>
    <w:rsid w:val="04972F4D"/>
    <w:rsid w:val="04A942BA"/>
    <w:rsid w:val="04B0389B"/>
    <w:rsid w:val="04BA40FF"/>
    <w:rsid w:val="04E778A2"/>
    <w:rsid w:val="04FC6AE0"/>
    <w:rsid w:val="050D234B"/>
    <w:rsid w:val="05323E6C"/>
    <w:rsid w:val="053C2379"/>
    <w:rsid w:val="053E2561"/>
    <w:rsid w:val="05622C5A"/>
    <w:rsid w:val="056A3532"/>
    <w:rsid w:val="057377CE"/>
    <w:rsid w:val="058D2649"/>
    <w:rsid w:val="058E3842"/>
    <w:rsid w:val="05A16E88"/>
    <w:rsid w:val="05AC5838"/>
    <w:rsid w:val="05B56E09"/>
    <w:rsid w:val="05B747B5"/>
    <w:rsid w:val="05B8655C"/>
    <w:rsid w:val="05DA2AF8"/>
    <w:rsid w:val="05E25FAD"/>
    <w:rsid w:val="05F83EAE"/>
    <w:rsid w:val="05FF25C5"/>
    <w:rsid w:val="06345E06"/>
    <w:rsid w:val="063E0A32"/>
    <w:rsid w:val="063E7D85"/>
    <w:rsid w:val="064D7C07"/>
    <w:rsid w:val="064E4154"/>
    <w:rsid w:val="06506BB1"/>
    <w:rsid w:val="065B7390"/>
    <w:rsid w:val="0667572F"/>
    <w:rsid w:val="06752568"/>
    <w:rsid w:val="06886CF9"/>
    <w:rsid w:val="06997F18"/>
    <w:rsid w:val="069C05DA"/>
    <w:rsid w:val="06A51777"/>
    <w:rsid w:val="06AC64F1"/>
    <w:rsid w:val="06C80016"/>
    <w:rsid w:val="06D23623"/>
    <w:rsid w:val="06D8401C"/>
    <w:rsid w:val="06DB0960"/>
    <w:rsid w:val="06DB4583"/>
    <w:rsid w:val="06E12518"/>
    <w:rsid w:val="06F350C2"/>
    <w:rsid w:val="07293586"/>
    <w:rsid w:val="07295285"/>
    <w:rsid w:val="072E52EB"/>
    <w:rsid w:val="074327A4"/>
    <w:rsid w:val="075C3CB2"/>
    <w:rsid w:val="07636392"/>
    <w:rsid w:val="07727D3F"/>
    <w:rsid w:val="077511FB"/>
    <w:rsid w:val="07770C56"/>
    <w:rsid w:val="079F13AE"/>
    <w:rsid w:val="07A56FBB"/>
    <w:rsid w:val="07AA25D3"/>
    <w:rsid w:val="07D85E6D"/>
    <w:rsid w:val="07F200AB"/>
    <w:rsid w:val="07F25A71"/>
    <w:rsid w:val="081021CB"/>
    <w:rsid w:val="082C6279"/>
    <w:rsid w:val="083C7EC7"/>
    <w:rsid w:val="08637BC6"/>
    <w:rsid w:val="086504F8"/>
    <w:rsid w:val="08700FF2"/>
    <w:rsid w:val="087F780C"/>
    <w:rsid w:val="088D096B"/>
    <w:rsid w:val="08A34A75"/>
    <w:rsid w:val="08FB4414"/>
    <w:rsid w:val="08FC1410"/>
    <w:rsid w:val="09104908"/>
    <w:rsid w:val="09151161"/>
    <w:rsid w:val="091A578E"/>
    <w:rsid w:val="092217DD"/>
    <w:rsid w:val="09327E9F"/>
    <w:rsid w:val="093A7294"/>
    <w:rsid w:val="0975746A"/>
    <w:rsid w:val="097C1F9D"/>
    <w:rsid w:val="09862E1C"/>
    <w:rsid w:val="09A60282"/>
    <w:rsid w:val="09B63701"/>
    <w:rsid w:val="09D9119E"/>
    <w:rsid w:val="09DE67B4"/>
    <w:rsid w:val="0A0A75A9"/>
    <w:rsid w:val="0A1A5E4D"/>
    <w:rsid w:val="0A263993"/>
    <w:rsid w:val="0A2A19F9"/>
    <w:rsid w:val="0A2D3AC2"/>
    <w:rsid w:val="0A33384C"/>
    <w:rsid w:val="0A390846"/>
    <w:rsid w:val="0A3C09AE"/>
    <w:rsid w:val="0A4D0C86"/>
    <w:rsid w:val="0A4E4561"/>
    <w:rsid w:val="0A59002A"/>
    <w:rsid w:val="0A5F5CC5"/>
    <w:rsid w:val="0A895A9F"/>
    <w:rsid w:val="0A8B05F0"/>
    <w:rsid w:val="0A902969"/>
    <w:rsid w:val="0A98544A"/>
    <w:rsid w:val="0AA755DF"/>
    <w:rsid w:val="0AAC7F79"/>
    <w:rsid w:val="0AD24C63"/>
    <w:rsid w:val="0ADD4CBE"/>
    <w:rsid w:val="0AE96B29"/>
    <w:rsid w:val="0B006A1F"/>
    <w:rsid w:val="0B120D44"/>
    <w:rsid w:val="0B142533"/>
    <w:rsid w:val="0B26567F"/>
    <w:rsid w:val="0B3D0738"/>
    <w:rsid w:val="0B4804AE"/>
    <w:rsid w:val="0B5968C4"/>
    <w:rsid w:val="0B5C5BE2"/>
    <w:rsid w:val="0B5D7C14"/>
    <w:rsid w:val="0BB262B3"/>
    <w:rsid w:val="0BC77CF4"/>
    <w:rsid w:val="0BCA128E"/>
    <w:rsid w:val="0BD27BF6"/>
    <w:rsid w:val="0BD31C1D"/>
    <w:rsid w:val="0BE55E0C"/>
    <w:rsid w:val="0BF042DF"/>
    <w:rsid w:val="0C005650"/>
    <w:rsid w:val="0C1847D8"/>
    <w:rsid w:val="0C1C7A68"/>
    <w:rsid w:val="0C2447BB"/>
    <w:rsid w:val="0C307352"/>
    <w:rsid w:val="0C3565FC"/>
    <w:rsid w:val="0C3B3C7D"/>
    <w:rsid w:val="0C404E8F"/>
    <w:rsid w:val="0C5541E2"/>
    <w:rsid w:val="0C5D3E57"/>
    <w:rsid w:val="0C60667A"/>
    <w:rsid w:val="0C610B78"/>
    <w:rsid w:val="0C915100"/>
    <w:rsid w:val="0CAB2EAE"/>
    <w:rsid w:val="0CC066D9"/>
    <w:rsid w:val="0CD44FF5"/>
    <w:rsid w:val="0D1A5D55"/>
    <w:rsid w:val="0D346D3F"/>
    <w:rsid w:val="0D350DE1"/>
    <w:rsid w:val="0D3E2EF0"/>
    <w:rsid w:val="0D621C7D"/>
    <w:rsid w:val="0D627091"/>
    <w:rsid w:val="0D677E4F"/>
    <w:rsid w:val="0D6E185E"/>
    <w:rsid w:val="0D821B4C"/>
    <w:rsid w:val="0D9D0144"/>
    <w:rsid w:val="0DB02599"/>
    <w:rsid w:val="0DB47447"/>
    <w:rsid w:val="0DB474B1"/>
    <w:rsid w:val="0DBA3BEA"/>
    <w:rsid w:val="0DCF51BF"/>
    <w:rsid w:val="0DE3413F"/>
    <w:rsid w:val="0DE46363"/>
    <w:rsid w:val="0DF80A07"/>
    <w:rsid w:val="0E1E377F"/>
    <w:rsid w:val="0E293EB9"/>
    <w:rsid w:val="0E391E20"/>
    <w:rsid w:val="0E73034D"/>
    <w:rsid w:val="0E7558D3"/>
    <w:rsid w:val="0E7A16EE"/>
    <w:rsid w:val="0E806ABD"/>
    <w:rsid w:val="0E8A31FA"/>
    <w:rsid w:val="0E8F4E04"/>
    <w:rsid w:val="0E9C4031"/>
    <w:rsid w:val="0EC27DB6"/>
    <w:rsid w:val="0EC3734B"/>
    <w:rsid w:val="0EC810B2"/>
    <w:rsid w:val="0ECF7319"/>
    <w:rsid w:val="0F0117C0"/>
    <w:rsid w:val="0F0547E3"/>
    <w:rsid w:val="0F0813EC"/>
    <w:rsid w:val="0F13775A"/>
    <w:rsid w:val="0F310BA0"/>
    <w:rsid w:val="0F545EB6"/>
    <w:rsid w:val="0F5F45FE"/>
    <w:rsid w:val="0F676E01"/>
    <w:rsid w:val="0F89027A"/>
    <w:rsid w:val="0F9A112B"/>
    <w:rsid w:val="0FA03F57"/>
    <w:rsid w:val="0FAE6A3F"/>
    <w:rsid w:val="0FC1695C"/>
    <w:rsid w:val="0FDA656A"/>
    <w:rsid w:val="0FE45CA7"/>
    <w:rsid w:val="100243E3"/>
    <w:rsid w:val="10203478"/>
    <w:rsid w:val="103262F7"/>
    <w:rsid w:val="10334F7D"/>
    <w:rsid w:val="1034712E"/>
    <w:rsid w:val="103A670E"/>
    <w:rsid w:val="103D31DD"/>
    <w:rsid w:val="103F2991"/>
    <w:rsid w:val="10403535"/>
    <w:rsid w:val="10535B48"/>
    <w:rsid w:val="10554F10"/>
    <w:rsid w:val="1058028C"/>
    <w:rsid w:val="105A46BB"/>
    <w:rsid w:val="106166E5"/>
    <w:rsid w:val="1065378B"/>
    <w:rsid w:val="106D2F64"/>
    <w:rsid w:val="107125C8"/>
    <w:rsid w:val="107A0C54"/>
    <w:rsid w:val="10800165"/>
    <w:rsid w:val="108160EB"/>
    <w:rsid w:val="10881228"/>
    <w:rsid w:val="108E1534"/>
    <w:rsid w:val="109F4392"/>
    <w:rsid w:val="10A6724A"/>
    <w:rsid w:val="10B3519C"/>
    <w:rsid w:val="10B63710"/>
    <w:rsid w:val="10B7591C"/>
    <w:rsid w:val="10C46AC1"/>
    <w:rsid w:val="10D4446D"/>
    <w:rsid w:val="10D57C4B"/>
    <w:rsid w:val="10D87149"/>
    <w:rsid w:val="10DA19B4"/>
    <w:rsid w:val="10F10820"/>
    <w:rsid w:val="10FC035E"/>
    <w:rsid w:val="111C2F7A"/>
    <w:rsid w:val="112A76FB"/>
    <w:rsid w:val="11364DC3"/>
    <w:rsid w:val="1142587A"/>
    <w:rsid w:val="11665CA1"/>
    <w:rsid w:val="116E6C3D"/>
    <w:rsid w:val="11A7073D"/>
    <w:rsid w:val="11C961F6"/>
    <w:rsid w:val="11D2414B"/>
    <w:rsid w:val="11D8580E"/>
    <w:rsid w:val="11DF0E96"/>
    <w:rsid w:val="11FB58A2"/>
    <w:rsid w:val="11FD3983"/>
    <w:rsid w:val="122B27B2"/>
    <w:rsid w:val="122B5C4E"/>
    <w:rsid w:val="123F1DBA"/>
    <w:rsid w:val="12882992"/>
    <w:rsid w:val="129C545E"/>
    <w:rsid w:val="12A460C1"/>
    <w:rsid w:val="12B81F6E"/>
    <w:rsid w:val="12BB58E4"/>
    <w:rsid w:val="12CA2605"/>
    <w:rsid w:val="12CB54C7"/>
    <w:rsid w:val="12D1738C"/>
    <w:rsid w:val="12F113A7"/>
    <w:rsid w:val="12FC7CAB"/>
    <w:rsid w:val="13067F61"/>
    <w:rsid w:val="13073F85"/>
    <w:rsid w:val="130B1110"/>
    <w:rsid w:val="130B1E18"/>
    <w:rsid w:val="13260F8C"/>
    <w:rsid w:val="13345697"/>
    <w:rsid w:val="133B4C77"/>
    <w:rsid w:val="1345369F"/>
    <w:rsid w:val="134B3E08"/>
    <w:rsid w:val="13951726"/>
    <w:rsid w:val="13A1523E"/>
    <w:rsid w:val="13E05BAC"/>
    <w:rsid w:val="13E35EDC"/>
    <w:rsid w:val="13F31F70"/>
    <w:rsid w:val="13F7368D"/>
    <w:rsid w:val="14372395"/>
    <w:rsid w:val="14396509"/>
    <w:rsid w:val="14634486"/>
    <w:rsid w:val="14757D15"/>
    <w:rsid w:val="147A0FFE"/>
    <w:rsid w:val="147A1317"/>
    <w:rsid w:val="14911DC7"/>
    <w:rsid w:val="149C4D8A"/>
    <w:rsid w:val="14B43702"/>
    <w:rsid w:val="14C47881"/>
    <w:rsid w:val="14CA62B3"/>
    <w:rsid w:val="14D4153C"/>
    <w:rsid w:val="14DD2C3C"/>
    <w:rsid w:val="14F762DD"/>
    <w:rsid w:val="14FB18C4"/>
    <w:rsid w:val="15110F2B"/>
    <w:rsid w:val="15160006"/>
    <w:rsid w:val="1533269C"/>
    <w:rsid w:val="1538745D"/>
    <w:rsid w:val="15783F61"/>
    <w:rsid w:val="158D0380"/>
    <w:rsid w:val="16087E1D"/>
    <w:rsid w:val="160A7EAE"/>
    <w:rsid w:val="163065E9"/>
    <w:rsid w:val="16314638"/>
    <w:rsid w:val="163A6387"/>
    <w:rsid w:val="16542EA1"/>
    <w:rsid w:val="1655765B"/>
    <w:rsid w:val="168F2E2B"/>
    <w:rsid w:val="16A366A2"/>
    <w:rsid w:val="16A668AC"/>
    <w:rsid w:val="16B300DF"/>
    <w:rsid w:val="16D436B5"/>
    <w:rsid w:val="16E036BB"/>
    <w:rsid w:val="16EC5EDA"/>
    <w:rsid w:val="16F3356C"/>
    <w:rsid w:val="17042EEF"/>
    <w:rsid w:val="170673FA"/>
    <w:rsid w:val="170C6105"/>
    <w:rsid w:val="173A54AF"/>
    <w:rsid w:val="173A7A83"/>
    <w:rsid w:val="175374FB"/>
    <w:rsid w:val="175961C9"/>
    <w:rsid w:val="175E09DE"/>
    <w:rsid w:val="175E69A5"/>
    <w:rsid w:val="176D2333"/>
    <w:rsid w:val="17701D14"/>
    <w:rsid w:val="17735226"/>
    <w:rsid w:val="178F3E7B"/>
    <w:rsid w:val="17B01E78"/>
    <w:rsid w:val="17BC12B0"/>
    <w:rsid w:val="17CD1281"/>
    <w:rsid w:val="17D20C3D"/>
    <w:rsid w:val="17DA3AC1"/>
    <w:rsid w:val="17E60188"/>
    <w:rsid w:val="181F50D6"/>
    <w:rsid w:val="18344647"/>
    <w:rsid w:val="18716A45"/>
    <w:rsid w:val="187E7700"/>
    <w:rsid w:val="18860743"/>
    <w:rsid w:val="188E59F4"/>
    <w:rsid w:val="189F624C"/>
    <w:rsid w:val="18A1488F"/>
    <w:rsid w:val="18B52DD6"/>
    <w:rsid w:val="18BB3A78"/>
    <w:rsid w:val="18D1208F"/>
    <w:rsid w:val="18E14F1F"/>
    <w:rsid w:val="18E57AC1"/>
    <w:rsid w:val="18E935BD"/>
    <w:rsid w:val="190D0C4D"/>
    <w:rsid w:val="190D49C0"/>
    <w:rsid w:val="19121B64"/>
    <w:rsid w:val="19405C01"/>
    <w:rsid w:val="19AA66B3"/>
    <w:rsid w:val="19B61635"/>
    <w:rsid w:val="19B7492C"/>
    <w:rsid w:val="19C86998"/>
    <w:rsid w:val="19E178BA"/>
    <w:rsid w:val="19EE5805"/>
    <w:rsid w:val="19F15E36"/>
    <w:rsid w:val="19F73F54"/>
    <w:rsid w:val="1A1C66C0"/>
    <w:rsid w:val="1A3F17DC"/>
    <w:rsid w:val="1A42393B"/>
    <w:rsid w:val="1A4F2DB6"/>
    <w:rsid w:val="1A4F5F7D"/>
    <w:rsid w:val="1A520113"/>
    <w:rsid w:val="1A613F9E"/>
    <w:rsid w:val="1A841FEE"/>
    <w:rsid w:val="1AA26835"/>
    <w:rsid w:val="1AA43230"/>
    <w:rsid w:val="1AA91714"/>
    <w:rsid w:val="1AAD45DE"/>
    <w:rsid w:val="1AC9700C"/>
    <w:rsid w:val="1ADD210B"/>
    <w:rsid w:val="1AE63222"/>
    <w:rsid w:val="1AFE20BD"/>
    <w:rsid w:val="1B046F80"/>
    <w:rsid w:val="1B0A4740"/>
    <w:rsid w:val="1B134D47"/>
    <w:rsid w:val="1B1C2F15"/>
    <w:rsid w:val="1B3267B5"/>
    <w:rsid w:val="1B400180"/>
    <w:rsid w:val="1B40161D"/>
    <w:rsid w:val="1B441859"/>
    <w:rsid w:val="1B4641B9"/>
    <w:rsid w:val="1B470E80"/>
    <w:rsid w:val="1B5468D6"/>
    <w:rsid w:val="1B6606B1"/>
    <w:rsid w:val="1B6E26C3"/>
    <w:rsid w:val="1B7A0FB6"/>
    <w:rsid w:val="1B865428"/>
    <w:rsid w:val="1B975EE8"/>
    <w:rsid w:val="1BA01F48"/>
    <w:rsid w:val="1BB70BEE"/>
    <w:rsid w:val="1BBF6FFD"/>
    <w:rsid w:val="1BD929E2"/>
    <w:rsid w:val="1BFC0F6C"/>
    <w:rsid w:val="1C1C759C"/>
    <w:rsid w:val="1C1D7ECA"/>
    <w:rsid w:val="1C316354"/>
    <w:rsid w:val="1C350C74"/>
    <w:rsid w:val="1C411F16"/>
    <w:rsid w:val="1C4C562F"/>
    <w:rsid w:val="1C553EEE"/>
    <w:rsid w:val="1C5B2BEE"/>
    <w:rsid w:val="1C5D3A88"/>
    <w:rsid w:val="1C5E7925"/>
    <w:rsid w:val="1C702E80"/>
    <w:rsid w:val="1C943EB8"/>
    <w:rsid w:val="1CA67605"/>
    <w:rsid w:val="1CCE4B68"/>
    <w:rsid w:val="1CD25623"/>
    <w:rsid w:val="1CF52A09"/>
    <w:rsid w:val="1CFB6C98"/>
    <w:rsid w:val="1CFD070F"/>
    <w:rsid w:val="1CFE1D01"/>
    <w:rsid w:val="1D0779CC"/>
    <w:rsid w:val="1D0D44A5"/>
    <w:rsid w:val="1D2642A2"/>
    <w:rsid w:val="1D465F04"/>
    <w:rsid w:val="1D552DD9"/>
    <w:rsid w:val="1D584EAC"/>
    <w:rsid w:val="1D5F6196"/>
    <w:rsid w:val="1D6132A5"/>
    <w:rsid w:val="1D701D56"/>
    <w:rsid w:val="1D7722BD"/>
    <w:rsid w:val="1D8E56D5"/>
    <w:rsid w:val="1DAC5FD6"/>
    <w:rsid w:val="1DCF03B5"/>
    <w:rsid w:val="1E0102F8"/>
    <w:rsid w:val="1E087E4C"/>
    <w:rsid w:val="1E1862E1"/>
    <w:rsid w:val="1E40237F"/>
    <w:rsid w:val="1E631890"/>
    <w:rsid w:val="1E7A43DA"/>
    <w:rsid w:val="1EAC0B36"/>
    <w:rsid w:val="1EFE68E7"/>
    <w:rsid w:val="1F1F544D"/>
    <w:rsid w:val="1F2C36C6"/>
    <w:rsid w:val="1F445C7B"/>
    <w:rsid w:val="1F4E5AB6"/>
    <w:rsid w:val="1F751511"/>
    <w:rsid w:val="1F8D6337"/>
    <w:rsid w:val="1F9052DC"/>
    <w:rsid w:val="1F925C1F"/>
    <w:rsid w:val="1F9F651C"/>
    <w:rsid w:val="1FA25B17"/>
    <w:rsid w:val="1FAB362E"/>
    <w:rsid w:val="1FAE696D"/>
    <w:rsid w:val="1FB87C96"/>
    <w:rsid w:val="1FB95AF5"/>
    <w:rsid w:val="1FC63B1B"/>
    <w:rsid w:val="1FD13604"/>
    <w:rsid w:val="1FE43DE1"/>
    <w:rsid w:val="1FE7539E"/>
    <w:rsid w:val="20052895"/>
    <w:rsid w:val="201553A4"/>
    <w:rsid w:val="201B6FD5"/>
    <w:rsid w:val="202629DD"/>
    <w:rsid w:val="2028776F"/>
    <w:rsid w:val="202E573A"/>
    <w:rsid w:val="20383A48"/>
    <w:rsid w:val="20652EA1"/>
    <w:rsid w:val="20671BE0"/>
    <w:rsid w:val="207D58C5"/>
    <w:rsid w:val="207F2647"/>
    <w:rsid w:val="20875058"/>
    <w:rsid w:val="208E288A"/>
    <w:rsid w:val="20963CB8"/>
    <w:rsid w:val="20A81A1B"/>
    <w:rsid w:val="20B07FB6"/>
    <w:rsid w:val="20B646FB"/>
    <w:rsid w:val="20BA367F"/>
    <w:rsid w:val="20BD3045"/>
    <w:rsid w:val="20D620C1"/>
    <w:rsid w:val="20D87DD2"/>
    <w:rsid w:val="20FA116C"/>
    <w:rsid w:val="2104630C"/>
    <w:rsid w:val="211A35CE"/>
    <w:rsid w:val="21250B61"/>
    <w:rsid w:val="21376476"/>
    <w:rsid w:val="2139587A"/>
    <w:rsid w:val="213B74B1"/>
    <w:rsid w:val="21413E90"/>
    <w:rsid w:val="215A2310"/>
    <w:rsid w:val="21617F36"/>
    <w:rsid w:val="21647166"/>
    <w:rsid w:val="21741137"/>
    <w:rsid w:val="218535CA"/>
    <w:rsid w:val="218674EA"/>
    <w:rsid w:val="219E313B"/>
    <w:rsid w:val="21A25EC1"/>
    <w:rsid w:val="21AD5306"/>
    <w:rsid w:val="21B31FB2"/>
    <w:rsid w:val="21DE318A"/>
    <w:rsid w:val="21E32103"/>
    <w:rsid w:val="21E36AA0"/>
    <w:rsid w:val="21EA1DCF"/>
    <w:rsid w:val="21EF5B80"/>
    <w:rsid w:val="21F14062"/>
    <w:rsid w:val="21F71D19"/>
    <w:rsid w:val="21F9686E"/>
    <w:rsid w:val="220705E7"/>
    <w:rsid w:val="22120E66"/>
    <w:rsid w:val="22181D3C"/>
    <w:rsid w:val="2236116A"/>
    <w:rsid w:val="223A0985"/>
    <w:rsid w:val="224A0A33"/>
    <w:rsid w:val="22576990"/>
    <w:rsid w:val="225E5640"/>
    <w:rsid w:val="226D097E"/>
    <w:rsid w:val="22776E22"/>
    <w:rsid w:val="229D282E"/>
    <w:rsid w:val="22A31D66"/>
    <w:rsid w:val="22A46395"/>
    <w:rsid w:val="22C00A17"/>
    <w:rsid w:val="22C40CF2"/>
    <w:rsid w:val="22DA77B3"/>
    <w:rsid w:val="22E95D32"/>
    <w:rsid w:val="22EA6D4B"/>
    <w:rsid w:val="22F47480"/>
    <w:rsid w:val="2320383B"/>
    <w:rsid w:val="23216D7D"/>
    <w:rsid w:val="23225C53"/>
    <w:rsid w:val="23360FB7"/>
    <w:rsid w:val="233F3E44"/>
    <w:rsid w:val="234F5BD5"/>
    <w:rsid w:val="2362511E"/>
    <w:rsid w:val="23645B24"/>
    <w:rsid w:val="23760DBB"/>
    <w:rsid w:val="23793170"/>
    <w:rsid w:val="238D2AB4"/>
    <w:rsid w:val="23970B64"/>
    <w:rsid w:val="23A41577"/>
    <w:rsid w:val="23A46FD4"/>
    <w:rsid w:val="23C517FD"/>
    <w:rsid w:val="23DE1C48"/>
    <w:rsid w:val="23E031EF"/>
    <w:rsid w:val="23E54285"/>
    <w:rsid w:val="23EF5E28"/>
    <w:rsid w:val="240210CD"/>
    <w:rsid w:val="241A138E"/>
    <w:rsid w:val="242F7EE0"/>
    <w:rsid w:val="2443692A"/>
    <w:rsid w:val="24466FD8"/>
    <w:rsid w:val="2449793E"/>
    <w:rsid w:val="244E4E88"/>
    <w:rsid w:val="24584421"/>
    <w:rsid w:val="245E559F"/>
    <w:rsid w:val="24A03EAA"/>
    <w:rsid w:val="24AA40B5"/>
    <w:rsid w:val="24AF17F4"/>
    <w:rsid w:val="24BF09F7"/>
    <w:rsid w:val="24C57F8A"/>
    <w:rsid w:val="24C80242"/>
    <w:rsid w:val="24CC790F"/>
    <w:rsid w:val="24D4617F"/>
    <w:rsid w:val="24E32A79"/>
    <w:rsid w:val="250B505D"/>
    <w:rsid w:val="251003F6"/>
    <w:rsid w:val="252D53FE"/>
    <w:rsid w:val="25336103"/>
    <w:rsid w:val="25786CDA"/>
    <w:rsid w:val="257C01A9"/>
    <w:rsid w:val="258B55EA"/>
    <w:rsid w:val="259271B4"/>
    <w:rsid w:val="25945131"/>
    <w:rsid w:val="25B83DC2"/>
    <w:rsid w:val="25BF2CD2"/>
    <w:rsid w:val="25D7082F"/>
    <w:rsid w:val="25EC2D81"/>
    <w:rsid w:val="25FB3209"/>
    <w:rsid w:val="25FF1B34"/>
    <w:rsid w:val="26121225"/>
    <w:rsid w:val="26207658"/>
    <w:rsid w:val="262825E0"/>
    <w:rsid w:val="26442069"/>
    <w:rsid w:val="26470600"/>
    <w:rsid w:val="264F5912"/>
    <w:rsid w:val="26512182"/>
    <w:rsid w:val="265256EB"/>
    <w:rsid w:val="265E4AAD"/>
    <w:rsid w:val="268564DD"/>
    <w:rsid w:val="26915C34"/>
    <w:rsid w:val="269B191F"/>
    <w:rsid w:val="269C4155"/>
    <w:rsid w:val="26C43F08"/>
    <w:rsid w:val="26C74769"/>
    <w:rsid w:val="26E5536D"/>
    <w:rsid w:val="26F80167"/>
    <w:rsid w:val="27075144"/>
    <w:rsid w:val="27152BFC"/>
    <w:rsid w:val="27282DB4"/>
    <w:rsid w:val="2738299C"/>
    <w:rsid w:val="273C1540"/>
    <w:rsid w:val="276A25B5"/>
    <w:rsid w:val="277057A2"/>
    <w:rsid w:val="278F0C96"/>
    <w:rsid w:val="27A01F41"/>
    <w:rsid w:val="27A42993"/>
    <w:rsid w:val="27AC7A9A"/>
    <w:rsid w:val="27BB7CDD"/>
    <w:rsid w:val="27D16DC1"/>
    <w:rsid w:val="27D6500D"/>
    <w:rsid w:val="27E65B6D"/>
    <w:rsid w:val="27EB5782"/>
    <w:rsid w:val="280700BC"/>
    <w:rsid w:val="280D5F68"/>
    <w:rsid w:val="2818508B"/>
    <w:rsid w:val="28560DE4"/>
    <w:rsid w:val="285B1FCC"/>
    <w:rsid w:val="285F1D8B"/>
    <w:rsid w:val="2883323E"/>
    <w:rsid w:val="28A12CEC"/>
    <w:rsid w:val="28A57F53"/>
    <w:rsid w:val="28AD2DC6"/>
    <w:rsid w:val="28B42EDD"/>
    <w:rsid w:val="28C64B8B"/>
    <w:rsid w:val="28C71693"/>
    <w:rsid w:val="28C83779"/>
    <w:rsid w:val="28D31FDC"/>
    <w:rsid w:val="28D71D8F"/>
    <w:rsid w:val="28E901E8"/>
    <w:rsid w:val="28EB0AC0"/>
    <w:rsid w:val="29195C00"/>
    <w:rsid w:val="29206EB8"/>
    <w:rsid w:val="293C3C5F"/>
    <w:rsid w:val="29595666"/>
    <w:rsid w:val="295F45CC"/>
    <w:rsid w:val="29647B51"/>
    <w:rsid w:val="29874881"/>
    <w:rsid w:val="2990253D"/>
    <w:rsid w:val="299030EB"/>
    <w:rsid w:val="29AE5D4B"/>
    <w:rsid w:val="29B72D8A"/>
    <w:rsid w:val="29CA7E5D"/>
    <w:rsid w:val="29D02B23"/>
    <w:rsid w:val="29D05CC2"/>
    <w:rsid w:val="29E325E0"/>
    <w:rsid w:val="2A136B96"/>
    <w:rsid w:val="2A1F27A5"/>
    <w:rsid w:val="2A276EAC"/>
    <w:rsid w:val="2A3C5105"/>
    <w:rsid w:val="2A452503"/>
    <w:rsid w:val="2A5C7555"/>
    <w:rsid w:val="2A7523C5"/>
    <w:rsid w:val="2A84789C"/>
    <w:rsid w:val="2AA31C7D"/>
    <w:rsid w:val="2ABC6246"/>
    <w:rsid w:val="2ABE1FBE"/>
    <w:rsid w:val="2AC522E4"/>
    <w:rsid w:val="2AE87A11"/>
    <w:rsid w:val="2B126DA9"/>
    <w:rsid w:val="2B220C59"/>
    <w:rsid w:val="2B2362C5"/>
    <w:rsid w:val="2B29749C"/>
    <w:rsid w:val="2B3344AA"/>
    <w:rsid w:val="2B380456"/>
    <w:rsid w:val="2B391CDB"/>
    <w:rsid w:val="2B3B360F"/>
    <w:rsid w:val="2B41674B"/>
    <w:rsid w:val="2B495C71"/>
    <w:rsid w:val="2B596C09"/>
    <w:rsid w:val="2B6C5576"/>
    <w:rsid w:val="2B8E1F4B"/>
    <w:rsid w:val="2B9920E3"/>
    <w:rsid w:val="2B9F70BB"/>
    <w:rsid w:val="2BA936A8"/>
    <w:rsid w:val="2BB539CA"/>
    <w:rsid w:val="2BC17A01"/>
    <w:rsid w:val="2BC77580"/>
    <w:rsid w:val="2BCE343A"/>
    <w:rsid w:val="2BE653B6"/>
    <w:rsid w:val="2BFA5E6F"/>
    <w:rsid w:val="2BFE27A7"/>
    <w:rsid w:val="2C066B7B"/>
    <w:rsid w:val="2C1605AD"/>
    <w:rsid w:val="2C293E2A"/>
    <w:rsid w:val="2C2C1A71"/>
    <w:rsid w:val="2C2F0ADD"/>
    <w:rsid w:val="2C315A5A"/>
    <w:rsid w:val="2C3C1203"/>
    <w:rsid w:val="2C3E16EB"/>
    <w:rsid w:val="2C4B1C25"/>
    <w:rsid w:val="2C6201E7"/>
    <w:rsid w:val="2C793B58"/>
    <w:rsid w:val="2C846156"/>
    <w:rsid w:val="2C99367F"/>
    <w:rsid w:val="2CB52EEF"/>
    <w:rsid w:val="2CD549AD"/>
    <w:rsid w:val="2CD567AB"/>
    <w:rsid w:val="2CDA3F6C"/>
    <w:rsid w:val="2CF23D68"/>
    <w:rsid w:val="2D051CB6"/>
    <w:rsid w:val="2D132BDE"/>
    <w:rsid w:val="2D2342D3"/>
    <w:rsid w:val="2D274BDE"/>
    <w:rsid w:val="2D3622E0"/>
    <w:rsid w:val="2D594D51"/>
    <w:rsid w:val="2D5A77C0"/>
    <w:rsid w:val="2D5B64F2"/>
    <w:rsid w:val="2D5E5936"/>
    <w:rsid w:val="2D743734"/>
    <w:rsid w:val="2D7A38ED"/>
    <w:rsid w:val="2D8843C5"/>
    <w:rsid w:val="2D903AC9"/>
    <w:rsid w:val="2D9E56F5"/>
    <w:rsid w:val="2DB371BC"/>
    <w:rsid w:val="2DCC19D6"/>
    <w:rsid w:val="2DDC5B24"/>
    <w:rsid w:val="2E051CB2"/>
    <w:rsid w:val="2E241C74"/>
    <w:rsid w:val="2E493AAD"/>
    <w:rsid w:val="2E4B0158"/>
    <w:rsid w:val="2E667F96"/>
    <w:rsid w:val="2E6803B0"/>
    <w:rsid w:val="2E7852F9"/>
    <w:rsid w:val="2E7E0E6C"/>
    <w:rsid w:val="2E8226AB"/>
    <w:rsid w:val="2E8D3590"/>
    <w:rsid w:val="2E912C5E"/>
    <w:rsid w:val="2E9C1925"/>
    <w:rsid w:val="2E9E396B"/>
    <w:rsid w:val="2EF44C4D"/>
    <w:rsid w:val="2EF9354A"/>
    <w:rsid w:val="2EFC30B5"/>
    <w:rsid w:val="2EFF42B4"/>
    <w:rsid w:val="2F021E8E"/>
    <w:rsid w:val="2F0D22A8"/>
    <w:rsid w:val="2F195A15"/>
    <w:rsid w:val="2F246CBE"/>
    <w:rsid w:val="2F273FEC"/>
    <w:rsid w:val="2F2B399A"/>
    <w:rsid w:val="2F370F76"/>
    <w:rsid w:val="2F3A017A"/>
    <w:rsid w:val="2F503401"/>
    <w:rsid w:val="2F5231C4"/>
    <w:rsid w:val="2F756613"/>
    <w:rsid w:val="2F886D79"/>
    <w:rsid w:val="2FA703CF"/>
    <w:rsid w:val="2FAB7A7C"/>
    <w:rsid w:val="2FB577A3"/>
    <w:rsid w:val="2FBC45F2"/>
    <w:rsid w:val="2FD065E6"/>
    <w:rsid w:val="2FD7155D"/>
    <w:rsid w:val="2FD96870"/>
    <w:rsid w:val="2FDC1846"/>
    <w:rsid w:val="2FF25ABB"/>
    <w:rsid w:val="30004E27"/>
    <w:rsid w:val="30030EC8"/>
    <w:rsid w:val="303845C1"/>
    <w:rsid w:val="303E4FB3"/>
    <w:rsid w:val="30482404"/>
    <w:rsid w:val="30580BC9"/>
    <w:rsid w:val="306C196C"/>
    <w:rsid w:val="306F2A4D"/>
    <w:rsid w:val="307564A8"/>
    <w:rsid w:val="30880BC2"/>
    <w:rsid w:val="309B06AC"/>
    <w:rsid w:val="309F019C"/>
    <w:rsid w:val="30A030D3"/>
    <w:rsid w:val="30AE49B6"/>
    <w:rsid w:val="30F014EE"/>
    <w:rsid w:val="311361F4"/>
    <w:rsid w:val="311E2ED7"/>
    <w:rsid w:val="312311B6"/>
    <w:rsid w:val="3143306E"/>
    <w:rsid w:val="314D785A"/>
    <w:rsid w:val="315250D3"/>
    <w:rsid w:val="315619EE"/>
    <w:rsid w:val="31585B9E"/>
    <w:rsid w:val="315C449C"/>
    <w:rsid w:val="315E3BB3"/>
    <w:rsid w:val="316B62D0"/>
    <w:rsid w:val="316F23D7"/>
    <w:rsid w:val="31793030"/>
    <w:rsid w:val="31804B4A"/>
    <w:rsid w:val="31B82709"/>
    <w:rsid w:val="31D05482"/>
    <w:rsid w:val="31FD69A1"/>
    <w:rsid w:val="32230959"/>
    <w:rsid w:val="322D3D7E"/>
    <w:rsid w:val="32400B34"/>
    <w:rsid w:val="32404B96"/>
    <w:rsid w:val="3254438B"/>
    <w:rsid w:val="326A0796"/>
    <w:rsid w:val="326C5E9D"/>
    <w:rsid w:val="326F6ECD"/>
    <w:rsid w:val="32846F2C"/>
    <w:rsid w:val="328C49AD"/>
    <w:rsid w:val="329E6876"/>
    <w:rsid w:val="32C83F10"/>
    <w:rsid w:val="32E1765A"/>
    <w:rsid w:val="32E44A13"/>
    <w:rsid w:val="32EB3B6C"/>
    <w:rsid w:val="32F26CA9"/>
    <w:rsid w:val="32F516C2"/>
    <w:rsid w:val="32FC7B27"/>
    <w:rsid w:val="32FE185F"/>
    <w:rsid w:val="3316573B"/>
    <w:rsid w:val="33270426"/>
    <w:rsid w:val="333015F2"/>
    <w:rsid w:val="334B6320"/>
    <w:rsid w:val="33593555"/>
    <w:rsid w:val="337119C7"/>
    <w:rsid w:val="3380583B"/>
    <w:rsid w:val="33810CCD"/>
    <w:rsid w:val="33A73FE5"/>
    <w:rsid w:val="33BC4DF2"/>
    <w:rsid w:val="33D934D4"/>
    <w:rsid w:val="33FE2F6A"/>
    <w:rsid w:val="34046957"/>
    <w:rsid w:val="34062F68"/>
    <w:rsid w:val="340842AA"/>
    <w:rsid w:val="340E07E5"/>
    <w:rsid w:val="34235BF7"/>
    <w:rsid w:val="34287CB2"/>
    <w:rsid w:val="342962A9"/>
    <w:rsid w:val="343D03AE"/>
    <w:rsid w:val="345510B3"/>
    <w:rsid w:val="3456160F"/>
    <w:rsid w:val="345948FA"/>
    <w:rsid w:val="34836B89"/>
    <w:rsid w:val="348945F1"/>
    <w:rsid w:val="34A94661"/>
    <w:rsid w:val="34AD6B49"/>
    <w:rsid w:val="34B66470"/>
    <w:rsid w:val="34EB3A48"/>
    <w:rsid w:val="350B5E00"/>
    <w:rsid w:val="35215623"/>
    <w:rsid w:val="35244754"/>
    <w:rsid w:val="352B1E64"/>
    <w:rsid w:val="352C0E09"/>
    <w:rsid w:val="352C56B3"/>
    <w:rsid w:val="358C5FA8"/>
    <w:rsid w:val="359702F7"/>
    <w:rsid w:val="35A46AC5"/>
    <w:rsid w:val="35AB1391"/>
    <w:rsid w:val="35C15DF1"/>
    <w:rsid w:val="35E14DB3"/>
    <w:rsid w:val="35FA7C22"/>
    <w:rsid w:val="36046C11"/>
    <w:rsid w:val="36074A7F"/>
    <w:rsid w:val="360A7106"/>
    <w:rsid w:val="361172C7"/>
    <w:rsid w:val="361D3AA1"/>
    <w:rsid w:val="36451C1F"/>
    <w:rsid w:val="36541A28"/>
    <w:rsid w:val="36621B4D"/>
    <w:rsid w:val="36767D98"/>
    <w:rsid w:val="368C11C2"/>
    <w:rsid w:val="3692177D"/>
    <w:rsid w:val="36923549"/>
    <w:rsid w:val="36B42445"/>
    <w:rsid w:val="36B75FBF"/>
    <w:rsid w:val="36B85B13"/>
    <w:rsid w:val="36BD0C45"/>
    <w:rsid w:val="36CB4052"/>
    <w:rsid w:val="36D10C74"/>
    <w:rsid w:val="36FA4414"/>
    <w:rsid w:val="36FD5C1C"/>
    <w:rsid w:val="3700570C"/>
    <w:rsid w:val="37052D23"/>
    <w:rsid w:val="372839C5"/>
    <w:rsid w:val="37345C9E"/>
    <w:rsid w:val="3741663C"/>
    <w:rsid w:val="374D4675"/>
    <w:rsid w:val="377D188A"/>
    <w:rsid w:val="37846D0B"/>
    <w:rsid w:val="37884C51"/>
    <w:rsid w:val="378D0B0A"/>
    <w:rsid w:val="379E638E"/>
    <w:rsid w:val="37A32CDA"/>
    <w:rsid w:val="37A62074"/>
    <w:rsid w:val="37B3277F"/>
    <w:rsid w:val="37BC2595"/>
    <w:rsid w:val="37C46853"/>
    <w:rsid w:val="37D06939"/>
    <w:rsid w:val="37D0718F"/>
    <w:rsid w:val="37E00298"/>
    <w:rsid w:val="37E91B0D"/>
    <w:rsid w:val="37EF2B1E"/>
    <w:rsid w:val="37F55F09"/>
    <w:rsid w:val="37F713CE"/>
    <w:rsid w:val="380415DF"/>
    <w:rsid w:val="38186563"/>
    <w:rsid w:val="383F68B0"/>
    <w:rsid w:val="384833F1"/>
    <w:rsid w:val="38521F98"/>
    <w:rsid w:val="38602906"/>
    <w:rsid w:val="3869321C"/>
    <w:rsid w:val="387704B0"/>
    <w:rsid w:val="387E63E9"/>
    <w:rsid w:val="389E6315"/>
    <w:rsid w:val="38A53A40"/>
    <w:rsid w:val="38B302F9"/>
    <w:rsid w:val="38C762AF"/>
    <w:rsid w:val="38F12CD3"/>
    <w:rsid w:val="38F94775"/>
    <w:rsid w:val="39271D73"/>
    <w:rsid w:val="392971ED"/>
    <w:rsid w:val="392C666C"/>
    <w:rsid w:val="39300097"/>
    <w:rsid w:val="39320624"/>
    <w:rsid w:val="39325651"/>
    <w:rsid w:val="39325B34"/>
    <w:rsid w:val="39450C39"/>
    <w:rsid w:val="394B7113"/>
    <w:rsid w:val="395835DE"/>
    <w:rsid w:val="395E332F"/>
    <w:rsid w:val="396451D4"/>
    <w:rsid w:val="396C52DB"/>
    <w:rsid w:val="3970219E"/>
    <w:rsid w:val="397D0C70"/>
    <w:rsid w:val="39904D30"/>
    <w:rsid w:val="39AB5423"/>
    <w:rsid w:val="39D03EAA"/>
    <w:rsid w:val="39D113A5"/>
    <w:rsid w:val="39E91DA3"/>
    <w:rsid w:val="39F47676"/>
    <w:rsid w:val="3A033426"/>
    <w:rsid w:val="3A1961EB"/>
    <w:rsid w:val="3A3C4587"/>
    <w:rsid w:val="3A5C6D8A"/>
    <w:rsid w:val="3A5E0E3E"/>
    <w:rsid w:val="3A6C3D71"/>
    <w:rsid w:val="3A7635C6"/>
    <w:rsid w:val="3A872856"/>
    <w:rsid w:val="3AB8697E"/>
    <w:rsid w:val="3ACD079F"/>
    <w:rsid w:val="3ACE0BF9"/>
    <w:rsid w:val="3AF02E05"/>
    <w:rsid w:val="3B000F63"/>
    <w:rsid w:val="3B021DCF"/>
    <w:rsid w:val="3B024C13"/>
    <w:rsid w:val="3B0A472D"/>
    <w:rsid w:val="3B102632"/>
    <w:rsid w:val="3B223EA3"/>
    <w:rsid w:val="3B270DC8"/>
    <w:rsid w:val="3B274A58"/>
    <w:rsid w:val="3B30307A"/>
    <w:rsid w:val="3B32618A"/>
    <w:rsid w:val="3B3763D1"/>
    <w:rsid w:val="3B443E1A"/>
    <w:rsid w:val="3B492274"/>
    <w:rsid w:val="3B692946"/>
    <w:rsid w:val="3B7F68F3"/>
    <w:rsid w:val="3B9373B3"/>
    <w:rsid w:val="3BCC0B2C"/>
    <w:rsid w:val="3BCC3E0F"/>
    <w:rsid w:val="3BD604A5"/>
    <w:rsid w:val="3BE03C86"/>
    <w:rsid w:val="3BF70E8C"/>
    <w:rsid w:val="3C092C6A"/>
    <w:rsid w:val="3C1E6D7D"/>
    <w:rsid w:val="3C2F6E1E"/>
    <w:rsid w:val="3C3970C7"/>
    <w:rsid w:val="3C4F64BA"/>
    <w:rsid w:val="3C500FA6"/>
    <w:rsid w:val="3C544530"/>
    <w:rsid w:val="3C5C4874"/>
    <w:rsid w:val="3C601127"/>
    <w:rsid w:val="3C814508"/>
    <w:rsid w:val="3CAA1654"/>
    <w:rsid w:val="3CDA245A"/>
    <w:rsid w:val="3CDD5A50"/>
    <w:rsid w:val="3CE6135A"/>
    <w:rsid w:val="3CF81581"/>
    <w:rsid w:val="3D0665BC"/>
    <w:rsid w:val="3D1E06B7"/>
    <w:rsid w:val="3D287A8D"/>
    <w:rsid w:val="3D293277"/>
    <w:rsid w:val="3D3A1978"/>
    <w:rsid w:val="3D812711"/>
    <w:rsid w:val="3D8940D7"/>
    <w:rsid w:val="3DA33C32"/>
    <w:rsid w:val="3DA51A81"/>
    <w:rsid w:val="3DBF7C60"/>
    <w:rsid w:val="3DD851F2"/>
    <w:rsid w:val="3DE5746E"/>
    <w:rsid w:val="3DF6006E"/>
    <w:rsid w:val="3DFF671E"/>
    <w:rsid w:val="3E014244"/>
    <w:rsid w:val="3E0755D2"/>
    <w:rsid w:val="3E0B6D29"/>
    <w:rsid w:val="3E344619"/>
    <w:rsid w:val="3E3B1ECF"/>
    <w:rsid w:val="3E5B1141"/>
    <w:rsid w:val="3E8246A6"/>
    <w:rsid w:val="3E884F2A"/>
    <w:rsid w:val="3E990920"/>
    <w:rsid w:val="3EB257D5"/>
    <w:rsid w:val="3ECC0A00"/>
    <w:rsid w:val="3EDA0523"/>
    <w:rsid w:val="3F060B3B"/>
    <w:rsid w:val="3F271DCA"/>
    <w:rsid w:val="3F40627F"/>
    <w:rsid w:val="3F5857AC"/>
    <w:rsid w:val="3F70689E"/>
    <w:rsid w:val="3F7D00C5"/>
    <w:rsid w:val="3F8049D8"/>
    <w:rsid w:val="3F920884"/>
    <w:rsid w:val="3F94533A"/>
    <w:rsid w:val="3F9F1F66"/>
    <w:rsid w:val="3FAF49FC"/>
    <w:rsid w:val="3FB751A1"/>
    <w:rsid w:val="3FCC6AD3"/>
    <w:rsid w:val="3FD54C9F"/>
    <w:rsid w:val="3FD91FBA"/>
    <w:rsid w:val="3FEF78BE"/>
    <w:rsid w:val="3FF83425"/>
    <w:rsid w:val="4013025E"/>
    <w:rsid w:val="4024246B"/>
    <w:rsid w:val="40342D11"/>
    <w:rsid w:val="403E6B09"/>
    <w:rsid w:val="405C1EED"/>
    <w:rsid w:val="40623309"/>
    <w:rsid w:val="407A6407"/>
    <w:rsid w:val="407F5BDC"/>
    <w:rsid w:val="40831422"/>
    <w:rsid w:val="40980EBC"/>
    <w:rsid w:val="40A26B9F"/>
    <w:rsid w:val="40A4318B"/>
    <w:rsid w:val="40BE25F5"/>
    <w:rsid w:val="40C20922"/>
    <w:rsid w:val="40DD02C6"/>
    <w:rsid w:val="40EA355C"/>
    <w:rsid w:val="40EC7F0D"/>
    <w:rsid w:val="41014921"/>
    <w:rsid w:val="413548C6"/>
    <w:rsid w:val="41362456"/>
    <w:rsid w:val="41493074"/>
    <w:rsid w:val="41520C66"/>
    <w:rsid w:val="41552796"/>
    <w:rsid w:val="41730724"/>
    <w:rsid w:val="417D1A10"/>
    <w:rsid w:val="41AE02B5"/>
    <w:rsid w:val="41AF045B"/>
    <w:rsid w:val="41B20ABC"/>
    <w:rsid w:val="41B82E6B"/>
    <w:rsid w:val="41C71300"/>
    <w:rsid w:val="41CB3AD9"/>
    <w:rsid w:val="41CD03B4"/>
    <w:rsid w:val="41CD58FD"/>
    <w:rsid w:val="41CF1D2F"/>
    <w:rsid w:val="41D1217F"/>
    <w:rsid w:val="41D12B50"/>
    <w:rsid w:val="41D34149"/>
    <w:rsid w:val="41ED16C6"/>
    <w:rsid w:val="4200449D"/>
    <w:rsid w:val="42132798"/>
    <w:rsid w:val="421502BE"/>
    <w:rsid w:val="421D4B4C"/>
    <w:rsid w:val="421E3379"/>
    <w:rsid w:val="4223511B"/>
    <w:rsid w:val="422C3859"/>
    <w:rsid w:val="423A3BCC"/>
    <w:rsid w:val="424E57D2"/>
    <w:rsid w:val="425D3A13"/>
    <w:rsid w:val="426D6123"/>
    <w:rsid w:val="42B15360"/>
    <w:rsid w:val="42B21904"/>
    <w:rsid w:val="42B26C49"/>
    <w:rsid w:val="42CB3F2E"/>
    <w:rsid w:val="42DE2DA6"/>
    <w:rsid w:val="42F579A1"/>
    <w:rsid w:val="43042107"/>
    <w:rsid w:val="430640AA"/>
    <w:rsid w:val="430B3C2B"/>
    <w:rsid w:val="4317359A"/>
    <w:rsid w:val="43191153"/>
    <w:rsid w:val="43281502"/>
    <w:rsid w:val="43372A17"/>
    <w:rsid w:val="433A6FE6"/>
    <w:rsid w:val="4341501E"/>
    <w:rsid w:val="43480868"/>
    <w:rsid w:val="434E4B71"/>
    <w:rsid w:val="4350713C"/>
    <w:rsid w:val="436653E0"/>
    <w:rsid w:val="43727992"/>
    <w:rsid w:val="43A827FA"/>
    <w:rsid w:val="43A91AD3"/>
    <w:rsid w:val="43BA5FDD"/>
    <w:rsid w:val="43C4431A"/>
    <w:rsid w:val="43C65BD4"/>
    <w:rsid w:val="43D94124"/>
    <w:rsid w:val="43E731C5"/>
    <w:rsid w:val="43F3048A"/>
    <w:rsid w:val="440B3C8A"/>
    <w:rsid w:val="4420631F"/>
    <w:rsid w:val="44227546"/>
    <w:rsid w:val="44284A19"/>
    <w:rsid w:val="44437431"/>
    <w:rsid w:val="44626C63"/>
    <w:rsid w:val="4482572F"/>
    <w:rsid w:val="44916F6F"/>
    <w:rsid w:val="44AD3FE8"/>
    <w:rsid w:val="44B951CC"/>
    <w:rsid w:val="44CD14E0"/>
    <w:rsid w:val="44D2693A"/>
    <w:rsid w:val="44F20B0B"/>
    <w:rsid w:val="44F751EA"/>
    <w:rsid w:val="450B7B4A"/>
    <w:rsid w:val="452E5F4C"/>
    <w:rsid w:val="452E6D22"/>
    <w:rsid w:val="454C4983"/>
    <w:rsid w:val="45605CF4"/>
    <w:rsid w:val="45612018"/>
    <w:rsid w:val="45684053"/>
    <w:rsid w:val="45822F09"/>
    <w:rsid w:val="458946E9"/>
    <w:rsid w:val="459B7C5C"/>
    <w:rsid w:val="459C2AA4"/>
    <w:rsid w:val="45A47C0E"/>
    <w:rsid w:val="45AD4CB1"/>
    <w:rsid w:val="45B644BA"/>
    <w:rsid w:val="45C65C73"/>
    <w:rsid w:val="45C80633"/>
    <w:rsid w:val="45C81724"/>
    <w:rsid w:val="45CA541D"/>
    <w:rsid w:val="45D8155C"/>
    <w:rsid w:val="45E631BB"/>
    <w:rsid w:val="45EA4895"/>
    <w:rsid w:val="460F1CC2"/>
    <w:rsid w:val="461739D2"/>
    <w:rsid w:val="46256F3D"/>
    <w:rsid w:val="46387789"/>
    <w:rsid w:val="46396545"/>
    <w:rsid w:val="46472A10"/>
    <w:rsid w:val="464B60F2"/>
    <w:rsid w:val="464E3D9E"/>
    <w:rsid w:val="46577FD6"/>
    <w:rsid w:val="4676271D"/>
    <w:rsid w:val="46A47E62"/>
    <w:rsid w:val="46A936CA"/>
    <w:rsid w:val="46B1257F"/>
    <w:rsid w:val="46BB1594"/>
    <w:rsid w:val="46C30C41"/>
    <w:rsid w:val="46CB478B"/>
    <w:rsid w:val="46D955A7"/>
    <w:rsid w:val="46E91D19"/>
    <w:rsid w:val="46ED7A5B"/>
    <w:rsid w:val="46F21ECD"/>
    <w:rsid w:val="47133957"/>
    <w:rsid w:val="472E7079"/>
    <w:rsid w:val="47315859"/>
    <w:rsid w:val="473608E5"/>
    <w:rsid w:val="47451562"/>
    <w:rsid w:val="47451645"/>
    <w:rsid w:val="474E7DCE"/>
    <w:rsid w:val="479954EE"/>
    <w:rsid w:val="47A07E0C"/>
    <w:rsid w:val="47A50A50"/>
    <w:rsid w:val="47A779FD"/>
    <w:rsid w:val="47B12E48"/>
    <w:rsid w:val="47D41743"/>
    <w:rsid w:val="47EF6FBE"/>
    <w:rsid w:val="48074B4D"/>
    <w:rsid w:val="482C0C7C"/>
    <w:rsid w:val="48552861"/>
    <w:rsid w:val="4870272E"/>
    <w:rsid w:val="489A6D48"/>
    <w:rsid w:val="48A34CB9"/>
    <w:rsid w:val="48B96A6E"/>
    <w:rsid w:val="48D859F6"/>
    <w:rsid w:val="49053633"/>
    <w:rsid w:val="491E02AE"/>
    <w:rsid w:val="49361BE1"/>
    <w:rsid w:val="493E2BFE"/>
    <w:rsid w:val="49415E3C"/>
    <w:rsid w:val="4943661E"/>
    <w:rsid w:val="49543F29"/>
    <w:rsid w:val="495E5BA5"/>
    <w:rsid w:val="49725FF6"/>
    <w:rsid w:val="497E2BEC"/>
    <w:rsid w:val="499C67BC"/>
    <w:rsid w:val="49B9098C"/>
    <w:rsid w:val="49CC0879"/>
    <w:rsid w:val="49D33413"/>
    <w:rsid w:val="49DC7715"/>
    <w:rsid w:val="49DF5457"/>
    <w:rsid w:val="4A023139"/>
    <w:rsid w:val="4A11580F"/>
    <w:rsid w:val="4A150A8D"/>
    <w:rsid w:val="4A1B20F4"/>
    <w:rsid w:val="4A1D580D"/>
    <w:rsid w:val="4A2E5CE1"/>
    <w:rsid w:val="4A4E246D"/>
    <w:rsid w:val="4A6047F1"/>
    <w:rsid w:val="4A6E3B3F"/>
    <w:rsid w:val="4A6F69D9"/>
    <w:rsid w:val="4A7B576F"/>
    <w:rsid w:val="4A846B7E"/>
    <w:rsid w:val="4A960AFA"/>
    <w:rsid w:val="4AD4575C"/>
    <w:rsid w:val="4AF561A9"/>
    <w:rsid w:val="4AF94313"/>
    <w:rsid w:val="4B19154C"/>
    <w:rsid w:val="4B2623CD"/>
    <w:rsid w:val="4B582A18"/>
    <w:rsid w:val="4B591812"/>
    <w:rsid w:val="4B652BD6"/>
    <w:rsid w:val="4B694519"/>
    <w:rsid w:val="4B836EDB"/>
    <w:rsid w:val="4B841F85"/>
    <w:rsid w:val="4B874A04"/>
    <w:rsid w:val="4B8E05C7"/>
    <w:rsid w:val="4B972C0D"/>
    <w:rsid w:val="4BA70479"/>
    <w:rsid w:val="4BBC17AA"/>
    <w:rsid w:val="4BD6160B"/>
    <w:rsid w:val="4BD7300C"/>
    <w:rsid w:val="4BDD41DF"/>
    <w:rsid w:val="4C0C042C"/>
    <w:rsid w:val="4C0D0B95"/>
    <w:rsid w:val="4C2A3A11"/>
    <w:rsid w:val="4C433A4C"/>
    <w:rsid w:val="4C4A0649"/>
    <w:rsid w:val="4C4E48EB"/>
    <w:rsid w:val="4C517E5D"/>
    <w:rsid w:val="4C6C31D0"/>
    <w:rsid w:val="4C6F0F12"/>
    <w:rsid w:val="4C73068F"/>
    <w:rsid w:val="4C7E5ECA"/>
    <w:rsid w:val="4C820996"/>
    <w:rsid w:val="4C854817"/>
    <w:rsid w:val="4C876AA5"/>
    <w:rsid w:val="4C8F73B4"/>
    <w:rsid w:val="4C984658"/>
    <w:rsid w:val="4CAF130F"/>
    <w:rsid w:val="4CC27294"/>
    <w:rsid w:val="4CCA0A92"/>
    <w:rsid w:val="4CCD3A12"/>
    <w:rsid w:val="4CDE7F5D"/>
    <w:rsid w:val="4CEC7770"/>
    <w:rsid w:val="4CED164A"/>
    <w:rsid w:val="4D0B43F7"/>
    <w:rsid w:val="4D0E00FB"/>
    <w:rsid w:val="4D176606"/>
    <w:rsid w:val="4D237209"/>
    <w:rsid w:val="4D3738B3"/>
    <w:rsid w:val="4D50304C"/>
    <w:rsid w:val="4D5B6A26"/>
    <w:rsid w:val="4D671BE9"/>
    <w:rsid w:val="4D893963"/>
    <w:rsid w:val="4D8C6429"/>
    <w:rsid w:val="4D946F09"/>
    <w:rsid w:val="4DA033D7"/>
    <w:rsid w:val="4DB829BA"/>
    <w:rsid w:val="4DD66949"/>
    <w:rsid w:val="4DDA5393"/>
    <w:rsid w:val="4DEC4FB0"/>
    <w:rsid w:val="4E075D8A"/>
    <w:rsid w:val="4E085C13"/>
    <w:rsid w:val="4E13157A"/>
    <w:rsid w:val="4E233F4F"/>
    <w:rsid w:val="4E320449"/>
    <w:rsid w:val="4E5C6293"/>
    <w:rsid w:val="4E611D50"/>
    <w:rsid w:val="4E64084B"/>
    <w:rsid w:val="4E850579"/>
    <w:rsid w:val="4E924C46"/>
    <w:rsid w:val="4E96380A"/>
    <w:rsid w:val="4E9C3B15"/>
    <w:rsid w:val="4EA01857"/>
    <w:rsid w:val="4EA87C8A"/>
    <w:rsid w:val="4EC00FAD"/>
    <w:rsid w:val="4EC039FB"/>
    <w:rsid w:val="4EC46137"/>
    <w:rsid w:val="4ECF2BCA"/>
    <w:rsid w:val="4ED606C2"/>
    <w:rsid w:val="4F126DCE"/>
    <w:rsid w:val="4F2631FA"/>
    <w:rsid w:val="4F2C5BB0"/>
    <w:rsid w:val="4F2F0144"/>
    <w:rsid w:val="4F5B6C3C"/>
    <w:rsid w:val="4F604B42"/>
    <w:rsid w:val="4F651177"/>
    <w:rsid w:val="4F6F4D85"/>
    <w:rsid w:val="4F79308E"/>
    <w:rsid w:val="4F7D15A7"/>
    <w:rsid w:val="4F9112FB"/>
    <w:rsid w:val="4F932C84"/>
    <w:rsid w:val="4F9843DC"/>
    <w:rsid w:val="4F985EDB"/>
    <w:rsid w:val="4F9C7AE6"/>
    <w:rsid w:val="4FBA22BA"/>
    <w:rsid w:val="4FC41575"/>
    <w:rsid w:val="4FC62A8C"/>
    <w:rsid w:val="4FC90388"/>
    <w:rsid w:val="4FC926E8"/>
    <w:rsid w:val="4FC93AEE"/>
    <w:rsid w:val="4FCE593D"/>
    <w:rsid w:val="4FE20F0D"/>
    <w:rsid w:val="4FE45E4F"/>
    <w:rsid w:val="4FE51552"/>
    <w:rsid w:val="4FE85264"/>
    <w:rsid w:val="4FF52B70"/>
    <w:rsid w:val="4FF61E03"/>
    <w:rsid w:val="4FF7791A"/>
    <w:rsid w:val="50006175"/>
    <w:rsid w:val="5006624C"/>
    <w:rsid w:val="503415A0"/>
    <w:rsid w:val="50363072"/>
    <w:rsid w:val="503C65DF"/>
    <w:rsid w:val="50504C4B"/>
    <w:rsid w:val="50622991"/>
    <w:rsid w:val="5063090F"/>
    <w:rsid w:val="506D06FF"/>
    <w:rsid w:val="50712B7F"/>
    <w:rsid w:val="507E0D3A"/>
    <w:rsid w:val="50893482"/>
    <w:rsid w:val="509C6E7C"/>
    <w:rsid w:val="50A71F0E"/>
    <w:rsid w:val="50B54E3F"/>
    <w:rsid w:val="50B6780E"/>
    <w:rsid w:val="50D32F73"/>
    <w:rsid w:val="50DC13B8"/>
    <w:rsid w:val="50FC28B4"/>
    <w:rsid w:val="51095D9C"/>
    <w:rsid w:val="510E0CFA"/>
    <w:rsid w:val="51210F12"/>
    <w:rsid w:val="512D0A99"/>
    <w:rsid w:val="512E2838"/>
    <w:rsid w:val="513E2C61"/>
    <w:rsid w:val="51501312"/>
    <w:rsid w:val="515B567C"/>
    <w:rsid w:val="5162104E"/>
    <w:rsid w:val="51731C00"/>
    <w:rsid w:val="518B6352"/>
    <w:rsid w:val="51931E1D"/>
    <w:rsid w:val="51A5393F"/>
    <w:rsid w:val="51AB479B"/>
    <w:rsid w:val="51B35AA6"/>
    <w:rsid w:val="51BE32E3"/>
    <w:rsid w:val="5201663C"/>
    <w:rsid w:val="52040801"/>
    <w:rsid w:val="52294F90"/>
    <w:rsid w:val="522E0F28"/>
    <w:rsid w:val="52410C5B"/>
    <w:rsid w:val="524258F5"/>
    <w:rsid w:val="52515DE0"/>
    <w:rsid w:val="52565903"/>
    <w:rsid w:val="527F78B3"/>
    <w:rsid w:val="5288688A"/>
    <w:rsid w:val="52907EC8"/>
    <w:rsid w:val="52BB1317"/>
    <w:rsid w:val="52CA48BA"/>
    <w:rsid w:val="52CD4624"/>
    <w:rsid w:val="52CF030B"/>
    <w:rsid w:val="52E34D05"/>
    <w:rsid w:val="52E75AB2"/>
    <w:rsid w:val="52F61C3A"/>
    <w:rsid w:val="531F0579"/>
    <w:rsid w:val="53230361"/>
    <w:rsid w:val="53326286"/>
    <w:rsid w:val="533A4B08"/>
    <w:rsid w:val="533C66EC"/>
    <w:rsid w:val="533F2835"/>
    <w:rsid w:val="534F237F"/>
    <w:rsid w:val="535C6A73"/>
    <w:rsid w:val="53645ED3"/>
    <w:rsid w:val="53682217"/>
    <w:rsid w:val="536F35A6"/>
    <w:rsid w:val="538613BC"/>
    <w:rsid w:val="53891C4E"/>
    <w:rsid w:val="53A039CC"/>
    <w:rsid w:val="53A1505A"/>
    <w:rsid w:val="53AF3132"/>
    <w:rsid w:val="53AF7E46"/>
    <w:rsid w:val="53C50B81"/>
    <w:rsid w:val="53C9715A"/>
    <w:rsid w:val="53DD3BE7"/>
    <w:rsid w:val="54041A7C"/>
    <w:rsid w:val="54063E08"/>
    <w:rsid w:val="540B7F70"/>
    <w:rsid w:val="541A6387"/>
    <w:rsid w:val="541F4B01"/>
    <w:rsid w:val="542152E3"/>
    <w:rsid w:val="5433144E"/>
    <w:rsid w:val="543437E8"/>
    <w:rsid w:val="5435233C"/>
    <w:rsid w:val="544C4E42"/>
    <w:rsid w:val="54664607"/>
    <w:rsid w:val="546926EB"/>
    <w:rsid w:val="546E1AAF"/>
    <w:rsid w:val="547F5675"/>
    <w:rsid w:val="54952E6A"/>
    <w:rsid w:val="54A7306B"/>
    <w:rsid w:val="54D328BD"/>
    <w:rsid w:val="54D522F0"/>
    <w:rsid w:val="54DC4C6B"/>
    <w:rsid w:val="54E352B7"/>
    <w:rsid w:val="54F73313"/>
    <w:rsid w:val="54F80955"/>
    <w:rsid w:val="54FD6FF1"/>
    <w:rsid w:val="55190762"/>
    <w:rsid w:val="55205CB0"/>
    <w:rsid w:val="553E49F9"/>
    <w:rsid w:val="555170A7"/>
    <w:rsid w:val="55821373"/>
    <w:rsid w:val="5587536D"/>
    <w:rsid w:val="5589366F"/>
    <w:rsid w:val="559B174B"/>
    <w:rsid w:val="55A25AB2"/>
    <w:rsid w:val="55BB5C97"/>
    <w:rsid w:val="55C87105"/>
    <w:rsid w:val="55CE0CF4"/>
    <w:rsid w:val="55D421EE"/>
    <w:rsid w:val="55EF049C"/>
    <w:rsid w:val="561C3AED"/>
    <w:rsid w:val="5638012E"/>
    <w:rsid w:val="56457B8D"/>
    <w:rsid w:val="565F55BF"/>
    <w:rsid w:val="566116E7"/>
    <w:rsid w:val="56737851"/>
    <w:rsid w:val="567F7FA4"/>
    <w:rsid w:val="56A957D3"/>
    <w:rsid w:val="56AD7519"/>
    <w:rsid w:val="56B2111E"/>
    <w:rsid w:val="56B22A9C"/>
    <w:rsid w:val="56C43C09"/>
    <w:rsid w:val="56E02076"/>
    <w:rsid w:val="56E822DC"/>
    <w:rsid w:val="56EE249D"/>
    <w:rsid w:val="56F30EA6"/>
    <w:rsid w:val="570F3D5C"/>
    <w:rsid w:val="572A772E"/>
    <w:rsid w:val="57406276"/>
    <w:rsid w:val="574E19C4"/>
    <w:rsid w:val="576E46D3"/>
    <w:rsid w:val="578E4942"/>
    <w:rsid w:val="579F598C"/>
    <w:rsid w:val="57A6778A"/>
    <w:rsid w:val="57B72A76"/>
    <w:rsid w:val="57C3426C"/>
    <w:rsid w:val="57CE1F93"/>
    <w:rsid w:val="57D165DD"/>
    <w:rsid w:val="57DB060A"/>
    <w:rsid w:val="57EC1CA7"/>
    <w:rsid w:val="57F30FFC"/>
    <w:rsid w:val="57FE68AB"/>
    <w:rsid w:val="58105ECB"/>
    <w:rsid w:val="58130B7B"/>
    <w:rsid w:val="58140476"/>
    <w:rsid w:val="5821437D"/>
    <w:rsid w:val="582D71E3"/>
    <w:rsid w:val="58313520"/>
    <w:rsid w:val="58331046"/>
    <w:rsid w:val="5838650A"/>
    <w:rsid w:val="583C439E"/>
    <w:rsid w:val="58457736"/>
    <w:rsid w:val="584C7D9C"/>
    <w:rsid w:val="585033DD"/>
    <w:rsid w:val="58521340"/>
    <w:rsid w:val="585316E8"/>
    <w:rsid w:val="58535244"/>
    <w:rsid w:val="587F7150"/>
    <w:rsid w:val="588743D1"/>
    <w:rsid w:val="5887701A"/>
    <w:rsid w:val="589F520F"/>
    <w:rsid w:val="58C148A4"/>
    <w:rsid w:val="58CA7BFC"/>
    <w:rsid w:val="58DC6D31"/>
    <w:rsid w:val="59045500"/>
    <w:rsid w:val="59093E42"/>
    <w:rsid w:val="590D01FB"/>
    <w:rsid w:val="59195AD7"/>
    <w:rsid w:val="591A7FEF"/>
    <w:rsid w:val="59246BE1"/>
    <w:rsid w:val="59414B35"/>
    <w:rsid w:val="594B7E25"/>
    <w:rsid w:val="596C7EFF"/>
    <w:rsid w:val="598C4AF9"/>
    <w:rsid w:val="598D7169"/>
    <w:rsid w:val="599D222D"/>
    <w:rsid w:val="59A17EDD"/>
    <w:rsid w:val="59A8767F"/>
    <w:rsid w:val="59AC309D"/>
    <w:rsid w:val="59AD3660"/>
    <w:rsid w:val="59B26FBA"/>
    <w:rsid w:val="59B6685E"/>
    <w:rsid w:val="59C0439F"/>
    <w:rsid w:val="59C74AA1"/>
    <w:rsid w:val="59D87C82"/>
    <w:rsid w:val="59DB1EED"/>
    <w:rsid w:val="59E52B83"/>
    <w:rsid w:val="59F84E1C"/>
    <w:rsid w:val="59FE5556"/>
    <w:rsid w:val="59FF395F"/>
    <w:rsid w:val="5A056A12"/>
    <w:rsid w:val="5A096A47"/>
    <w:rsid w:val="5A2E1370"/>
    <w:rsid w:val="5A6A1C57"/>
    <w:rsid w:val="5A7864E8"/>
    <w:rsid w:val="5A8901C9"/>
    <w:rsid w:val="5A9E41A1"/>
    <w:rsid w:val="5AA721BA"/>
    <w:rsid w:val="5AB40409"/>
    <w:rsid w:val="5ABE2233"/>
    <w:rsid w:val="5ABF5AEF"/>
    <w:rsid w:val="5AC93EE4"/>
    <w:rsid w:val="5AF727FF"/>
    <w:rsid w:val="5B010B84"/>
    <w:rsid w:val="5B2E2FD7"/>
    <w:rsid w:val="5B3319D5"/>
    <w:rsid w:val="5B3A6B8F"/>
    <w:rsid w:val="5B3D0A1A"/>
    <w:rsid w:val="5B6D2546"/>
    <w:rsid w:val="5B7B763B"/>
    <w:rsid w:val="5BDF5D95"/>
    <w:rsid w:val="5BFB03F9"/>
    <w:rsid w:val="5BFE7528"/>
    <w:rsid w:val="5C031DC6"/>
    <w:rsid w:val="5C076A71"/>
    <w:rsid w:val="5C1271C4"/>
    <w:rsid w:val="5C155E1B"/>
    <w:rsid w:val="5C1A11BF"/>
    <w:rsid w:val="5C2C2ECD"/>
    <w:rsid w:val="5C550A10"/>
    <w:rsid w:val="5C563555"/>
    <w:rsid w:val="5C5D625F"/>
    <w:rsid w:val="5C73360B"/>
    <w:rsid w:val="5C8232C7"/>
    <w:rsid w:val="5C8C52CE"/>
    <w:rsid w:val="5C9C31BF"/>
    <w:rsid w:val="5CA72D30"/>
    <w:rsid w:val="5CBB4D82"/>
    <w:rsid w:val="5CC73A02"/>
    <w:rsid w:val="5CF00C2E"/>
    <w:rsid w:val="5CFB713E"/>
    <w:rsid w:val="5D1F44CF"/>
    <w:rsid w:val="5D4E0A56"/>
    <w:rsid w:val="5D775E79"/>
    <w:rsid w:val="5D843224"/>
    <w:rsid w:val="5DD10C4D"/>
    <w:rsid w:val="5DE622B7"/>
    <w:rsid w:val="5E041679"/>
    <w:rsid w:val="5E06344E"/>
    <w:rsid w:val="5E0E3F13"/>
    <w:rsid w:val="5E1519DB"/>
    <w:rsid w:val="5E1C7159"/>
    <w:rsid w:val="5E2467F1"/>
    <w:rsid w:val="5E3A5162"/>
    <w:rsid w:val="5E47279B"/>
    <w:rsid w:val="5E4F2952"/>
    <w:rsid w:val="5E5515FD"/>
    <w:rsid w:val="5E6A299D"/>
    <w:rsid w:val="5ED26FA5"/>
    <w:rsid w:val="5EDF416A"/>
    <w:rsid w:val="5EFE50D6"/>
    <w:rsid w:val="5F022989"/>
    <w:rsid w:val="5F100333"/>
    <w:rsid w:val="5F166FCB"/>
    <w:rsid w:val="5F1A2B43"/>
    <w:rsid w:val="5F261904"/>
    <w:rsid w:val="5F2C3C78"/>
    <w:rsid w:val="5F396946"/>
    <w:rsid w:val="5F3C635A"/>
    <w:rsid w:val="5F3F0E0A"/>
    <w:rsid w:val="5F5F3761"/>
    <w:rsid w:val="5F7D0039"/>
    <w:rsid w:val="5F995C4F"/>
    <w:rsid w:val="5F9A62A0"/>
    <w:rsid w:val="5F9D55BB"/>
    <w:rsid w:val="5FAC0762"/>
    <w:rsid w:val="5FAD0D7C"/>
    <w:rsid w:val="5FB213EA"/>
    <w:rsid w:val="5FB837BB"/>
    <w:rsid w:val="5FC103A0"/>
    <w:rsid w:val="5FC9192F"/>
    <w:rsid w:val="5FCA1FDF"/>
    <w:rsid w:val="5FCD2FE7"/>
    <w:rsid w:val="5FEA2795"/>
    <w:rsid w:val="5FED0532"/>
    <w:rsid w:val="5FEE59B3"/>
    <w:rsid w:val="5FF72AE6"/>
    <w:rsid w:val="5FFF6A1A"/>
    <w:rsid w:val="6017784D"/>
    <w:rsid w:val="60297B7D"/>
    <w:rsid w:val="60350FCB"/>
    <w:rsid w:val="604D6366"/>
    <w:rsid w:val="60547657"/>
    <w:rsid w:val="606A6C4F"/>
    <w:rsid w:val="607B3D70"/>
    <w:rsid w:val="608E57EA"/>
    <w:rsid w:val="60A92ABF"/>
    <w:rsid w:val="60B83B85"/>
    <w:rsid w:val="60C526DA"/>
    <w:rsid w:val="60CC405A"/>
    <w:rsid w:val="60D621D4"/>
    <w:rsid w:val="60DF46B2"/>
    <w:rsid w:val="60EA12DC"/>
    <w:rsid w:val="60F32372"/>
    <w:rsid w:val="60F64F97"/>
    <w:rsid w:val="610572F8"/>
    <w:rsid w:val="611E5D41"/>
    <w:rsid w:val="61235DFA"/>
    <w:rsid w:val="612F4F37"/>
    <w:rsid w:val="613C2234"/>
    <w:rsid w:val="614B7400"/>
    <w:rsid w:val="616A3EEA"/>
    <w:rsid w:val="616C7742"/>
    <w:rsid w:val="61786BE9"/>
    <w:rsid w:val="61A160A0"/>
    <w:rsid w:val="61B27A97"/>
    <w:rsid w:val="61B501A1"/>
    <w:rsid w:val="61B62AB3"/>
    <w:rsid w:val="61DE0274"/>
    <w:rsid w:val="61E215D8"/>
    <w:rsid w:val="62071914"/>
    <w:rsid w:val="620C07C2"/>
    <w:rsid w:val="621243C2"/>
    <w:rsid w:val="621B3775"/>
    <w:rsid w:val="62364782"/>
    <w:rsid w:val="626B1A57"/>
    <w:rsid w:val="62857C4E"/>
    <w:rsid w:val="62965F22"/>
    <w:rsid w:val="629E4620"/>
    <w:rsid w:val="62A07FC0"/>
    <w:rsid w:val="62AF199B"/>
    <w:rsid w:val="62AF2AC8"/>
    <w:rsid w:val="62B44B07"/>
    <w:rsid w:val="62CB31AD"/>
    <w:rsid w:val="62D358FF"/>
    <w:rsid w:val="62D96C8E"/>
    <w:rsid w:val="62EE18C5"/>
    <w:rsid w:val="62FC0BAD"/>
    <w:rsid w:val="631E0D2B"/>
    <w:rsid w:val="633C510F"/>
    <w:rsid w:val="63573D5B"/>
    <w:rsid w:val="637A5D7B"/>
    <w:rsid w:val="637E2CDE"/>
    <w:rsid w:val="63832611"/>
    <w:rsid w:val="638702B8"/>
    <w:rsid w:val="63913C1D"/>
    <w:rsid w:val="6392122B"/>
    <w:rsid w:val="6394356A"/>
    <w:rsid w:val="63974B7F"/>
    <w:rsid w:val="63976443"/>
    <w:rsid w:val="63BD5497"/>
    <w:rsid w:val="63C61B2C"/>
    <w:rsid w:val="63D40BE9"/>
    <w:rsid w:val="63E30F43"/>
    <w:rsid w:val="63ED767A"/>
    <w:rsid w:val="64102431"/>
    <w:rsid w:val="64327CA9"/>
    <w:rsid w:val="644F0FB6"/>
    <w:rsid w:val="645C36D2"/>
    <w:rsid w:val="64635FA7"/>
    <w:rsid w:val="647028E4"/>
    <w:rsid w:val="64737C21"/>
    <w:rsid w:val="6478736F"/>
    <w:rsid w:val="648C191E"/>
    <w:rsid w:val="64A41AE8"/>
    <w:rsid w:val="64A5243A"/>
    <w:rsid w:val="64B65586"/>
    <w:rsid w:val="64C743BD"/>
    <w:rsid w:val="64DA645A"/>
    <w:rsid w:val="64EE1DC1"/>
    <w:rsid w:val="64F531DE"/>
    <w:rsid w:val="650D1947"/>
    <w:rsid w:val="65373578"/>
    <w:rsid w:val="65417EB2"/>
    <w:rsid w:val="657D50EC"/>
    <w:rsid w:val="65887231"/>
    <w:rsid w:val="65A42887"/>
    <w:rsid w:val="65B73BD0"/>
    <w:rsid w:val="65D33E68"/>
    <w:rsid w:val="65E240AB"/>
    <w:rsid w:val="65F13F75"/>
    <w:rsid w:val="65FD286B"/>
    <w:rsid w:val="660B3221"/>
    <w:rsid w:val="661C2481"/>
    <w:rsid w:val="661F5410"/>
    <w:rsid w:val="66282C81"/>
    <w:rsid w:val="6635141F"/>
    <w:rsid w:val="664F5567"/>
    <w:rsid w:val="668D04BB"/>
    <w:rsid w:val="66DE0D17"/>
    <w:rsid w:val="66F35E01"/>
    <w:rsid w:val="66FF17D7"/>
    <w:rsid w:val="67143FA1"/>
    <w:rsid w:val="671F124A"/>
    <w:rsid w:val="672C1A82"/>
    <w:rsid w:val="67642FCA"/>
    <w:rsid w:val="677A33C6"/>
    <w:rsid w:val="677B6565"/>
    <w:rsid w:val="678809D3"/>
    <w:rsid w:val="6789487E"/>
    <w:rsid w:val="67921CC7"/>
    <w:rsid w:val="67AB1992"/>
    <w:rsid w:val="67B1301B"/>
    <w:rsid w:val="67B61A5D"/>
    <w:rsid w:val="67C172C0"/>
    <w:rsid w:val="67C64DDD"/>
    <w:rsid w:val="67C65BDA"/>
    <w:rsid w:val="67E34114"/>
    <w:rsid w:val="67E632D4"/>
    <w:rsid w:val="67E72797"/>
    <w:rsid w:val="68017D95"/>
    <w:rsid w:val="680C057F"/>
    <w:rsid w:val="681F46DA"/>
    <w:rsid w:val="681F6961"/>
    <w:rsid w:val="682B4EA8"/>
    <w:rsid w:val="68346323"/>
    <w:rsid w:val="683E4E52"/>
    <w:rsid w:val="68610A2F"/>
    <w:rsid w:val="68692862"/>
    <w:rsid w:val="68790CF7"/>
    <w:rsid w:val="687B27B7"/>
    <w:rsid w:val="68805514"/>
    <w:rsid w:val="68896A60"/>
    <w:rsid w:val="688C7072"/>
    <w:rsid w:val="68950593"/>
    <w:rsid w:val="68993147"/>
    <w:rsid w:val="68A765B7"/>
    <w:rsid w:val="68AD6F57"/>
    <w:rsid w:val="68B77748"/>
    <w:rsid w:val="68C31F72"/>
    <w:rsid w:val="68CE486A"/>
    <w:rsid w:val="68EE449B"/>
    <w:rsid w:val="68F45072"/>
    <w:rsid w:val="690C1B6B"/>
    <w:rsid w:val="69120787"/>
    <w:rsid w:val="69183D93"/>
    <w:rsid w:val="69316E2F"/>
    <w:rsid w:val="694A7FFC"/>
    <w:rsid w:val="694E2071"/>
    <w:rsid w:val="69620BEF"/>
    <w:rsid w:val="696515C2"/>
    <w:rsid w:val="69766163"/>
    <w:rsid w:val="697A3B33"/>
    <w:rsid w:val="698D4E76"/>
    <w:rsid w:val="69D045D5"/>
    <w:rsid w:val="69D44760"/>
    <w:rsid w:val="69E93E7C"/>
    <w:rsid w:val="69F02C6A"/>
    <w:rsid w:val="69F37A6C"/>
    <w:rsid w:val="69F672E3"/>
    <w:rsid w:val="6A074AFC"/>
    <w:rsid w:val="6A15288C"/>
    <w:rsid w:val="6A163CE9"/>
    <w:rsid w:val="6A520EC7"/>
    <w:rsid w:val="6A6E4160"/>
    <w:rsid w:val="6A8567A5"/>
    <w:rsid w:val="6A9B2433"/>
    <w:rsid w:val="6AA81420"/>
    <w:rsid w:val="6AAE7D39"/>
    <w:rsid w:val="6AC564BC"/>
    <w:rsid w:val="6AD466B8"/>
    <w:rsid w:val="6AF87E20"/>
    <w:rsid w:val="6B263610"/>
    <w:rsid w:val="6B322639"/>
    <w:rsid w:val="6B38108D"/>
    <w:rsid w:val="6B3B611C"/>
    <w:rsid w:val="6B4259C1"/>
    <w:rsid w:val="6B593B0C"/>
    <w:rsid w:val="6B6C56C7"/>
    <w:rsid w:val="6B6D2669"/>
    <w:rsid w:val="6B80414A"/>
    <w:rsid w:val="6B99520C"/>
    <w:rsid w:val="6BA518C1"/>
    <w:rsid w:val="6BDB3A77"/>
    <w:rsid w:val="6C0C04A4"/>
    <w:rsid w:val="6C2216A6"/>
    <w:rsid w:val="6C2B4616"/>
    <w:rsid w:val="6C4A4469"/>
    <w:rsid w:val="6C5511D2"/>
    <w:rsid w:val="6C5C1778"/>
    <w:rsid w:val="6C6346E8"/>
    <w:rsid w:val="6C636C38"/>
    <w:rsid w:val="6C734CAC"/>
    <w:rsid w:val="6CC056FC"/>
    <w:rsid w:val="6CC44E41"/>
    <w:rsid w:val="6CCD1611"/>
    <w:rsid w:val="6CDC712E"/>
    <w:rsid w:val="6CEF4BEE"/>
    <w:rsid w:val="6D1A01A6"/>
    <w:rsid w:val="6D1D23A1"/>
    <w:rsid w:val="6D237DF0"/>
    <w:rsid w:val="6D4672BF"/>
    <w:rsid w:val="6D68292A"/>
    <w:rsid w:val="6D763A57"/>
    <w:rsid w:val="6D7F0DF9"/>
    <w:rsid w:val="6DB34098"/>
    <w:rsid w:val="6DB545B6"/>
    <w:rsid w:val="6DC32456"/>
    <w:rsid w:val="6DC558F7"/>
    <w:rsid w:val="6DC566D8"/>
    <w:rsid w:val="6DCC64F5"/>
    <w:rsid w:val="6DE02FB4"/>
    <w:rsid w:val="6DEB5D6F"/>
    <w:rsid w:val="6E0B0643"/>
    <w:rsid w:val="6E0C5EAE"/>
    <w:rsid w:val="6E0E118D"/>
    <w:rsid w:val="6E1F45B3"/>
    <w:rsid w:val="6E514CED"/>
    <w:rsid w:val="6E6B484C"/>
    <w:rsid w:val="6E6F3730"/>
    <w:rsid w:val="6E712D28"/>
    <w:rsid w:val="6E7837FF"/>
    <w:rsid w:val="6E7E614C"/>
    <w:rsid w:val="6E964FF9"/>
    <w:rsid w:val="6E9F5303"/>
    <w:rsid w:val="6EA96C04"/>
    <w:rsid w:val="6EAA3404"/>
    <w:rsid w:val="6EB563D5"/>
    <w:rsid w:val="6EBD7464"/>
    <w:rsid w:val="6EC0562D"/>
    <w:rsid w:val="6ECE54EC"/>
    <w:rsid w:val="6ED92677"/>
    <w:rsid w:val="6EE01CD6"/>
    <w:rsid w:val="6EEE555E"/>
    <w:rsid w:val="6EFC6735"/>
    <w:rsid w:val="6F0357BE"/>
    <w:rsid w:val="6F085414"/>
    <w:rsid w:val="6F101168"/>
    <w:rsid w:val="6F18415E"/>
    <w:rsid w:val="6F225983"/>
    <w:rsid w:val="6F3D4F52"/>
    <w:rsid w:val="6F444866"/>
    <w:rsid w:val="6F626667"/>
    <w:rsid w:val="6FA7439C"/>
    <w:rsid w:val="6FB4265E"/>
    <w:rsid w:val="6FBA2FDB"/>
    <w:rsid w:val="6FD211C1"/>
    <w:rsid w:val="6FD87A91"/>
    <w:rsid w:val="6FEE0618"/>
    <w:rsid w:val="6FF944CB"/>
    <w:rsid w:val="6FFC5590"/>
    <w:rsid w:val="70510105"/>
    <w:rsid w:val="70525109"/>
    <w:rsid w:val="7053276B"/>
    <w:rsid w:val="705B26A1"/>
    <w:rsid w:val="706D1DD0"/>
    <w:rsid w:val="70856B87"/>
    <w:rsid w:val="70873F25"/>
    <w:rsid w:val="70963775"/>
    <w:rsid w:val="70963B59"/>
    <w:rsid w:val="70B36771"/>
    <w:rsid w:val="70D527EE"/>
    <w:rsid w:val="70DC3F6C"/>
    <w:rsid w:val="70F43EAC"/>
    <w:rsid w:val="70FE794B"/>
    <w:rsid w:val="710C2C22"/>
    <w:rsid w:val="71376E53"/>
    <w:rsid w:val="714B51FB"/>
    <w:rsid w:val="715B5300"/>
    <w:rsid w:val="717D67B5"/>
    <w:rsid w:val="717E0765"/>
    <w:rsid w:val="718C3C48"/>
    <w:rsid w:val="71A2480B"/>
    <w:rsid w:val="71B71F21"/>
    <w:rsid w:val="71D27F8A"/>
    <w:rsid w:val="71E25914"/>
    <w:rsid w:val="71F218A3"/>
    <w:rsid w:val="71F92C75"/>
    <w:rsid w:val="720575C6"/>
    <w:rsid w:val="72155B48"/>
    <w:rsid w:val="722934D3"/>
    <w:rsid w:val="7251176E"/>
    <w:rsid w:val="72553024"/>
    <w:rsid w:val="72574BDF"/>
    <w:rsid w:val="725C4C60"/>
    <w:rsid w:val="726C2BC1"/>
    <w:rsid w:val="72807126"/>
    <w:rsid w:val="72825CAD"/>
    <w:rsid w:val="72920B3B"/>
    <w:rsid w:val="72B832BB"/>
    <w:rsid w:val="72C838D0"/>
    <w:rsid w:val="73122968"/>
    <w:rsid w:val="731621D0"/>
    <w:rsid w:val="731F5D5E"/>
    <w:rsid w:val="73404A89"/>
    <w:rsid w:val="73487DE4"/>
    <w:rsid w:val="734C1988"/>
    <w:rsid w:val="735C1576"/>
    <w:rsid w:val="7360523B"/>
    <w:rsid w:val="736237D3"/>
    <w:rsid w:val="738054AF"/>
    <w:rsid w:val="738531BD"/>
    <w:rsid w:val="739613BE"/>
    <w:rsid w:val="73A86934"/>
    <w:rsid w:val="73C51AD5"/>
    <w:rsid w:val="73D056FD"/>
    <w:rsid w:val="73D74B24"/>
    <w:rsid w:val="73D9089C"/>
    <w:rsid w:val="73FB4DAC"/>
    <w:rsid w:val="73FE7FBF"/>
    <w:rsid w:val="741435B9"/>
    <w:rsid w:val="741E793C"/>
    <w:rsid w:val="742F2BB2"/>
    <w:rsid w:val="742F30B0"/>
    <w:rsid w:val="74364825"/>
    <w:rsid w:val="74416441"/>
    <w:rsid w:val="74444F67"/>
    <w:rsid w:val="745E3944"/>
    <w:rsid w:val="747438C7"/>
    <w:rsid w:val="749B5DF1"/>
    <w:rsid w:val="749F69D9"/>
    <w:rsid w:val="74A73FB3"/>
    <w:rsid w:val="74EC0AA3"/>
    <w:rsid w:val="74EE5A88"/>
    <w:rsid w:val="74F14FD2"/>
    <w:rsid w:val="75021928"/>
    <w:rsid w:val="75153CDF"/>
    <w:rsid w:val="75521164"/>
    <w:rsid w:val="757306B6"/>
    <w:rsid w:val="758D5C48"/>
    <w:rsid w:val="75A5458C"/>
    <w:rsid w:val="75A94578"/>
    <w:rsid w:val="75AC2601"/>
    <w:rsid w:val="75BC0E8F"/>
    <w:rsid w:val="75C15A8B"/>
    <w:rsid w:val="75C63BAE"/>
    <w:rsid w:val="75C87C5A"/>
    <w:rsid w:val="75CB4D43"/>
    <w:rsid w:val="75E23F46"/>
    <w:rsid w:val="75E93E3A"/>
    <w:rsid w:val="761402B1"/>
    <w:rsid w:val="76165DD7"/>
    <w:rsid w:val="762E4063"/>
    <w:rsid w:val="7635099D"/>
    <w:rsid w:val="763F73F3"/>
    <w:rsid w:val="7644113C"/>
    <w:rsid w:val="765F6D24"/>
    <w:rsid w:val="76665621"/>
    <w:rsid w:val="766F1A96"/>
    <w:rsid w:val="76747A3C"/>
    <w:rsid w:val="76756566"/>
    <w:rsid w:val="768D0DE0"/>
    <w:rsid w:val="769121AA"/>
    <w:rsid w:val="76AD76ED"/>
    <w:rsid w:val="76DB72C6"/>
    <w:rsid w:val="76E60345"/>
    <w:rsid w:val="76EA46B4"/>
    <w:rsid w:val="76F65C09"/>
    <w:rsid w:val="76FE74B4"/>
    <w:rsid w:val="771352E9"/>
    <w:rsid w:val="77326529"/>
    <w:rsid w:val="7733243F"/>
    <w:rsid w:val="77340331"/>
    <w:rsid w:val="7735784A"/>
    <w:rsid w:val="774320D9"/>
    <w:rsid w:val="77450887"/>
    <w:rsid w:val="77616AC4"/>
    <w:rsid w:val="776A4BF9"/>
    <w:rsid w:val="77762421"/>
    <w:rsid w:val="7784717F"/>
    <w:rsid w:val="77A62443"/>
    <w:rsid w:val="77A8430F"/>
    <w:rsid w:val="77A968C9"/>
    <w:rsid w:val="77B56B1F"/>
    <w:rsid w:val="77C231F8"/>
    <w:rsid w:val="77D0680D"/>
    <w:rsid w:val="77D24369"/>
    <w:rsid w:val="77D970DD"/>
    <w:rsid w:val="77DA4D84"/>
    <w:rsid w:val="77E37B09"/>
    <w:rsid w:val="77F54C25"/>
    <w:rsid w:val="780F09F4"/>
    <w:rsid w:val="7817660A"/>
    <w:rsid w:val="78183673"/>
    <w:rsid w:val="78196EE8"/>
    <w:rsid w:val="781C169F"/>
    <w:rsid w:val="782672FA"/>
    <w:rsid w:val="783E7867"/>
    <w:rsid w:val="7858433C"/>
    <w:rsid w:val="78632E2A"/>
    <w:rsid w:val="78731AC3"/>
    <w:rsid w:val="78913DAF"/>
    <w:rsid w:val="789142A8"/>
    <w:rsid w:val="78A90480"/>
    <w:rsid w:val="78AA1EF3"/>
    <w:rsid w:val="78B30551"/>
    <w:rsid w:val="78C226D5"/>
    <w:rsid w:val="78C80EDF"/>
    <w:rsid w:val="78D02FBC"/>
    <w:rsid w:val="78F328D6"/>
    <w:rsid w:val="78F468F4"/>
    <w:rsid w:val="78F61EF0"/>
    <w:rsid w:val="790074D7"/>
    <w:rsid w:val="79091165"/>
    <w:rsid w:val="79224A93"/>
    <w:rsid w:val="79233BF2"/>
    <w:rsid w:val="79295638"/>
    <w:rsid w:val="792E3F2F"/>
    <w:rsid w:val="79581120"/>
    <w:rsid w:val="79690914"/>
    <w:rsid w:val="798642F7"/>
    <w:rsid w:val="798B60F5"/>
    <w:rsid w:val="79E26E11"/>
    <w:rsid w:val="7A023CB8"/>
    <w:rsid w:val="7A0D5B55"/>
    <w:rsid w:val="7A2F3047"/>
    <w:rsid w:val="7A320D06"/>
    <w:rsid w:val="7A364017"/>
    <w:rsid w:val="7A4B626B"/>
    <w:rsid w:val="7A500C80"/>
    <w:rsid w:val="7A6061A5"/>
    <w:rsid w:val="7A684727"/>
    <w:rsid w:val="7A6B5537"/>
    <w:rsid w:val="7A8265E1"/>
    <w:rsid w:val="7A9032F3"/>
    <w:rsid w:val="7AA32DE7"/>
    <w:rsid w:val="7AB67EE4"/>
    <w:rsid w:val="7AB94F83"/>
    <w:rsid w:val="7ABB1197"/>
    <w:rsid w:val="7AC9188C"/>
    <w:rsid w:val="7ACC7211"/>
    <w:rsid w:val="7AD27F2A"/>
    <w:rsid w:val="7AE52552"/>
    <w:rsid w:val="7AEA41D1"/>
    <w:rsid w:val="7AFB34EA"/>
    <w:rsid w:val="7B060931"/>
    <w:rsid w:val="7B1E51D5"/>
    <w:rsid w:val="7B284AF4"/>
    <w:rsid w:val="7B2E3BC3"/>
    <w:rsid w:val="7B574A35"/>
    <w:rsid w:val="7B686D42"/>
    <w:rsid w:val="7B6C3EBE"/>
    <w:rsid w:val="7B784777"/>
    <w:rsid w:val="7B841746"/>
    <w:rsid w:val="7B89704B"/>
    <w:rsid w:val="7B8F2D33"/>
    <w:rsid w:val="7B9C013F"/>
    <w:rsid w:val="7BAD5122"/>
    <w:rsid w:val="7BAF7048"/>
    <w:rsid w:val="7BB86424"/>
    <w:rsid w:val="7BBE56B8"/>
    <w:rsid w:val="7BD858DD"/>
    <w:rsid w:val="7BDA5187"/>
    <w:rsid w:val="7BDD2EF3"/>
    <w:rsid w:val="7BF22E42"/>
    <w:rsid w:val="7BF9226E"/>
    <w:rsid w:val="7C0B41D7"/>
    <w:rsid w:val="7C2F53F4"/>
    <w:rsid w:val="7C300083"/>
    <w:rsid w:val="7C467730"/>
    <w:rsid w:val="7C48598C"/>
    <w:rsid w:val="7C6C5AC7"/>
    <w:rsid w:val="7CA853C3"/>
    <w:rsid w:val="7CB41EFD"/>
    <w:rsid w:val="7CC6544B"/>
    <w:rsid w:val="7CEC6928"/>
    <w:rsid w:val="7CF9249D"/>
    <w:rsid w:val="7CF92AA0"/>
    <w:rsid w:val="7CFD0A28"/>
    <w:rsid w:val="7D012C11"/>
    <w:rsid w:val="7D0239FF"/>
    <w:rsid w:val="7D2863F0"/>
    <w:rsid w:val="7D2E20A0"/>
    <w:rsid w:val="7D4B111E"/>
    <w:rsid w:val="7D5E40CD"/>
    <w:rsid w:val="7D6733BC"/>
    <w:rsid w:val="7D72380F"/>
    <w:rsid w:val="7D9555A4"/>
    <w:rsid w:val="7DA02DAF"/>
    <w:rsid w:val="7DAE2D99"/>
    <w:rsid w:val="7DBB7264"/>
    <w:rsid w:val="7DCC6ADE"/>
    <w:rsid w:val="7DCD56F2"/>
    <w:rsid w:val="7E0952CE"/>
    <w:rsid w:val="7E121548"/>
    <w:rsid w:val="7E1853B0"/>
    <w:rsid w:val="7E2512B6"/>
    <w:rsid w:val="7E307A23"/>
    <w:rsid w:val="7E35434E"/>
    <w:rsid w:val="7E4D0A43"/>
    <w:rsid w:val="7E685C1E"/>
    <w:rsid w:val="7E6873EC"/>
    <w:rsid w:val="7E6F4A16"/>
    <w:rsid w:val="7E7C48FF"/>
    <w:rsid w:val="7E9133FA"/>
    <w:rsid w:val="7EB21827"/>
    <w:rsid w:val="7EB21D20"/>
    <w:rsid w:val="7EB30C57"/>
    <w:rsid w:val="7EB47C6D"/>
    <w:rsid w:val="7EBE525E"/>
    <w:rsid w:val="7EC34622"/>
    <w:rsid w:val="7ED76BF6"/>
    <w:rsid w:val="7EEA6053"/>
    <w:rsid w:val="7EED306A"/>
    <w:rsid w:val="7F001CE7"/>
    <w:rsid w:val="7F1B4F35"/>
    <w:rsid w:val="7F271055"/>
    <w:rsid w:val="7F286B7B"/>
    <w:rsid w:val="7F4F5DFA"/>
    <w:rsid w:val="7F5042EC"/>
    <w:rsid w:val="7F5D4A77"/>
    <w:rsid w:val="7F6C67DC"/>
    <w:rsid w:val="7F7C0F8A"/>
    <w:rsid w:val="7F8741E9"/>
    <w:rsid w:val="7F93483B"/>
    <w:rsid w:val="7FA55D58"/>
    <w:rsid w:val="7FAE0ABF"/>
    <w:rsid w:val="7FAE2BCC"/>
    <w:rsid w:val="7FAF52EE"/>
    <w:rsid w:val="7FB90128"/>
    <w:rsid w:val="7FE24D68"/>
    <w:rsid w:val="7FE47E50"/>
    <w:rsid w:val="7FF8479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unhideWhenUsed="0" w:uiPriority="0" w:semiHidden="0" w:name="HTML Preformatted" w:locked="1"/>
    <w:lsdException w:qFormat="1"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keepLines/>
      <w:spacing w:before="260" w:after="260" w:line="413" w:lineRule="auto"/>
      <w:ind w:firstLine="200" w:firstLineChars="200"/>
      <w:outlineLvl w:val="1"/>
    </w:pPr>
    <w:rPr>
      <w:rFonts w:ascii="Arial" w:hAnsi="Arial" w:eastAsia="黑体"/>
      <w:b/>
      <w:bCs/>
      <w:sz w:val="32"/>
      <w:szCs w:val="32"/>
    </w:rPr>
  </w:style>
  <w:style w:type="paragraph" w:styleId="5">
    <w:name w:val="heading 3"/>
    <w:basedOn w:val="1"/>
    <w:next w:val="1"/>
    <w:qFormat/>
    <w:locked/>
    <w:uiPriority w:val="0"/>
    <w:pPr>
      <w:keepNext/>
      <w:keepLines/>
      <w:spacing w:before="260" w:after="260" w:line="413" w:lineRule="auto"/>
      <w:ind w:firstLine="200" w:firstLineChars="200"/>
      <w:outlineLvl w:val="2"/>
    </w:pPr>
    <w:rPr>
      <w:b/>
      <w:bCs/>
      <w:sz w:val="32"/>
      <w:szCs w:val="32"/>
    </w:rPr>
  </w:style>
  <w:style w:type="paragraph" w:styleId="6">
    <w:name w:val="heading 4"/>
    <w:basedOn w:val="1"/>
    <w:next w:val="7"/>
    <w:qFormat/>
    <w:locked/>
    <w:uiPriority w:val="0"/>
    <w:pPr>
      <w:keepNext/>
      <w:keepLines/>
      <w:adjustRightInd w:val="0"/>
      <w:snapToGrid w:val="0"/>
      <w:textAlignment w:val="baseline"/>
      <w:outlineLvl w:val="3"/>
    </w:pPr>
    <w:rPr>
      <w:rFonts w:ascii="黑体" w:eastAsia="黑体"/>
      <w:b/>
      <w:kern w:val="0"/>
      <w:sz w:val="28"/>
      <w:szCs w:val="20"/>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3"/>
    <w:qFormat/>
    <w:uiPriority w:val="0"/>
    <w:pPr>
      <w:widowControl/>
      <w:snapToGrid w:val="0"/>
      <w:spacing w:before="60" w:after="160" w:line="259" w:lineRule="auto"/>
      <w:ind w:right="113"/>
    </w:pPr>
    <w:rPr>
      <w:kern w:val="0"/>
      <w:sz w:val="18"/>
      <w:szCs w:val="20"/>
    </w:rPr>
  </w:style>
  <w:style w:type="paragraph" w:styleId="7">
    <w:name w:val="Normal Indent"/>
    <w:basedOn w:val="1"/>
    <w:qFormat/>
    <w:locked/>
    <w:uiPriority w:val="0"/>
    <w:pPr>
      <w:ind w:firstLine="420" w:firstLineChars="200"/>
    </w:pPr>
  </w:style>
  <w:style w:type="paragraph" w:styleId="8">
    <w:name w:val="annotation text"/>
    <w:basedOn w:val="1"/>
    <w:link w:val="42"/>
    <w:semiHidden/>
    <w:qFormat/>
    <w:uiPriority w:val="0"/>
    <w:pPr>
      <w:jc w:val="left"/>
    </w:pPr>
    <w:rPr>
      <w:kern w:val="0"/>
      <w:sz w:val="24"/>
      <w:szCs w:val="20"/>
    </w:rPr>
  </w:style>
  <w:style w:type="paragraph" w:styleId="9">
    <w:name w:val="Body Text Indent"/>
    <w:basedOn w:val="1"/>
    <w:link w:val="44"/>
    <w:qFormat/>
    <w:uiPriority w:val="0"/>
    <w:pPr>
      <w:spacing w:after="120"/>
      <w:ind w:left="420" w:leftChars="200"/>
    </w:pPr>
    <w:rPr>
      <w:kern w:val="0"/>
      <w:sz w:val="24"/>
      <w:szCs w:val="20"/>
    </w:rPr>
  </w:style>
  <w:style w:type="paragraph" w:styleId="10">
    <w:name w:val="List Bullet 5"/>
    <w:basedOn w:val="1"/>
    <w:qFormat/>
    <w:locked/>
    <w:uiPriority w:val="0"/>
    <w:pPr>
      <w:numPr>
        <w:ilvl w:val="0"/>
        <w:numId w:val="1"/>
      </w:numPr>
    </w:pPr>
  </w:style>
  <w:style w:type="paragraph" w:styleId="11">
    <w:name w:val="Date"/>
    <w:basedOn w:val="1"/>
    <w:next w:val="1"/>
    <w:link w:val="45"/>
    <w:qFormat/>
    <w:uiPriority w:val="0"/>
    <w:pPr>
      <w:ind w:left="100" w:leftChars="2500"/>
    </w:pPr>
    <w:rPr>
      <w:kern w:val="0"/>
      <w:sz w:val="24"/>
      <w:szCs w:val="20"/>
    </w:rPr>
  </w:style>
  <w:style w:type="paragraph" w:styleId="12">
    <w:name w:val="Balloon Text"/>
    <w:basedOn w:val="1"/>
    <w:link w:val="46"/>
    <w:semiHidden/>
    <w:qFormat/>
    <w:uiPriority w:val="0"/>
    <w:rPr>
      <w:kern w:val="0"/>
      <w:sz w:val="18"/>
      <w:szCs w:val="20"/>
    </w:rPr>
  </w:style>
  <w:style w:type="paragraph" w:styleId="13">
    <w:name w:val="footer"/>
    <w:basedOn w:val="1"/>
    <w:link w:val="47"/>
    <w:qFormat/>
    <w:uiPriority w:val="99"/>
    <w:pPr>
      <w:tabs>
        <w:tab w:val="center" w:pos="4153"/>
        <w:tab w:val="right" w:pos="8306"/>
      </w:tabs>
      <w:snapToGrid w:val="0"/>
      <w:jc w:val="left"/>
    </w:pPr>
    <w:rPr>
      <w:kern w:val="0"/>
      <w:sz w:val="18"/>
      <w:szCs w:val="20"/>
    </w:rPr>
  </w:style>
  <w:style w:type="paragraph" w:styleId="14">
    <w:name w:val="header"/>
    <w:basedOn w:val="1"/>
    <w:link w:val="48"/>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index heading"/>
    <w:basedOn w:val="1"/>
    <w:next w:val="16"/>
    <w:qFormat/>
    <w:locked/>
    <w:uiPriority w:val="0"/>
    <w:rPr>
      <w:szCs w:val="20"/>
    </w:rPr>
  </w:style>
  <w:style w:type="paragraph" w:styleId="16">
    <w:name w:val="index 1"/>
    <w:basedOn w:val="1"/>
    <w:next w:val="1"/>
    <w:qFormat/>
    <w:locked/>
    <w:uiPriority w:val="0"/>
    <w:pPr>
      <w:jc w:val="center"/>
    </w:pPr>
    <w:rPr>
      <w:szCs w:val="20"/>
    </w:rPr>
  </w:style>
  <w:style w:type="paragraph" w:styleId="17">
    <w:name w:val="List"/>
    <w:basedOn w:val="1"/>
    <w:qFormat/>
    <w:locked/>
    <w:uiPriority w:val="0"/>
    <w:pPr>
      <w:spacing w:line="400" w:lineRule="exact"/>
      <w:jc w:val="center"/>
    </w:pPr>
    <w:rPr>
      <w:sz w:val="24"/>
      <w:szCs w:val="20"/>
    </w:rPr>
  </w:style>
  <w:style w:type="paragraph" w:styleId="18">
    <w:name w:val="Normal (Web)"/>
    <w:basedOn w:val="1"/>
    <w:link w:val="49"/>
    <w:qFormat/>
    <w:uiPriority w:val="0"/>
    <w:pPr>
      <w:widowControl/>
      <w:spacing w:before="100" w:beforeAutospacing="1" w:after="100" w:afterAutospacing="1"/>
      <w:jc w:val="left"/>
    </w:pPr>
    <w:rPr>
      <w:rFonts w:ascii="宋体" w:hAnsi="宋体"/>
      <w:kern w:val="0"/>
      <w:sz w:val="24"/>
      <w:szCs w:val="20"/>
    </w:rPr>
  </w:style>
  <w:style w:type="paragraph" w:styleId="19">
    <w:name w:val="annotation subject"/>
    <w:basedOn w:val="8"/>
    <w:next w:val="8"/>
    <w:link w:val="50"/>
    <w:semiHidden/>
    <w:qFormat/>
    <w:uiPriority w:val="0"/>
    <w:rPr>
      <w:b/>
      <w:kern w:val="2"/>
    </w:rPr>
  </w:style>
  <w:style w:type="paragraph" w:styleId="20">
    <w:name w:val="Body Text First Indent"/>
    <w:basedOn w:val="2"/>
    <w:next w:val="1"/>
    <w:qFormat/>
    <w:locked/>
    <w:uiPriority w:val="0"/>
    <w:pPr>
      <w:ind w:firstLine="420" w:firstLineChars="100"/>
    </w:pPr>
    <w:rPr>
      <w:sz w:val="20"/>
      <w:szCs w:val="24"/>
      <w:lang w:val="zh-CN"/>
    </w:rPr>
  </w:style>
  <w:style w:type="paragraph" w:styleId="21">
    <w:name w:val="Body Text First Indent 2"/>
    <w:basedOn w:val="9"/>
    <w:next w:val="20"/>
    <w:qFormat/>
    <w:locked/>
    <w:uiPriority w:val="0"/>
    <w:pPr>
      <w:snapToGrid w:val="0"/>
      <w:spacing w:line="360" w:lineRule="auto"/>
      <w:ind w:firstLine="420" w:firstLineChars="200"/>
    </w:pPr>
    <w:rPr>
      <w:szCs w:val="24"/>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locked/>
    <w:uiPriority w:val="0"/>
    <w:rPr>
      <w:b/>
      <w:bCs/>
      <w:sz w:val="20"/>
      <w:szCs w:val="20"/>
    </w:rPr>
  </w:style>
  <w:style w:type="character" w:styleId="26">
    <w:name w:val="page number"/>
    <w:qFormat/>
    <w:locked/>
    <w:uiPriority w:val="0"/>
  </w:style>
  <w:style w:type="character" w:styleId="27">
    <w:name w:val="FollowedHyperlink"/>
    <w:basedOn w:val="24"/>
    <w:qFormat/>
    <w:locked/>
    <w:uiPriority w:val="0"/>
    <w:rPr>
      <w:color w:val="337AB7"/>
      <w:sz w:val="27"/>
      <w:szCs w:val="27"/>
      <w:u w:val="single"/>
    </w:rPr>
  </w:style>
  <w:style w:type="character" w:styleId="28">
    <w:name w:val="Emphasis"/>
    <w:qFormat/>
    <w:locked/>
    <w:uiPriority w:val="0"/>
    <w:rPr>
      <w:i/>
    </w:rPr>
  </w:style>
  <w:style w:type="character" w:styleId="29">
    <w:name w:val="HTML Definition"/>
    <w:basedOn w:val="24"/>
    <w:qFormat/>
    <w:locked/>
    <w:uiPriority w:val="0"/>
    <w:rPr>
      <w:i/>
      <w:iCs/>
    </w:rPr>
  </w:style>
  <w:style w:type="character" w:styleId="30">
    <w:name w:val="Hyperlink"/>
    <w:basedOn w:val="24"/>
    <w:qFormat/>
    <w:locked/>
    <w:uiPriority w:val="0"/>
    <w:rPr>
      <w:color w:val="337AB7"/>
      <w:u w:val="single"/>
    </w:rPr>
  </w:style>
  <w:style w:type="character" w:styleId="31">
    <w:name w:val="HTML Code"/>
    <w:basedOn w:val="24"/>
    <w:qFormat/>
    <w:locked/>
    <w:uiPriority w:val="0"/>
    <w:rPr>
      <w:rFonts w:ascii="Consolas" w:hAnsi="Consolas" w:eastAsia="Consolas" w:cs="Consolas"/>
      <w:color w:val="C7254E"/>
      <w:sz w:val="21"/>
      <w:szCs w:val="21"/>
      <w:shd w:val="clear" w:color="auto" w:fill="F9F2F4"/>
    </w:rPr>
  </w:style>
  <w:style w:type="character" w:styleId="32">
    <w:name w:val="annotation reference"/>
    <w:semiHidden/>
    <w:qFormat/>
    <w:uiPriority w:val="0"/>
    <w:rPr>
      <w:sz w:val="21"/>
    </w:rPr>
  </w:style>
  <w:style w:type="character" w:styleId="33">
    <w:name w:val="HTML Keyboard"/>
    <w:basedOn w:val="24"/>
    <w:qFormat/>
    <w:locked/>
    <w:uiPriority w:val="0"/>
    <w:rPr>
      <w:rFonts w:hint="default" w:ascii="Consolas" w:hAnsi="Consolas" w:eastAsia="Consolas" w:cs="Consolas"/>
      <w:color w:val="FFFFFF"/>
      <w:sz w:val="21"/>
      <w:szCs w:val="21"/>
      <w:shd w:val="clear" w:color="auto" w:fill="333333"/>
    </w:rPr>
  </w:style>
  <w:style w:type="character" w:styleId="34">
    <w:name w:val="HTML Sample"/>
    <w:basedOn w:val="24"/>
    <w:qFormat/>
    <w:locked/>
    <w:uiPriority w:val="0"/>
    <w:rPr>
      <w:rFonts w:hint="default" w:ascii="Consolas" w:hAnsi="Consolas" w:eastAsia="Consolas" w:cs="Consolas"/>
      <w:sz w:val="21"/>
      <w:szCs w:val="21"/>
    </w:rPr>
  </w:style>
  <w:style w:type="character" w:customStyle="1" w:styleId="35">
    <w:name w:val="font31"/>
    <w:qFormat/>
    <w:uiPriority w:val="0"/>
    <w:rPr>
      <w:rFonts w:hint="eastAsia" w:ascii="宋体" w:hAnsi="宋体" w:eastAsia="宋体" w:cs="宋体"/>
      <w:b/>
      <w:color w:val="000000"/>
      <w:sz w:val="21"/>
      <w:szCs w:val="21"/>
      <w:u w:val="none"/>
    </w:rPr>
  </w:style>
  <w:style w:type="paragraph" w:styleId="36">
    <w:name w:val="List Paragraph"/>
    <w:basedOn w:val="1"/>
    <w:qFormat/>
    <w:uiPriority w:val="34"/>
    <w:pPr>
      <w:ind w:firstLine="420" w:firstLineChars="200"/>
    </w:pPr>
  </w:style>
  <w:style w:type="paragraph" w:customStyle="1" w:styleId="37">
    <w:name w:val="表格"/>
    <w:basedOn w:val="38"/>
    <w:next w:val="1"/>
    <w:link w:val="55"/>
    <w:qFormat/>
    <w:uiPriority w:val="0"/>
    <w:pPr>
      <w:adjustRightInd w:val="0"/>
      <w:snapToGrid w:val="0"/>
      <w:spacing w:beforeLines="10" w:afterLines="10" w:line="259" w:lineRule="auto"/>
    </w:pPr>
    <w:rPr>
      <w:rFonts w:hAnsi="Times New Roman" w:cs="Times New Roman"/>
      <w:kern w:val="0"/>
      <w:sz w:val="21"/>
    </w:rPr>
  </w:style>
  <w:style w:type="paragraph" w:customStyle="1" w:styleId="38">
    <w:name w:val="表格文字"/>
    <w:basedOn w:val="1"/>
    <w:next w:val="1"/>
    <w:qFormat/>
    <w:uiPriority w:val="0"/>
    <w:pPr>
      <w:spacing w:line="400" w:lineRule="exact"/>
      <w:jc w:val="center"/>
    </w:pPr>
    <w:rPr>
      <w:rFonts w:ascii="宋体" w:hAnsi="宋体" w:cs="宋体"/>
      <w:sz w:val="24"/>
      <w:szCs w:val="20"/>
    </w:rPr>
  </w:style>
  <w:style w:type="paragraph" w:customStyle="1" w:styleId="39">
    <w:name w:val="Default"/>
    <w:basedOn w:val="40"/>
    <w:next w:val="2"/>
    <w:qFormat/>
    <w:uiPriority w:val="0"/>
    <w:pPr>
      <w:widowControl w:val="0"/>
      <w:autoSpaceDE w:val="0"/>
      <w:autoSpaceDN w:val="0"/>
      <w:adjustRightInd w:val="0"/>
    </w:pPr>
    <w:rPr>
      <w:rFonts w:ascii="宋体" w:hAnsi="Calibri" w:eastAsia="宋体" w:cs="宋体"/>
      <w:color w:val="000000"/>
      <w:sz w:val="24"/>
    </w:rPr>
  </w:style>
  <w:style w:type="paragraph" w:customStyle="1" w:styleId="40">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41">
    <w:name w:val="样式 标题 1一级标题 + 段前: 0.5 行 段后: 0.5 行"/>
    <w:basedOn w:val="3"/>
    <w:qFormat/>
    <w:uiPriority w:val="99"/>
    <w:pPr>
      <w:spacing w:line="320" w:lineRule="exact"/>
      <w:outlineLvl w:val="9"/>
    </w:pPr>
    <w:rPr>
      <w:spacing w:val="-6"/>
      <w:sz w:val="21"/>
      <w:szCs w:val="21"/>
    </w:rPr>
  </w:style>
  <w:style w:type="character" w:customStyle="1" w:styleId="42">
    <w:name w:val="批注文字 Char"/>
    <w:link w:val="8"/>
    <w:qFormat/>
    <w:locked/>
    <w:uiPriority w:val="0"/>
    <w:rPr>
      <w:rFonts w:ascii="Times New Roman" w:hAnsi="Times New Roman" w:eastAsia="宋体"/>
      <w:sz w:val="24"/>
    </w:rPr>
  </w:style>
  <w:style w:type="character" w:customStyle="1" w:styleId="43">
    <w:name w:val="正文文本 Char"/>
    <w:link w:val="2"/>
    <w:qFormat/>
    <w:locked/>
    <w:uiPriority w:val="0"/>
    <w:rPr>
      <w:sz w:val="18"/>
    </w:rPr>
  </w:style>
  <w:style w:type="character" w:customStyle="1" w:styleId="44">
    <w:name w:val="正文文本缩进 Char"/>
    <w:link w:val="9"/>
    <w:semiHidden/>
    <w:qFormat/>
    <w:locked/>
    <w:uiPriority w:val="0"/>
    <w:rPr>
      <w:rFonts w:ascii="Times New Roman" w:hAnsi="Times New Roman" w:eastAsia="宋体"/>
      <w:sz w:val="24"/>
    </w:rPr>
  </w:style>
  <w:style w:type="character" w:customStyle="1" w:styleId="45">
    <w:name w:val="日期 Char"/>
    <w:link w:val="11"/>
    <w:qFormat/>
    <w:locked/>
    <w:uiPriority w:val="0"/>
    <w:rPr>
      <w:rFonts w:ascii="Times New Roman" w:hAnsi="Times New Roman" w:eastAsia="宋体"/>
      <w:sz w:val="24"/>
    </w:rPr>
  </w:style>
  <w:style w:type="character" w:customStyle="1" w:styleId="46">
    <w:name w:val="批注框文本 Char"/>
    <w:link w:val="12"/>
    <w:semiHidden/>
    <w:qFormat/>
    <w:locked/>
    <w:uiPriority w:val="0"/>
    <w:rPr>
      <w:rFonts w:ascii="Times New Roman" w:hAnsi="Times New Roman" w:eastAsia="宋体"/>
      <w:sz w:val="18"/>
    </w:rPr>
  </w:style>
  <w:style w:type="character" w:customStyle="1" w:styleId="47">
    <w:name w:val="页脚 Char"/>
    <w:link w:val="13"/>
    <w:qFormat/>
    <w:locked/>
    <w:uiPriority w:val="99"/>
    <w:rPr>
      <w:sz w:val="18"/>
    </w:rPr>
  </w:style>
  <w:style w:type="character" w:customStyle="1" w:styleId="48">
    <w:name w:val="页眉 Char"/>
    <w:link w:val="14"/>
    <w:qFormat/>
    <w:locked/>
    <w:uiPriority w:val="0"/>
    <w:rPr>
      <w:sz w:val="18"/>
    </w:rPr>
  </w:style>
  <w:style w:type="character" w:customStyle="1" w:styleId="49">
    <w:name w:val="普通(网站) Char"/>
    <w:link w:val="18"/>
    <w:qFormat/>
    <w:locked/>
    <w:uiPriority w:val="0"/>
    <w:rPr>
      <w:rFonts w:ascii="宋体" w:hAnsi="宋体" w:eastAsia="宋体"/>
      <w:sz w:val="24"/>
    </w:rPr>
  </w:style>
  <w:style w:type="character" w:customStyle="1" w:styleId="50">
    <w:name w:val="批注主题 Char"/>
    <w:link w:val="19"/>
    <w:semiHidden/>
    <w:qFormat/>
    <w:locked/>
    <w:uiPriority w:val="0"/>
    <w:rPr>
      <w:rFonts w:ascii="Times New Roman" w:hAnsi="Times New Roman" w:eastAsia="宋体"/>
      <w:b/>
      <w:kern w:val="2"/>
      <w:sz w:val="24"/>
    </w:rPr>
  </w:style>
  <w:style w:type="character" w:customStyle="1" w:styleId="51">
    <w:name w:val="font21"/>
    <w:qFormat/>
    <w:uiPriority w:val="0"/>
    <w:rPr>
      <w:rFonts w:hint="default" w:ascii="Times New Roman" w:hAnsi="Times New Roman" w:cs="Times New Roman"/>
      <w:b/>
      <w:color w:val="000000"/>
      <w:sz w:val="21"/>
      <w:szCs w:val="21"/>
      <w:u w:val="none"/>
    </w:rPr>
  </w:style>
  <w:style w:type="character" w:customStyle="1" w:styleId="52">
    <w:name w:val="正文文本 字符1"/>
    <w:semiHidden/>
    <w:qFormat/>
    <w:uiPriority w:val="0"/>
    <w:rPr>
      <w:rFonts w:ascii="Times New Roman" w:hAnsi="Times New Roman" w:eastAsia="宋体"/>
      <w:sz w:val="24"/>
    </w:rPr>
  </w:style>
  <w:style w:type="character" w:customStyle="1" w:styleId="53">
    <w:name w:val="批注文字 字符1"/>
    <w:semiHidden/>
    <w:qFormat/>
    <w:uiPriority w:val="0"/>
    <w:rPr>
      <w:rFonts w:ascii="Times New Roman" w:hAnsi="Times New Roman" w:eastAsia="宋体"/>
      <w:sz w:val="24"/>
    </w:rPr>
  </w:style>
  <w:style w:type="character" w:customStyle="1" w:styleId="54">
    <w:name w:val="页脚 字符"/>
    <w:qFormat/>
    <w:uiPriority w:val="99"/>
  </w:style>
  <w:style w:type="character" w:customStyle="1" w:styleId="55">
    <w:name w:val="表格 Char"/>
    <w:link w:val="37"/>
    <w:qFormat/>
    <w:locked/>
    <w:uiPriority w:val="0"/>
    <w:rPr>
      <w:rFonts w:ascii="宋体"/>
      <w:sz w:val="21"/>
    </w:rPr>
  </w:style>
  <w:style w:type="character" w:customStyle="1" w:styleId="56">
    <w:name w:val="日期 字符"/>
    <w:semiHidden/>
    <w:qFormat/>
    <w:uiPriority w:val="0"/>
    <w:rPr>
      <w:rFonts w:ascii="Times New Roman" w:hAnsi="Times New Roman" w:eastAsia="宋体"/>
      <w:sz w:val="24"/>
    </w:rPr>
  </w:style>
  <w:style w:type="paragraph" w:customStyle="1" w:styleId="57">
    <w:name w:val="正文文本 22"/>
    <w:basedOn w:val="1"/>
    <w:qFormat/>
    <w:uiPriority w:val="0"/>
    <w:pPr>
      <w:widowControl/>
      <w:adjustRightInd w:val="0"/>
      <w:spacing w:line="240" w:lineRule="atLeast"/>
      <w:jc w:val="center"/>
      <w:textAlignment w:val="baseline"/>
    </w:pPr>
    <w:rPr>
      <w:rFonts w:ascii="宋体" w:hAnsi="宋体" w:cs="宋体"/>
      <w:kern w:val="0"/>
      <w:sz w:val="24"/>
    </w:rPr>
  </w:style>
  <w:style w:type="paragraph" w:customStyle="1" w:styleId="58">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customStyle="1" w:styleId="5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0">
    <w:name w:val="【表格】"/>
    <w:next w:val="1"/>
    <w:qFormat/>
    <w:uiPriority w:val="99"/>
    <w:pPr>
      <w:spacing w:line="0" w:lineRule="atLeast"/>
      <w:jc w:val="center"/>
    </w:pPr>
    <w:rPr>
      <w:rFonts w:ascii="Times New Roman" w:hAnsi="Times New Roman" w:eastAsia="宋体" w:cs="Times New Roman"/>
      <w:sz w:val="21"/>
      <w:szCs w:val="24"/>
      <w:lang w:val="en-US" w:eastAsia="zh-CN" w:bidi="ar-SA"/>
    </w:rPr>
  </w:style>
  <w:style w:type="paragraph" w:customStyle="1" w:styleId="61">
    <w:name w:val="样式 表格 + 黑色"/>
    <w:basedOn w:val="1"/>
    <w:qFormat/>
    <w:uiPriority w:val="0"/>
    <w:pPr>
      <w:adjustRightInd w:val="0"/>
      <w:snapToGrid w:val="0"/>
      <w:jc w:val="center"/>
    </w:pPr>
    <w:rPr>
      <w:snapToGrid w:val="0"/>
      <w:color w:val="000000"/>
      <w:spacing w:val="-4"/>
      <w:kern w:val="0"/>
      <w:szCs w:val="21"/>
    </w:rPr>
  </w:style>
  <w:style w:type="paragraph" w:customStyle="1" w:styleId="62">
    <w:name w:val="正文（行首缩进2字）"/>
    <w:basedOn w:val="1"/>
    <w:qFormat/>
    <w:uiPriority w:val="0"/>
    <w:pPr>
      <w:spacing w:line="500" w:lineRule="exact"/>
      <w:ind w:firstLine="200" w:firstLineChars="200"/>
    </w:pPr>
  </w:style>
  <w:style w:type="paragraph" w:customStyle="1" w:styleId="63">
    <w:name w:val="正文文本 21"/>
    <w:basedOn w:val="1"/>
    <w:qFormat/>
    <w:uiPriority w:val="0"/>
    <w:pPr>
      <w:widowControl/>
      <w:adjustRightInd w:val="0"/>
      <w:spacing w:line="240" w:lineRule="atLeast"/>
      <w:jc w:val="center"/>
      <w:textAlignment w:val="baseline"/>
    </w:pPr>
    <w:rPr>
      <w:rFonts w:ascii="宋体" w:hAnsi="宋体" w:cs="宋体"/>
      <w:kern w:val="0"/>
      <w:sz w:val="24"/>
    </w:rPr>
  </w:style>
  <w:style w:type="paragraph" w:customStyle="1" w:styleId="6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5">
    <w:name w:val="样式 文字 + 首行缩进:  2 字符3"/>
    <w:basedOn w:val="66"/>
    <w:qFormat/>
    <w:uiPriority w:val="0"/>
    <w:pPr>
      <w:jc w:val="left"/>
    </w:pPr>
    <w:rPr>
      <w:rFonts w:eastAsia="仿宋_GB2312" w:cs="宋体"/>
      <w:sz w:val="28"/>
      <w:szCs w:val="28"/>
    </w:rPr>
  </w:style>
  <w:style w:type="paragraph" w:customStyle="1" w:styleId="66">
    <w:name w:val="文字"/>
    <w:basedOn w:val="1"/>
    <w:qFormat/>
    <w:uiPriority w:val="0"/>
    <w:pPr>
      <w:spacing w:line="360" w:lineRule="auto"/>
      <w:ind w:firstLine="200" w:firstLineChars="200"/>
    </w:pPr>
    <w:rPr>
      <w:sz w:val="24"/>
    </w:rPr>
  </w:style>
  <w:style w:type="paragraph" w:customStyle="1" w:styleId="67">
    <w:name w:val="表格式"/>
    <w:basedOn w:val="17"/>
    <w:qFormat/>
    <w:uiPriority w:val="0"/>
    <w:rPr>
      <w:rFonts w:ascii="宋体"/>
      <w:sz w:val="21"/>
    </w:rPr>
  </w:style>
  <w:style w:type="paragraph" w:customStyle="1" w:styleId="68">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69">
    <w:name w:val="标题 2+ 行距: 固定值 24 磅 Char"/>
    <w:basedOn w:val="4"/>
    <w:qFormat/>
    <w:uiPriority w:val="0"/>
    <w:pPr>
      <w:spacing w:line="480" w:lineRule="exact"/>
      <w:ind w:firstLine="0" w:firstLineChars="0"/>
    </w:pPr>
  </w:style>
  <w:style w:type="paragraph" w:customStyle="1" w:styleId="70">
    <w:name w:val="xl42"/>
    <w:basedOn w:val="1"/>
    <w:qFormat/>
    <w:uiPriority w:val="0"/>
    <w:pPr>
      <w:widowControl/>
      <w:pBdr>
        <w:bottom w:val="dotted" w:color="auto" w:sz="4" w:space="0"/>
        <w:right w:val="dotted" w:color="auto" w:sz="4" w:space="0"/>
      </w:pBdr>
      <w:spacing w:before="100" w:beforeAutospacing="1" w:after="100" w:afterAutospacing="1"/>
      <w:jc w:val="center"/>
    </w:pPr>
    <w:rPr>
      <w:kern w:val="0"/>
      <w:szCs w:val="21"/>
    </w:rPr>
  </w:style>
  <w:style w:type="paragraph" w:customStyle="1" w:styleId="71">
    <w:name w:val="表表文字"/>
    <w:basedOn w:val="1"/>
    <w:qFormat/>
    <w:uiPriority w:val="0"/>
    <w:pPr>
      <w:wordWrap w:val="0"/>
      <w:adjustRightInd w:val="0"/>
      <w:snapToGrid w:val="0"/>
      <w:jc w:val="center"/>
    </w:pPr>
    <w:rPr>
      <w:kern w:val="0"/>
      <w:szCs w:val="21"/>
    </w:rPr>
  </w:style>
  <w:style w:type="paragraph" w:customStyle="1" w:styleId="72">
    <w:name w:val="D表内"/>
    <w:basedOn w:val="1"/>
    <w:qFormat/>
    <w:uiPriority w:val="0"/>
    <w:pPr>
      <w:widowControl/>
      <w:spacing w:before="40" w:after="40"/>
      <w:jc w:val="center"/>
    </w:pPr>
    <w:rPr>
      <w:rFonts w:ascii="Calibri" w:hAnsi="Calibri"/>
      <w:kern w:val="0"/>
      <w:sz w:val="24"/>
      <w:szCs w:val="21"/>
    </w:rPr>
  </w:style>
  <w:style w:type="paragraph" w:customStyle="1" w:styleId="73">
    <w:name w:val="文本框"/>
    <w:basedOn w:val="1"/>
    <w:next w:val="1"/>
    <w:qFormat/>
    <w:uiPriority w:val="0"/>
    <w:pPr>
      <w:tabs>
        <w:tab w:val="left" w:pos="0"/>
      </w:tabs>
      <w:spacing w:line="300" w:lineRule="exact"/>
      <w:jc w:val="center"/>
    </w:pPr>
    <w:rPr>
      <w:rFonts w:hAnsi="宋体" w:eastAsia="仿宋_GB2312"/>
      <w:sz w:val="24"/>
      <w:szCs w:val="28"/>
    </w:rPr>
  </w:style>
  <w:style w:type="paragraph" w:customStyle="1" w:styleId="74">
    <w:name w:val="列出段落1"/>
    <w:basedOn w:val="1"/>
    <w:qFormat/>
    <w:uiPriority w:val="1"/>
    <w:pPr>
      <w:ind w:firstLine="420" w:firstLineChars="200"/>
    </w:pPr>
  </w:style>
  <w:style w:type="paragraph" w:customStyle="1" w:styleId="75">
    <w:name w:val="0正文"/>
    <w:basedOn w:val="18"/>
    <w:qFormat/>
    <w:uiPriority w:val="0"/>
    <w:pPr>
      <w:adjustRightInd w:val="0"/>
      <w:snapToGrid w:val="0"/>
      <w:spacing w:before="0" w:beforeAutospacing="0" w:after="0" w:afterAutospacing="0" w:line="360" w:lineRule="auto"/>
      <w:ind w:firstLine="200" w:firstLineChars="200"/>
      <w:jc w:val="both"/>
    </w:pPr>
    <w:rPr>
      <w:rFonts w:ascii="Times New Roman" w:hAnsi="Times New Roman"/>
      <w:kern w:val="2"/>
    </w:rPr>
  </w:style>
  <w:style w:type="paragraph" w:customStyle="1" w:styleId="76">
    <w:name w:val="Table Paragraph"/>
    <w:basedOn w:val="1"/>
    <w:qFormat/>
    <w:uiPriority w:val="1"/>
    <w:pPr>
      <w:adjustRightInd w:val="0"/>
      <w:snapToGrid w:val="0"/>
      <w:jc w:val="center"/>
    </w:pPr>
    <w:rPr>
      <w:color w:val="000000"/>
      <w:kern w:val="0"/>
      <w:szCs w:val="21"/>
    </w:rPr>
  </w:style>
  <w:style w:type="paragraph" w:customStyle="1" w:styleId="77">
    <w:name w:val="表标题"/>
    <w:basedOn w:val="1"/>
    <w:qFormat/>
    <w:uiPriority w:val="0"/>
    <w:pPr>
      <w:adjustRightInd w:val="0"/>
      <w:snapToGrid w:val="0"/>
      <w:spacing w:before="60"/>
      <w:jc w:val="center"/>
    </w:pPr>
    <w:rPr>
      <w:b/>
      <w:bCs/>
      <w:kern w:val="0"/>
    </w:rPr>
  </w:style>
  <w:style w:type="character" w:customStyle="1" w:styleId="78">
    <w:name w:val="ui-jqgrid-resize"/>
    <w:basedOn w:val="24"/>
    <w:qFormat/>
    <w:uiPriority w:val="0"/>
  </w:style>
  <w:style w:type="character" w:customStyle="1" w:styleId="79">
    <w:name w:val="ui-jqgrid-resize1"/>
    <w:basedOn w:val="24"/>
    <w:qFormat/>
    <w:uiPriority w:val="0"/>
  </w:style>
  <w:style w:type="character" w:customStyle="1" w:styleId="80">
    <w:name w:val="checkbox10"/>
    <w:basedOn w:val="24"/>
    <w:qFormat/>
    <w:uiPriority w:val="0"/>
  </w:style>
  <w:style w:type="character" w:customStyle="1" w:styleId="81">
    <w:name w:val="before"/>
    <w:basedOn w:val="24"/>
    <w:qFormat/>
    <w:uiPriority w:val="0"/>
    <w:rPr>
      <w:rFonts w:hint="default" w:ascii="FontAwesome" w:hAnsi="FontAwesome" w:eastAsia="FontAwesome" w:cs="FontAwesome"/>
      <w:color w:val="888888"/>
      <w:sz w:val="18"/>
      <w:szCs w:val="18"/>
    </w:rPr>
  </w:style>
  <w:style w:type="character" w:customStyle="1" w:styleId="82">
    <w:name w:val="before1"/>
    <w:basedOn w:val="24"/>
    <w:qFormat/>
    <w:uiPriority w:val="0"/>
    <w:rPr>
      <w:rFonts w:hint="default" w:ascii="FontAwesome" w:hAnsi="FontAwesome" w:eastAsia="FontAwesome" w:cs="FontAwesome"/>
      <w:color w:val="888888"/>
      <w:sz w:val="18"/>
      <w:szCs w:val="18"/>
    </w:rPr>
  </w:style>
  <w:style w:type="character" w:customStyle="1" w:styleId="83">
    <w:name w:val="input-icon2"/>
    <w:basedOn w:val="24"/>
    <w:qFormat/>
    <w:uiPriority w:val="0"/>
  </w:style>
  <w:style w:type="character" w:customStyle="1" w:styleId="84">
    <w:name w:val="ui-icon10"/>
    <w:basedOn w:val="24"/>
    <w:qFormat/>
    <w:uiPriority w:val="0"/>
  </w:style>
  <w:style w:type="character" w:customStyle="1" w:styleId="85">
    <w:name w:val="input-icon"/>
    <w:basedOn w:val="24"/>
    <w:qFormat/>
    <w:uiPriority w:val="0"/>
  </w:style>
  <w:style w:type="character" w:customStyle="1" w:styleId="86">
    <w:name w:val="font01"/>
    <w:qFormat/>
    <w:uiPriority w:val="0"/>
    <w:rPr>
      <w:rFonts w:hint="eastAsia" w:ascii="宋体" w:hAnsi="宋体" w:eastAsia="宋体" w:cs="宋体"/>
      <w:color w:val="000000"/>
      <w:sz w:val="21"/>
      <w:szCs w:val="21"/>
      <w:u w:val="none"/>
      <w:vertAlign w:val="superscript"/>
    </w:rPr>
  </w:style>
  <w:style w:type="paragraph" w:customStyle="1" w:styleId="87">
    <w:name w:val="Other|1"/>
    <w:basedOn w:val="1"/>
    <w:qFormat/>
    <w:uiPriority w:val="0"/>
    <w:pPr>
      <w:jc w:val="center"/>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wmf"/><Relationship Id="rId22" Type="http://schemas.openxmlformats.org/officeDocument/2006/relationships/oleObject" Target="embeddings/oleObject1.bin"/><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102</Pages>
  <Words>20721</Words>
  <Characters>22470</Characters>
  <Lines>545</Lines>
  <Paragraphs>153</Paragraphs>
  <TotalTime>0</TotalTime>
  <ScaleCrop>false</ScaleCrop>
  <LinksUpToDate>false</LinksUpToDate>
  <CharactersWithSpaces>22507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2019-12-12T12:44:00Z</dcterms:created>
  <dc:creator>咕咕</dc:creator>
  <cp:lastModifiedBy>玖玖鸠鳩</cp:lastModifiedBy>
  <cp:lastPrinted>2024-07-18T05:21:00Z</cp:lastPrinted>
  <dcterms:modified xsi:type="dcterms:W3CDTF">2025-08-05T02:41:34Z</dcterms:modified>
  <dc:title>附件2</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FC55388176D444EB8964122628C40B32_13</vt:lpwstr>
  </property>
  <property fmtid="{D5CDD505-2E9C-101B-9397-08002B2CF9AE}" pid="4" name="commondata">
    <vt:lpwstr>eyJoZGlkIjoiNTQ5N2ZhNDllOWI4ZjA0ZjE4OTc4MmE3YjgxMjBiZTQifQ==</vt:lpwstr>
  </property>
  <property fmtid="{D5CDD505-2E9C-101B-9397-08002B2CF9AE}" pid="5" name="KSOTemplateDocerSaveRecord">
    <vt:lpwstr>eyJoZGlkIjoiOTAwNzRiYjAyMjAzZWM1ZGUwZTY0NzM2M2UxYWM2N2EiLCJ1c2VySWQiOiIyNzgzNjk4MzAifQ==</vt:lpwstr>
  </property>
</Properties>
</file>